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B484E" w14:textId="77777777" w:rsidR="008643CA" w:rsidRPr="00DA2E13" w:rsidRDefault="008643CA" w:rsidP="008643CA">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2921DA0A" w14:textId="77777777" w:rsidR="008643CA" w:rsidRPr="00DA2E13" w:rsidRDefault="008643CA" w:rsidP="008643CA">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562A23A5" w14:textId="77777777" w:rsidR="008643CA" w:rsidRDefault="008643CA"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43CA">
        <w:rPr>
          <w:rFonts w:ascii="Times New Roman" w:hAnsi="Times New Roman" w:cs="Times New Roman"/>
          <w:sz w:val="24"/>
          <w:szCs w:val="24"/>
        </w:rPr>
        <w:t xml:space="preserve">Foreign exchange risk management has emerged as a critical area of focus in today’s globalized financial environment, particularly for economies like Nigeria, where banking operations are highly sensitive to currency fluctuations. The Nigerian economy, being significantly reliant on imports, exports, and international financial transactions, exposes its banking sector to considerable foreign exchange risks. These risks arise from changes in exchange rates between the Nigerian Naira and major foreign currencies such as the US Dollar, Euro, and British Pound, which can directly impact banks’ profitability, asset quality, and capital adequacy. In recent years, the volatility of global financial markets, combined with domestic economic challenges such as inflation, government policy shifts, and fluctuating oil prices, has heightened the exposure of Nigerian banks to currency-related risks. </w:t>
      </w:r>
    </w:p>
    <w:p w14:paraId="07626FF6" w14:textId="77777777" w:rsidR="008643CA" w:rsidRDefault="008643CA"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43CA">
        <w:rPr>
          <w:rFonts w:ascii="Times New Roman" w:hAnsi="Times New Roman" w:cs="Times New Roman"/>
          <w:sz w:val="24"/>
          <w:szCs w:val="24"/>
        </w:rPr>
        <w:t xml:space="preserve">Foreign exchange risk, if not properly managed, can lead to substantial financial losses, liquidity shortages, and operational instability within banks. Conversely, effective risk management strategies, including the use of hedging instruments, forward contracts, swaps, and derivatives, can mitigate potential losses and enhance profitability. The study of foreign exchange risk management in Nigerian banks is therefore crucial to understanding how these institutions navigate the complexities of a volatile currency environment. Scholars and financial analysts have argued that the ability of banks to anticipate, measure, and respond to foreign exchange risk determines their resilience and competitive advantage in both domestic and international markets. </w:t>
      </w:r>
    </w:p>
    <w:p w14:paraId="4913735C" w14:textId="77777777" w:rsidR="008643CA" w:rsidRDefault="008643CA"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43CA">
        <w:rPr>
          <w:rFonts w:ascii="Times New Roman" w:hAnsi="Times New Roman" w:cs="Times New Roman"/>
          <w:sz w:val="24"/>
          <w:szCs w:val="24"/>
        </w:rPr>
        <w:t xml:space="preserve">The Central Bank of Nigeria (CBN) plays a significant regulatory role by issuing guidelines on foreign currency exposures, capital requirements, and risk management practices, which banks are expected to adhere to in order to safeguard their financial health. Empirical evidence from Nigerian banking history shows that periods of currency instability have often coincided with declining bank profitability and increased non-performing assets, highlighting the direct link between exchange rate movements and financial performance. Additionally, globalization and increased cross-border transactions have necessitated that Nigerian banks adopt sophisticated risk management frameworks and internal control systems to effectively monitor and mitigate foreign exchange risks. </w:t>
      </w:r>
    </w:p>
    <w:p w14:paraId="2C7D28F1" w14:textId="77777777" w:rsidR="008643CA" w:rsidRDefault="008643CA"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43CA">
        <w:rPr>
          <w:rFonts w:ascii="Times New Roman" w:hAnsi="Times New Roman" w:cs="Times New Roman"/>
          <w:sz w:val="24"/>
          <w:szCs w:val="24"/>
        </w:rPr>
        <w:t xml:space="preserve">These frameworks often involve comprehensive risk assessment procedures, scenario analysis, stress testing, and real-time monitoring of foreign currency positions. The </w:t>
      </w:r>
      <w:r w:rsidRPr="008643CA">
        <w:rPr>
          <w:rFonts w:ascii="Times New Roman" w:hAnsi="Times New Roman" w:cs="Times New Roman"/>
          <w:sz w:val="24"/>
          <w:szCs w:val="24"/>
        </w:rPr>
        <w:lastRenderedPageBreak/>
        <w:t xml:space="preserve">study also acknowledges that foreign exchange risk is not limited to transaction exposure but extends to translation and economic exposures, each affecting banks’ financial statements, investment portfolios, and long-term strategic decisions. Moreover, banks that fail to implement robust foreign exchange risk management systems may face reputational damage, loss of investor confidence, and challenges in attracting foreign capital. </w:t>
      </w:r>
    </w:p>
    <w:p w14:paraId="2651F948" w14:textId="77777777" w:rsidR="008643CA" w:rsidRDefault="008643CA"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43CA">
        <w:rPr>
          <w:rFonts w:ascii="Times New Roman" w:hAnsi="Times New Roman" w:cs="Times New Roman"/>
          <w:sz w:val="24"/>
          <w:szCs w:val="24"/>
        </w:rPr>
        <w:t xml:space="preserve">This research aims to examine the various methods adopted by Nigerian banks to manage foreign exchange risk and assess their impact on profitability, focusing on both large commercial banks and smaller financial institutions. By </w:t>
      </w:r>
      <w:proofErr w:type="spellStart"/>
      <w:r w:rsidRPr="008643CA">
        <w:rPr>
          <w:rFonts w:ascii="Times New Roman" w:hAnsi="Times New Roman" w:cs="Times New Roman"/>
          <w:sz w:val="24"/>
          <w:szCs w:val="24"/>
        </w:rPr>
        <w:t>analyzing</w:t>
      </w:r>
      <w:proofErr w:type="spellEnd"/>
      <w:r w:rsidRPr="008643CA">
        <w:rPr>
          <w:rFonts w:ascii="Times New Roman" w:hAnsi="Times New Roman" w:cs="Times New Roman"/>
          <w:sz w:val="24"/>
          <w:szCs w:val="24"/>
        </w:rPr>
        <w:t xml:space="preserve"> data from financial statements, regulatory reports, and previous research studies, the study seeks to establish the effectiveness of risk management practices in enhancing financial stability and supporting sustainable growth. Furthermore, the research explores the role of bank management, internal audit units, and treasury departments in developing and implementing policies that minimize exposure to currency fluctuations. </w:t>
      </w:r>
    </w:p>
    <w:p w14:paraId="6B3E9991" w14:textId="17625C2D" w:rsidR="00E75FD5" w:rsidRDefault="008643CA"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43CA">
        <w:rPr>
          <w:rFonts w:ascii="Times New Roman" w:hAnsi="Times New Roman" w:cs="Times New Roman"/>
          <w:sz w:val="24"/>
          <w:szCs w:val="24"/>
        </w:rPr>
        <w:t>It also considers the influence of macroeconomic factors such as inflation rates, interest rates, government interventions, and global market trends on foreign exchange risk. The study underscores the importance of a proactive approach, where banks continuously monitor market conditions, forecast potential risks, and adopt innovative financial instruments to protect their earnings. Ultimately, the research contributes to a deeper understanding of how foreign exchange risk management affects bank profitability, provides insights into best practices, and offers recommendations to strengthen financial resilience in the Nigerian banking sector.</w:t>
      </w:r>
    </w:p>
    <w:p w14:paraId="32438767" w14:textId="1663517D" w:rsidR="008643CA" w:rsidRDefault="008643CA" w:rsidP="008643CA">
      <w:pPr>
        <w:spacing w:line="276" w:lineRule="auto"/>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sidRPr="008643CA">
        <w:t xml:space="preserve"> </w:t>
      </w:r>
      <w:r w:rsidRPr="008643CA">
        <w:rPr>
          <w:rFonts w:ascii="Times New Roman" w:hAnsi="Times New Roman" w:cs="Times New Roman"/>
          <w:b/>
          <w:sz w:val="24"/>
          <w:szCs w:val="24"/>
        </w:rPr>
        <w:t xml:space="preserve">foreign exchange risk management in </w:t>
      </w:r>
      <w:proofErr w:type="spellStart"/>
      <w:r w:rsidRPr="008643CA">
        <w:rPr>
          <w:rFonts w:ascii="Times New Roman" w:hAnsi="Times New Roman" w:cs="Times New Roman"/>
          <w:b/>
          <w:sz w:val="24"/>
          <w:szCs w:val="24"/>
        </w:rPr>
        <w:t>nigerian</w:t>
      </w:r>
      <w:proofErr w:type="spellEnd"/>
      <w:r w:rsidRPr="008643CA">
        <w:rPr>
          <w:rFonts w:ascii="Times New Roman" w:hAnsi="Times New Roman" w:cs="Times New Roman"/>
          <w:b/>
          <w:sz w:val="24"/>
          <w:szCs w:val="24"/>
        </w:rPr>
        <w:t xml:space="preserve"> economy and its impact on profit of banks</w:t>
      </w:r>
      <w:r>
        <w:rPr>
          <w:rFonts w:ascii="Times New Roman" w:hAnsi="Times New Roman" w:cs="Times New Roman"/>
          <w:b/>
          <w:sz w:val="24"/>
          <w:szCs w:val="24"/>
        </w:rPr>
        <w:t>?</w:t>
      </w:r>
    </w:p>
    <w:p w14:paraId="556C61DD" w14:textId="1607403E" w:rsidR="008643CA" w:rsidRPr="008643CA" w:rsidRDefault="008643CA" w:rsidP="008643CA">
      <w:pPr>
        <w:pStyle w:val="ListParagraph"/>
        <w:numPr>
          <w:ilvl w:val="0"/>
          <w:numId w:val="2"/>
        </w:numPr>
        <w:spacing w:line="360" w:lineRule="auto"/>
        <w:jc w:val="both"/>
        <w:rPr>
          <w:rFonts w:ascii="Times New Roman" w:hAnsi="Times New Roman" w:cs="Times New Roman"/>
          <w:sz w:val="24"/>
          <w:szCs w:val="24"/>
        </w:rPr>
      </w:pPr>
      <w:r w:rsidRPr="008643CA">
        <w:rPr>
          <w:rFonts w:ascii="Times New Roman" w:hAnsi="Times New Roman" w:cs="Times New Roman"/>
          <w:sz w:val="24"/>
          <w:szCs w:val="24"/>
        </w:rPr>
        <w:t>This study provides valuable insights into how banks in Nigeria can manage foreign exchange risks effectively to safeguard their profitability. By understanding risk management strategies, banks can minimize potential losses arising from currency fluctuations.</w:t>
      </w:r>
    </w:p>
    <w:p w14:paraId="39F33952" w14:textId="336CE06C" w:rsidR="008643CA" w:rsidRPr="008643CA" w:rsidRDefault="008643CA" w:rsidP="008643CA">
      <w:pPr>
        <w:pStyle w:val="ListParagraph"/>
        <w:numPr>
          <w:ilvl w:val="0"/>
          <w:numId w:val="2"/>
        </w:numPr>
        <w:spacing w:line="360" w:lineRule="auto"/>
        <w:jc w:val="both"/>
        <w:rPr>
          <w:rFonts w:ascii="Times New Roman" w:hAnsi="Times New Roman" w:cs="Times New Roman"/>
          <w:sz w:val="24"/>
          <w:szCs w:val="24"/>
        </w:rPr>
      </w:pPr>
      <w:r w:rsidRPr="008643CA">
        <w:rPr>
          <w:rFonts w:ascii="Times New Roman" w:hAnsi="Times New Roman" w:cs="Times New Roman"/>
          <w:sz w:val="24"/>
          <w:szCs w:val="24"/>
        </w:rPr>
        <w:t>It helps policymakers and regulatory authorities, such as the Central Bank of Nigeria, to evaluate the effectiveness of existing foreign exchange regulations and guidelines. This, in turn, aids in enhancing the stability of the banking sector and the overall economy.</w:t>
      </w:r>
    </w:p>
    <w:p w14:paraId="42EAD70E" w14:textId="5976F6B9" w:rsidR="008643CA" w:rsidRPr="008643CA" w:rsidRDefault="008643CA" w:rsidP="008643CA">
      <w:pPr>
        <w:pStyle w:val="ListParagraph"/>
        <w:numPr>
          <w:ilvl w:val="0"/>
          <w:numId w:val="2"/>
        </w:numPr>
        <w:spacing w:line="360" w:lineRule="auto"/>
        <w:jc w:val="both"/>
        <w:rPr>
          <w:rFonts w:ascii="Times New Roman" w:hAnsi="Times New Roman" w:cs="Times New Roman"/>
          <w:sz w:val="24"/>
          <w:szCs w:val="24"/>
        </w:rPr>
      </w:pPr>
      <w:r w:rsidRPr="008643CA">
        <w:rPr>
          <w:rFonts w:ascii="Times New Roman" w:hAnsi="Times New Roman" w:cs="Times New Roman"/>
          <w:sz w:val="24"/>
          <w:szCs w:val="24"/>
        </w:rPr>
        <w:lastRenderedPageBreak/>
        <w:t>The study assists bank management and treasury teams in identifying practical tools and techniques, such as hedging and forward contracts, to mitigate transaction, translation, and economic exposures. This ensures better decision-making in foreign currency operations.</w:t>
      </w:r>
    </w:p>
    <w:p w14:paraId="46490CE0" w14:textId="3624C46E" w:rsidR="008643CA" w:rsidRPr="008643CA" w:rsidRDefault="008643CA" w:rsidP="008643CA">
      <w:pPr>
        <w:pStyle w:val="ListParagraph"/>
        <w:numPr>
          <w:ilvl w:val="0"/>
          <w:numId w:val="2"/>
        </w:numPr>
        <w:spacing w:line="360" w:lineRule="auto"/>
        <w:jc w:val="both"/>
        <w:rPr>
          <w:rFonts w:ascii="Times New Roman" w:hAnsi="Times New Roman" w:cs="Times New Roman"/>
          <w:sz w:val="24"/>
          <w:szCs w:val="24"/>
        </w:rPr>
      </w:pPr>
      <w:r w:rsidRPr="008643CA">
        <w:rPr>
          <w:rFonts w:ascii="Times New Roman" w:hAnsi="Times New Roman" w:cs="Times New Roman"/>
          <w:sz w:val="24"/>
          <w:szCs w:val="24"/>
        </w:rPr>
        <w:t>It benefits investors and stakeholders by highlighting the relationship between foreign exchange risk management and bank profitability. Well-managed risks improve confidence, attract foreign investments, and enhance the credibility of financial institutions.</w:t>
      </w:r>
    </w:p>
    <w:p w14:paraId="7B7FD094" w14:textId="48C2A8BA" w:rsidR="008643CA" w:rsidRPr="008643CA" w:rsidRDefault="008643CA" w:rsidP="008643CA">
      <w:pPr>
        <w:pStyle w:val="ListParagraph"/>
        <w:numPr>
          <w:ilvl w:val="0"/>
          <w:numId w:val="2"/>
        </w:numPr>
        <w:spacing w:line="360" w:lineRule="auto"/>
        <w:jc w:val="both"/>
        <w:rPr>
          <w:rFonts w:ascii="Times New Roman" w:hAnsi="Times New Roman" w:cs="Times New Roman"/>
          <w:sz w:val="24"/>
          <w:szCs w:val="24"/>
        </w:rPr>
      </w:pPr>
      <w:r w:rsidRPr="008643CA">
        <w:rPr>
          <w:rFonts w:ascii="Times New Roman" w:hAnsi="Times New Roman" w:cs="Times New Roman"/>
          <w:sz w:val="24"/>
          <w:szCs w:val="24"/>
        </w:rPr>
        <w:t>The research contributes to academic knowledge by providing empirical evidence on the impact of foreign exchange risk management in emerging economies like Nigeria. It serves as a reference for future studies, training, and professional development in banking and finance.</w:t>
      </w:r>
    </w:p>
    <w:p w14:paraId="26FFAA72" w14:textId="2E321C90" w:rsidR="008643CA" w:rsidRDefault="008643CA" w:rsidP="008643CA">
      <w:pPr>
        <w:pStyle w:val="ListParagraph"/>
        <w:numPr>
          <w:ilvl w:val="0"/>
          <w:numId w:val="2"/>
        </w:numPr>
        <w:spacing w:line="360" w:lineRule="auto"/>
        <w:jc w:val="both"/>
        <w:rPr>
          <w:rFonts w:ascii="Times New Roman" w:hAnsi="Times New Roman" w:cs="Times New Roman"/>
          <w:sz w:val="24"/>
          <w:szCs w:val="24"/>
        </w:rPr>
      </w:pPr>
      <w:r w:rsidRPr="008643CA">
        <w:rPr>
          <w:rFonts w:ascii="Times New Roman" w:hAnsi="Times New Roman" w:cs="Times New Roman"/>
          <w:sz w:val="24"/>
          <w:szCs w:val="24"/>
        </w:rPr>
        <w:t>The study promotes sustainable financial practices by encouraging banks to adopt proactive monitoring, forecasting, and risk mitigation strategies. This approach strengthens financial resilience and ensures long-term profitability.</w:t>
      </w:r>
    </w:p>
    <w:p w14:paraId="66BA0D34" w14:textId="3B9480CC" w:rsidR="008643CA" w:rsidRPr="008643CA" w:rsidRDefault="008643CA" w:rsidP="008643CA">
      <w:pPr>
        <w:spacing w:line="360" w:lineRule="auto"/>
        <w:jc w:val="both"/>
        <w:rPr>
          <w:rFonts w:ascii="Times New Roman" w:hAnsi="Times New Roman" w:cs="Times New Roman"/>
          <w:b/>
          <w:sz w:val="24"/>
          <w:szCs w:val="24"/>
        </w:rPr>
      </w:pPr>
      <w:r w:rsidRPr="008643CA">
        <w:rPr>
          <w:rFonts w:ascii="Times New Roman" w:hAnsi="Times New Roman" w:cs="Times New Roman"/>
          <w:b/>
          <w:sz w:val="24"/>
          <w:szCs w:val="24"/>
        </w:rPr>
        <w:t xml:space="preserve">foreign exchange risk management in </w:t>
      </w:r>
      <w:proofErr w:type="spellStart"/>
      <w:r w:rsidRPr="008643CA">
        <w:rPr>
          <w:rFonts w:ascii="Times New Roman" w:hAnsi="Times New Roman" w:cs="Times New Roman"/>
          <w:b/>
          <w:sz w:val="24"/>
          <w:szCs w:val="24"/>
        </w:rPr>
        <w:t>nigerian</w:t>
      </w:r>
      <w:proofErr w:type="spellEnd"/>
      <w:r w:rsidRPr="008643CA">
        <w:rPr>
          <w:rFonts w:ascii="Times New Roman" w:hAnsi="Times New Roman" w:cs="Times New Roman"/>
          <w:b/>
          <w:sz w:val="24"/>
          <w:szCs w:val="24"/>
        </w:rPr>
        <w:t xml:space="preserve"> economy and its impact on profit of banks</w:t>
      </w:r>
      <w:r w:rsidRPr="008643CA">
        <w:rPr>
          <w:rFonts w:ascii="Times New Roman" w:hAnsi="Times New Roman" w:cs="Times New Roman"/>
          <w:b/>
          <w:sz w:val="24"/>
          <w:szCs w:val="24"/>
        </w:rPr>
        <w:t xml:space="preserve"> </w:t>
      </w:r>
      <w:r w:rsidRPr="008643CA">
        <w:rPr>
          <w:rFonts w:ascii="Times New Roman" w:hAnsi="Times New Roman" w:cs="Times New Roman"/>
          <w:b/>
          <w:sz w:val="24"/>
          <w:szCs w:val="24"/>
        </w:rPr>
        <w:t>advantages</w:t>
      </w:r>
    </w:p>
    <w:p w14:paraId="259DDAE6" w14:textId="77777777" w:rsidR="008643CA" w:rsidRPr="008643CA" w:rsidRDefault="008643CA" w:rsidP="008643CA">
      <w:pPr>
        <w:spacing w:line="360" w:lineRule="auto"/>
        <w:jc w:val="both"/>
        <w:rPr>
          <w:rFonts w:ascii="Times New Roman" w:hAnsi="Times New Roman" w:cs="Times New Roman"/>
          <w:sz w:val="24"/>
          <w:szCs w:val="24"/>
        </w:rPr>
      </w:pPr>
      <w:r w:rsidRPr="008643CA">
        <w:rPr>
          <w:rFonts w:ascii="Times New Roman" w:hAnsi="Times New Roman" w:cs="Times New Roman"/>
          <w:b/>
          <w:bCs/>
          <w:sz w:val="24"/>
          <w:szCs w:val="24"/>
        </w:rPr>
        <w:t>1.</w:t>
      </w:r>
      <w:r w:rsidRPr="008643CA">
        <w:rPr>
          <w:rFonts w:ascii="Times New Roman" w:hAnsi="Times New Roman" w:cs="Times New Roman"/>
          <w:sz w:val="24"/>
          <w:szCs w:val="24"/>
        </w:rPr>
        <w:t xml:space="preserve"> The study provides banks with actionable insights on minimizing the adverse effects of foreign exchange fluctuations. This allows institutions to protect their earnings and maintain financial stability even during volatile market conditions.</w:t>
      </w:r>
    </w:p>
    <w:p w14:paraId="33E35E75" w14:textId="77777777" w:rsidR="008643CA" w:rsidRPr="008643CA" w:rsidRDefault="008643CA" w:rsidP="008643CA">
      <w:pPr>
        <w:spacing w:line="360" w:lineRule="auto"/>
        <w:jc w:val="both"/>
        <w:rPr>
          <w:rFonts w:ascii="Times New Roman" w:hAnsi="Times New Roman" w:cs="Times New Roman"/>
          <w:sz w:val="24"/>
          <w:szCs w:val="24"/>
        </w:rPr>
      </w:pPr>
      <w:r w:rsidRPr="008643CA">
        <w:rPr>
          <w:rFonts w:ascii="Times New Roman" w:hAnsi="Times New Roman" w:cs="Times New Roman"/>
          <w:b/>
          <w:bCs/>
          <w:sz w:val="24"/>
          <w:szCs w:val="24"/>
        </w:rPr>
        <w:t>2.</w:t>
      </w:r>
      <w:r w:rsidRPr="008643CA">
        <w:rPr>
          <w:rFonts w:ascii="Times New Roman" w:hAnsi="Times New Roman" w:cs="Times New Roman"/>
          <w:sz w:val="24"/>
          <w:szCs w:val="24"/>
        </w:rPr>
        <w:t xml:space="preserve"> It enables bank management to implement effective risk management strategies, including hedging, forward contracts, and derivatives, which enhance operational efficiency and strengthen decision-making processes.</w:t>
      </w:r>
    </w:p>
    <w:p w14:paraId="34AB6B1F" w14:textId="77777777" w:rsidR="008643CA" w:rsidRPr="008643CA" w:rsidRDefault="008643CA" w:rsidP="008643CA">
      <w:pPr>
        <w:spacing w:line="360" w:lineRule="auto"/>
        <w:jc w:val="both"/>
        <w:rPr>
          <w:rFonts w:ascii="Times New Roman" w:hAnsi="Times New Roman" w:cs="Times New Roman"/>
          <w:sz w:val="24"/>
          <w:szCs w:val="24"/>
        </w:rPr>
      </w:pPr>
      <w:r w:rsidRPr="008643CA">
        <w:rPr>
          <w:rFonts w:ascii="Times New Roman" w:hAnsi="Times New Roman" w:cs="Times New Roman"/>
          <w:b/>
          <w:bCs/>
          <w:sz w:val="24"/>
          <w:szCs w:val="24"/>
        </w:rPr>
        <w:t>3.</w:t>
      </w:r>
      <w:r w:rsidRPr="008643CA">
        <w:rPr>
          <w:rFonts w:ascii="Times New Roman" w:hAnsi="Times New Roman" w:cs="Times New Roman"/>
          <w:sz w:val="24"/>
          <w:szCs w:val="24"/>
        </w:rPr>
        <w:t xml:space="preserve"> The research benefits policymakers and regulators by highlighting areas where regulations and oversight can be improved, ensuring that banks operate within a safe and sound financial framework.</w:t>
      </w:r>
    </w:p>
    <w:p w14:paraId="2F395C14" w14:textId="77777777" w:rsidR="008643CA" w:rsidRPr="008643CA" w:rsidRDefault="008643CA" w:rsidP="008643CA">
      <w:pPr>
        <w:spacing w:line="360" w:lineRule="auto"/>
        <w:jc w:val="both"/>
        <w:rPr>
          <w:rFonts w:ascii="Times New Roman" w:hAnsi="Times New Roman" w:cs="Times New Roman"/>
          <w:sz w:val="24"/>
          <w:szCs w:val="24"/>
        </w:rPr>
      </w:pPr>
      <w:r w:rsidRPr="008643CA">
        <w:rPr>
          <w:rFonts w:ascii="Times New Roman" w:hAnsi="Times New Roman" w:cs="Times New Roman"/>
          <w:b/>
          <w:bCs/>
          <w:sz w:val="24"/>
          <w:szCs w:val="24"/>
        </w:rPr>
        <w:t>4.</w:t>
      </w:r>
      <w:r w:rsidRPr="008643CA">
        <w:rPr>
          <w:rFonts w:ascii="Times New Roman" w:hAnsi="Times New Roman" w:cs="Times New Roman"/>
          <w:sz w:val="24"/>
          <w:szCs w:val="24"/>
        </w:rPr>
        <w:t xml:space="preserve"> Investors and stakeholders gain confidence from understanding how banks manage foreign exchange risk, which improves transparency, strengthens trust, and attracts both local and foreign capital.</w:t>
      </w:r>
    </w:p>
    <w:p w14:paraId="468E409C" w14:textId="77777777" w:rsidR="008643CA" w:rsidRPr="008643CA" w:rsidRDefault="008643CA" w:rsidP="008643CA">
      <w:pPr>
        <w:spacing w:line="360" w:lineRule="auto"/>
        <w:jc w:val="both"/>
        <w:rPr>
          <w:rFonts w:ascii="Times New Roman" w:hAnsi="Times New Roman" w:cs="Times New Roman"/>
          <w:sz w:val="24"/>
          <w:szCs w:val="24"/>
        </w:rPr>
      </w:pPr>
      <w:r w:rsidRPr="008643CA">
        <w:rPr>
          <w:rFonts w:ascii="Times New Roman" w:hAnsi="Times New Roman" w:cs="Times New Roman"/>
          <w:b/>
          <w:bCs/>
          <w:sz w:val="24"/>
          <w:szCs w:val="24"/>
        </w:rPr>
        <w:t>5.</w:t>
      </w:r>
      <w:r w:rsidRPr="008643CA">
        <w:rPr>
          <w:rFonts w:ascii="Times New Roman" w:hAnsi="Times New Roman" w:cs="Times New Roman"/>
          <w:sz w:val="24"/>
          <w:szCs w:val="24"/>
        </w:rPr>
        <w:t xml:space="preserve"> It enhances the knowledge and skills of finance professionals, auditors, and treasury managers by providing detailed analysis of best practices in risk assessment and mitigation techniques.</w:t>
      </w:r>
    </w:p>
    <w:p w14:paraId="447986A8" w14:textId="13B8EF7C" w:rsidR="008643CA" w:rsidRDefault="008643CA" w:rsidP="008643CA">
      <w:pPr>
        <w:spacing w:line="360" w:lineRule="auto"/>
        <w:jc w:val="both"/>
        <w:rPr>
          <w:rFonts w:ascii="Times New Roman" w:hAnsi="Times New Roman" w:cs="Times New Roman"/>
          <w:b/>
          <w:bCs/>
          <w:sz w:val="24"/>
          <w:szCs w:val="24"/>
        </w:rPr>
      </w:pPr>
    </w:p>
    <w:p w14:paraId="25528B58" w14:textId="77777777" w:rsidR="008643CA" w:rsidRDefault="008643CA" w:rsidP="008643CA">
      <w:pPr>
        <w:spacing w:line="360" w:lineRule="auto"/>
        <w:jc w:val="both"/>
        <w:rPr>
          <w:rFonts w:ascii="Times New Roman" w:hAnsi="Times New Roman" w:cs="Times New Roman"/>
          <w:b/>
          <w:sz w:val="24"/>
          <w:szCs w:val="24"/>
        </w:rPr>
      </w:pPr>
      <w:r w:rsidRPr="00E63095">
        <w:rPr>
          <w:rFonts w:ascii="Times New Roman" w:hAnsi="Times New Roman" w:cs="Times New Roman"/>
          <w:b/>
          <w:sz w:val="24"/>
          <w:szCs w:val="24"/>
        </w:rPr>
        <w:lastRenderedPageBreak/>
        <w:t>INDUSTRY PROFILE</w:t>
      </w:r>
    </w:p>
    <w:p w14:paraId="06AB2D3E" w14:textId="77777777" w:rsidR="008643CA" w:rsidRDefault="008643CA"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43CA">
        <w:rPr>
          <w:rFonts w:ascii="Times New Roman" w:hAnsi="Times New Roman" w:cs="Times New Roman"/>
          <w:sz w:val="24"/>
          <w:szCs w:val="24"/>
        </w:rPr>
        <w:t xml:space="preserve">The banking industry in Nigeria plays a pivotal role in the country’s economic development, serving as the backbone for financial intermediation, investment, and international trade. Nigerian banks operate in a dynamic and often volatile economic environment, where fluctuations in foreign exchange rates significantly influence their operations and profitability. With Nigeria’s heavy reliance on imports and exports, as well as foreign currency transactions in oil and non-oil sectors, banks are constantly exposed to foreign exchange risks, which can affect lending, borrowing, and investment activities. The Central Bank of Nigeria (CBN) regulates the banking sector, providing guidelines on foreign currency operations, risk management practices, and capital adequacy requirements to maintain financial stability. </w:t>
      </w:r>
    </w:p>
    <w:p w14:paraId="39D18D95" w14:textId="77777777" w:rsidR="008643CA" w:rsidRDefault="008643CA"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43CA">
        <w:rPr>
          <w:rFonts w:ascii="Times New Roman" w:hAnsi="Times New Roman" w:cs="Times New Roman"/>
          <w:sz w:val="24"/>
          <w:szCs w:val="24"/>
        </w:rPr>
        <w:t xml:space="preserve">Over the years, Nigerian banks have adopted various strategies to mitigate foreign exchange risks, including forward contracts, currency swaps, derivatives, and hedging instruments, which help in stabilizing earnings and protecting assets. The industry comprises large commercial banks, merchant banks, and regional banks, each engaging in cross-border transactions, foreign remittances, and trade financing that require effective currency risk management. Globalization and increased participation in international financial markets have made Nigerian banks more vulnerable to exchange rate volatility, necessitating robust internal control systems and treasury management practices. </w:t>
      </w:r>
    </w:p>
    <w:p w14:paraId="0DC72343" w14:textId="77777777" w:rsidR="008643CA" w:rsidRDefault="008643CA"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43CA">
        <w:rPr>
          <w:rFonts w:ascii="Times New Roman" w:hAnsi="Times New Roman" w:cs="Times New Roman"/>
          <w:sz w:val="24"/>
          <w:szCs w:val="24"/>
        </w:rPr>
        <w:t xml:space="preserve">The introduction of advanced technology, such as computerized risk management systems, real-time currency monitoring, and automated reporting tools, has enhanced the ability of banks to identify, measure, and manage foreign exchange exposures efficiently. Additionally, Nigerian banks face challenges such as liquidity constraints, regulatory compliance pressures, and macroeconomic uncertainties, which require careful management of foreign currency positions to prevent significant financial losses. Research indicates that banks with strong foreign exchange risk management frameworks tend to exhibit higher profitability, improved asset quality, and better stakeholder confidence. </w:t>
      </w:r>
    </w:p>
    <w:p w14:paraId="7576E8FC" w14:textId="6DD5144A" w:rsidR="008643CA" w:rsidRDefault="008643CA"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43CA">
        <w:rPr>
          <w:rFonts w:ascii="Times New Roman" w:hAnsi="Times New Roman" w:cs="Times New Roman"/>
          <w:sz w:val="24"/>
          <w:szCs w:val="24"/>
        </w:rPr>
        <w:t xml:space="preserve">The industry also relies on skilled professionals in treasury, finance, and risk management departments to implement and monitor risk mitigation strategies effectively. Furthermore, foreign exchange risk management is increasingly viewed not just as a protective mechanism but as a strategic tool for optimizing returns, improving financial performance, and maintaining competitive advantage. </w:t>
      </w:r>
    </w:p>
    <w:p w14:paraId="042FC8AB" w14:textId="77777777" w:rsidR="008643CA" w:rsidRPr="00643432" w:rsidRDefault="008643CA" w:rsidP="008643CA">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lang w:val="en-US"/>
        </w:rPr>
        <w:lastRenderedPageBreak/>
        <w:t>1.4 STATEMENT OF THE PROBLEM</w:t>
      </w:r>
    </w:p>
    <w:p w14:paraId="0F713460" w14:textId="77777777" w:rsidR="008643CA" w:rsidRDefault="008643CA"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43CA">
        <w:rPr>
          <w:rFonts w:ascii="Times New Roman" w:hAnsi="Times New Roman" w:cs="Times New Roman"/>
          <w:sz w:val="24"/>
          <w:szCs w:val="24"/>
        </w:rPr>
        <w:t xml:space="preserve">The Nigerian banking sector operates in a complex economic environment where fluctuations in foreign exchange rates pose significant challenges to profitability and financial stability. Banks in Nigeria are exposed to various forms of foreign exchange risks, including transaction, translation, and economic exposures, which arise from cross-border transactions, trade financing, and investment in foreign-denominated assets. Uncontrolled exchange rate volatility can lead to substantial financial losses, reduced earnings, and weakened capital positions, thereby affecting stakeholder confidence. Despite the regulatory guidelines provided by the Central Bank of Nigeria, many banks face difficulties in implementing effective risk management strategies due to limited technological infrastructure, inadequate expertise, and insufficient monitoring mechanisms. </w:t>
      </w:r>
    </w:p>
    <w:p w14:paraId="37E3DA26" w14:textId="77777777" w:rsidR="008643CA" w:rsidRDefault="008643CA"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43CA">
        <w:rPr>
          <w:rFonts w:ascii="Times New Roman" w:hAnsi="Times New Roman" w:cs="Times New Roman"/>
          <w:sz w:val="24"/>
          <w:szCs w:val="24"/>
        </w:rPr>
        <w:t xml:space="preserve">The unpredictability of the Naira against major foreign currencies, coupled with macroeconomic uncertainties such as inflation, interest rate fluctuations, and global oil price shocks, further exacerbates exposure to foreign exchange risk. Consequently, banks that fail to manage these risks adequately may experience reduced profitability, poor asset quality, and increased operational vulnerabilities. Moreover, there is limited empirical research in the Nigerian context that clearly demonstrates the relationship between foreign exchange risk management practices and bank profitability. This gap in knowledge makes it difficult for financial institutions to benchmark their risk management strategies and measure their effectiveness. </w:t>
      </w:r>
    </w:p>
    <w:p w14:paraId="3A279B54" w14:textId="3148A844" w:rsidR="008643CA" w:rsidRDefault="008643CA" w:rsidP="008643CA">
      <w:pPr>
        <w:spacing w:line="360" w:lineRule="auto"/>
        <w:jc w:val="both"/>
        <w:rPr>
          <w:rFonts w:ascii="Times New Roman" w:hAnsi="Times New Roman" w:cs="Times New Roman"/>
          <w:b/>
          <w:bCs/>
          <w:sz w:val="24"/>
          <w:szCs w:val="24"/>
        </w:rPr>
      </w:pPr>
      <w:bookmarkStart w:id="3" w:name="_Hlk202098728"/>
      <w:r w:rsidRPr="00AD7255">
        <w:rPr>
          <w:rFonts w:ascii="Times New Roman" w:hAnsi="Times New Roman" w:cs="Times New Roman"/>
          <w:b/>
          <w:bCs/>
          <w:sz w:val="24"/>
          <w:szCs w:val="24"/>
        </w:rPr>
        <w:t>1.5 OBJECTIVES OF THE STUDY</w:t>
      </w:r>
      <w:bookmarkEnd w:id="3"/>
    </w:p>
    <w:p w14:paraId="635DB1C8" w14:textId="1D4AA648" w:rsidR="008643CA" w:rsidRPr="008643CA" w:rsidRDefault="008643CA" w:rsidP="008643CA">
      <w:pPr>
        <w:pStyle w:val="ListParagraph"/>
        <w:numPr>
          <w:ilvl w:val="0"/>
          <w:numId w:val="6"/>
        </w:numPr>
        <w:spacing w:line="360" w:lineRule="auto"/>
        <w:jc w:val="both"/>
        <w:rPr>
          <w:rFonts w:ascii="Times New Roman" w:hAnsi="Times New Roman" w:cs="Times New Roman"/>
          <w:sz w:val="24"/>
          <w:szCs w:val="24"/>
        </w:rPr>
      </w:pPr>
      <w:r w:rsidRPr="008643CA">
        <w:rPr>
          <w:rFonts w:ascii="Times New Roman" w:hAnsi="Times New Roman" w:cs="Times New Roman"/>
          <w:sz w:val="24"/>
          <w:szCs w:val="24"/>
        </w:rPr>
        <w:t>To examine the impact of foreign exchange risk on the profitability of Nigerian banks.</w:t>
      </w:r>
    </w:p>
    <w:p w14:paraId="1C7A31A1" w14:textId="242F464A" w:rsidR="008643CA" w:rsidRPr="008643CA" w:rsidRDefault="008643CA" w:rsidP="008643CA">
      <w:pPr>
        <w:pStyle w:val="ListParagraph"/>
        <w:numPr>
          <w:ilvl w:val="0"/>
          <w:numId w:val="6"/>
        </w:numPr>
        <w:spacing w:line="360" w:lineRule="auto"/>
        <w:jc w:val="both"/>
        <w:rPr>
          <w:rFonts w:ascii="Times New Roman" w:hAnsi="Times New Roman" w:cs="Times New Roman"/>
          <w:sz w:val="24"/>
          <w:szCs w:val="24"/>
        </w:rPr>
      </w:pPr>
      <w:r w:rsidRPr="008643CA">
        <w:rPr>
          <w:rFonts w:ascii="Times New Roman" w:hAnsi="Times New Roman" w:cs="Times New Roman"/>
          <w:sz w:val="24"/>
          <w:szCs w:val="24"/>
        </w:rPr>
        <w:t>To identify the various types of foreign exchange risks faced by banks in Nigeria.</w:t>
      </w:r>
    </w:p>
    <w:p w14:paraId="16CEBD84" w14:textId="5F3E1143" w:rsidR="008643CA" w:rsidRPr="008643CA" w:rsidRDefault="008643CA" w:rsidP="008643CA">
      <w:pPr>
        <w:pStyle w:val="ListParagraph"/>
        <w:numPr>
          <w:ilvl w:val="0"/>
          <w:numId w:val="6"/>
        </w:numPr>
        <w:spacing w:line="360" w:lineRule="auto"/>
        <w:jc w:val="both"/>
        <w:rPr>
          <w:rFonts w:ascii="Times New Roman" w:hAnsi="Times New Roman" w:cs="Times New Roman"/>
          <w:sz w:val="24"/>
          <w:szCs w:val="24"/>
        </w:rPr>
      </w:pPr>
      <w:r w:rsidRPr="008643CA">
        <w:rPr>
          <w:rFonts w:ascii="Times New Roman" w:hAnsi="Times New Roman" w:cs="Times New Roman"/>
          <w:sz w:val="24"/>
          <w:szCs w:val="24"/>
        </w:rPr>
        <w:t xml:space="preserve">To </w:t>
      </w:r>
      <w:proofErr w:type="spellStart"/>
      <w:r w:rsidRPr="008643CA">
        <w:rPr>
          <w:rFonts w:ascii="Times New Roman" w:hAnsi="Times New Roman" w:cs="Times New Roman"/>
          <w:sz w:val="24"/>
          <w:szCs w:val="24"/>
        </w:rPr>
        <w:t>analyze</w:t>
      </w:r>
      <w:proofErr w:type="spellEnd"/>
      <w:r w:rsidRPr="008643CA">
        <w:rPr>
          <w:rFonts w:ascii="Times New Roman" w:hAnsi="Times New Roman" w:cs="Times New Roman"/>
          <w:sz w:val="24"/>
          <w:szCs w:val="24"/>
        </w:rPr>
        <w:t xml:space="preserve"> the methods and strategies adopted by Nigerian banks to manage currency risks.</w:t>
      </w:r>
    </w:p>
    <w:p w14:paraId="14492422" w14:textId="040FF00C" w:rsidR="008643CA" w:rsidRPr="008643CA" w:rsidRDefault="008643CA" w:rsidP="008643CA">
      <w:pPr>
        <w:pStyle w:val="ListParagraph"/>
        <w:numPr>
          <w:ilvl w:val="0"/>
          <w:numId w:val="6"/>
        </w:numPr>
        <w:spacing w:line="360" w:lineRule="auto"/>
        <w:jc w:val="both"/>
        <w:rPr>
          <w:rFonts w:ascii="Times New Roman" w:hAnsi="Times New Roman" w:cs="Times New Roman"/>
          <w:sz w:val="24"/>
          <w:szCs w:val="24"/>
        </w:rPr>
      </w:pPr>
      <w:r w:rsidRPr="008643CA">
        <w:rPr>
          <w:rFonts w:ascii="Times New Roman" w:hAnsi="Times New Roman" w:cs="Times New Roman"/>
          <w:sz w:val="24"/>
          <w:szCs w:val="24"/>
        </w:rPr>
        <w:t>To assess the effectiveness of risk management tools such as hedging, forwards, and derivatives.</w:t>
      </w:r>
    </w:p>
    <w:p w14:paraId="54FBE226" w14:textId="3965CE2B" w:rsidR="008643CA" w:rsidRPr="008643CA" w:rsidRDefault="008643CA" w:rsidP="008643CA">
      <w:pPr>
        <w:pStyle w:val="ListParagraph"/>
        <w:numPr>
          <w:ilvl w:val="0"/>
          <w:numId w:val="6"/>
        </w:numPr>
        <w:spacing w:line="360" w:lineRule="auto"/>
        <w:jc w:val="both"/>
        <w:rPr>
          <w:rFonts w:ascii="Times New Roman" w:hAnsi="Times New Roman" w:cs="Times New Roman"/>
          <w:sz w:val="24"/>
          <w:szCs w:val="24"/>
        </w:rPr>
      </w:pPr>
      <w:r w:rsidRPr="008643CA">
        <w:rPr>
          <w:rFonts w:ascii="Times New Roman" w:hAnsi="Times New Roman" w:cs="Times New Roman"/>
          <w:sz w:val="24"/>
          <w:szCs w:val="24"/>
        </w:rPr>
        <w:t>To evaluate the role of regulatory frameworks in guiding foreign exchange risk management.</w:t>
      </w:r>
    </w:p>
    <w:p w14:paraId="5E1FB5AD" w14:textId="4B366D53" w:rsidR="008643CA" w:rsidRPr="008643CA" w:rsidRDefault="008643CA" w:rsidP="008643CA">
      <w:pPr>
        <w:pStyle w:val="ListParagraph"/>
        <w:numPr>
          <w:ilvl w:val="0"/>
          <w:numId w:val="6"/>
        </w:numPr>
        <w:spacing w:line="360" w:lineRule="auto"/>
        <w:jc w:val="both"/>
        <w:rPr>
          <w:rFonts w:ascii="Times New Roman" w:hAnsi="Times New Roman" w:cs="Times New Roman"/>
          <w:sz w:val="24"/>
          <w:szCs w:val="24"/>
        </w:rPr>
      </w:pPr>
      <w:r w:rsidRPr="008643CA">
        <w:rPr>
          <w:rFonts w:ascii="Times New Roman" w:hAnsi="Times New Roman" w:cs="Times New Roman"/>
          <w:sz w:val="24"/>
          <w:szCs w:val="24"/>
        </w:rPr>
        <w:t>To understand how internal controls and governance structures influence risk mitigation.</w:t>
      </w:r>
    </w:p>
    <w:p w14:paraId="0189A0F1" w14:textId="1143E3D4" w:rsidR="008643CA" w:rsidRPr="008643CA" w:rsidRDefault="008643CA" w:rsidP="008643CA">
      <w:pPr>
        <w:pStyle w:val="ListParagraph"/>
        <w:numPr>
          <w:ilvl w:val="0"/>
          <w:numId w:val="6"/>
        </w:numPr>
        <w:spacing w:line="360" w:lineRule="auto"/>
        <w:jc w:val="both"/>
        <w:rPr>
          <w:rFonts w:ascii="Times New Roman" w:hAnsi="Times New Roman" w:cs="Times New Roman"/>
          <w:sz w:val="24"/>
          <w:szCs w:val="24"/>
        </w:rPr>
      </w:pPr>
      <w:r w:rsidRPr="008643CA">
        <w:rPr>
          <w:rFonts w:ascii="Times New Roman" w:hAnsi="Times New Roman" w:cs="Times New Roman"/>
          <w:sz w:val="24"/>
          <w:szCs w:val="24"/>
        </w:rPr>
        <w:t>To investigate the relationship between foreign exchange risk management and overall financial stability.</w:t>
      </w:r>
    </w:p>
    <w:p w14:paraId="08D0B447" w14:textId="77777777" w:rsidR="008643CA" w:rsidRPr="008643CA" w:rsidRDefault="008643CA" w:rsidP="008643CA">
      <w:pPr>
        <w:spacing w:line="360" w:lineRule="auto"/>
        <w:jc w:val="both"/>
        <w:rPr>
          <w:rFonts w:ascii="Times New Roman" w:hAnsi="Times New Roman" w:cs="Times New Roman"/>
          <w:b/>
          <w:bCs/>
          <w:sz w:val="24"/>
          <w:szCs w:val="24"/>
          <w:lang w:val="en-US"/>
        </w:rPr>
      </w:pPr>
      <w:r w:rsidRPr="008643CA">
        <w:rPr>
          <w:rFonts w:ascii="Times New Roman" w:hAnsi="Times New Roman" w:cs="Times New Roman"/>
          <w:b/>
          <w:bCs/>
          <w:sz w:val="24"/>
          <w:szCs w:val="24"/>
          <w:lang w:val="en-US"/>
        </w:rPr>
        <w:lastRenderedPageBreak/>
        <w:t>1.6 SCOPE OF THE STUDY</w:t>
      </w:r>
    </w:p>
    <w:p w14:paraId="61B3F397" w14:textId="77777777" w:rsidR="00060262" w:rsidRDefault="00060262"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60262">
        <w:rPr>
          <w:rFonts w:ascii="Times New Roman" w:hAnsi="Times New Roman" w:cs="Times New Roman"/>
          <w:sz w:val="24"/>
          <w:szCs w:val="24"/>
        </w:rPr>
        <w:t xml:space="preserve">The scope of this study encompasses the examination of foreign exchange risk management practices in the Nigerian banking sector and their influence on bank profitability. It focuses on both commercial and merchant banks operating within Nigeria, particularly those engaged in international trade, foreign currency transactions, and investment in foreign-denominated assets. The study covers different types of foreign exchange risks, including transaction exposure, translation exposure, and economic exposure, and explores how these risks affect financial performance and operational stability. </w:t>
      </w:r>
    </w:p>
    <w:p w14:paraId="0229EFD0" w14:textId="77777777" w:rsidR="00060262" w:rsidRDefault="00060262"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60262">
        <w:rPr>
          <w:rFonts w:ascii="Times New Roman" w:hAnsi="Times New Roman" w:cs="Times New Roman"/>
          <w:sz w:val="24"/>
          <w:szCs w:val="24"/>
        </w:rPr>
        <w:t xml:space="preserve">It </w:t>
      </w:r>
      <w:proofErr w:type="spellStart"/>
      <w:r w:rsidRPr="00060262">
        <w:rPr>
          <w:rFonts w:ascii="Times New Roman" w:hAnsi="Times New Roman" w:cs="Times New Roman"/>
          <w:sz w:val="24"/>
          <w:szCs w:val="24"/>
        </w:rPr>
        <w:t>analyzes</w:t>
      </w:r>
      <w:proofErr w:type="spellEnd"/>
      <w:r w:rsidRPr="00060262">
        <w:rPr>
          <w:rFonts w:ascii="Times New Roman" w:hAnsi="Times New Roman" w:cs="Times New Roman"/>
          <w:sz w:val="24"/>
          <w:szCs w:val="24"/>
        </w:rPr>
        <w:t xml:space="preserve"> the strategies and tools employed by banks to mitigate currency risk, such as forward contracts, hedging techniques, derivatives, swaps, and other risk management instruments. The research also considers the role of internal controls, treasury operations, and audit mechanisms in ensuring effective risk mitigation. Additionally, it examines the impact of macroeconomic factors such as exchange rate fluctuations, inflation, interest rate changes, and global market trends on foreign exchange exposure and bank earnings. The study is limited to assessing the relationship between risk management practices and profitability, without covering other unrelated operational risks. It also considers the regulatory framework established by the Central Bank of Nigeria, as well as guidelines and policies that influence how banks manage foreign currency risks. </w:t>
      </w:r>
    </w:p>
    <w:p w14:paraId="48A0844B" w14:textId="77777777" w:rsidR="00060262" w:rsidRDefault="00060262"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60262">
        <w:rPr>
          <w:rFonts w:ascii="Times New Roman" w:hAnsi="Times New Roman" w:cs="Times New Roman"/>
          <w:sz w:val="24"/>
          <w:szCs w:val="24"/>
        </w:rPr>
        <w:t xml:space="preserve">The scope includes both primary and secondary data, using questionnaires, interviews, annual reports, and financial statements to gather insights. Furthermore, it highlights the technological tools and innovations used in risk monitoring and forecasting, such as real-time currency tracking and automated reporting systems. While the study focuses primarily on the Nigerian context, the findings may have implications for banks in other emerging economies facing similar foreign exchange challenges. By concentrating on the effectiveness of risk management strategies, the research aims to provide practical recommendations for improving profitability and financial resilience. </w:t>
      </w:r>
    </w:p>
    <w:p w14:paraId="566441EB" w14:textId="0AAF1E5D" w:rsidR="008643CA" w:rsidRDefault="00060262" w:rsidP="008643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60262">
        <w:rPr>
          <w:rFonts w:ascii="Times New Roman" w:hAnsi="Times New Roman" w:cs="Times New Roman"/>
          <w:sz w:val="24"/>
          <w:szCs w:val="24"/>
        </w:rPr>
        <w:t>The study also seeks to contribute to academic literature by offering empirical evidence on the link between foreign exchange risk management and bank performance. Overall, the scope ensures a comprehensive understanding of how Nigerian banks navigate currency fluctuations, the methods they employ to protect their earnings, and the broader implications for financial stability, regulatory compliance, and sustainable growth in the banking sector.</w:t>
      </w:r>
    </w:p>
    <w:p w14:paraId="79E7BAFD" w14:textId="77777777" w:rsidR="00060262" w:rsidRDefault="00060262" w:rsidP="008643CA">
      <w:pPr>
        <w:spacing w:line="360" w:lineRule="auto"/>
        <w:jc w:val="both"/>
        <w:rPr>
          <w:rFonts w:ascii="Times New Roman" w:hAnsi="Times New Roman" w:cs="Times New Roman"/>
          <w:sz w:val="24"/>
          <w:szCs w:val="24"/>
        </w:rPr>
      </w:pPr>
    </w:p>
    <w:p w14:paraId="73A2DD66" w14:textId="77777777" w:rsidR="00060262" w:rsidRDefault="00060262" w:rsidP="00060262">
      <w:pPr>
        <w:spacing w:line="360" w:lineRule="auto"/>
        <w:jc w:val="both"/>
        <w:rPr>
          <w:rFonts w:ascii="Times New Roman" w:hAnsi="Times New Roman" w:cs="Times New Roman"/>
          <w:b/>
          <w:bCs/>
          <w:sz w:val="24"/>
          <w:szCs w:val="24"/>
          <w:lang w:val="en-US"/>
        </w:rPr>
      </w:pPr>
      <w:r w:rsidRPr="006E2866">
        <w:rPr>
          <w:rFonts w:ascii="Times New Roman" w:hAnsi="Times New Roman" w:cs="Times New Roman"/>
          <w:b/>
          <w:bCs/>
          <w:sz w:val="24"/>
          <w:szCs w:val="24"/>
          <w:lang w:val="en-US"/>
        </w:rPr>
        <w:lastRenderedPageBreak/>
        <w:t>1.7 LIMITATIONS OF THE STUDY</w:t>
      </w:r>
    </w:p>
    <w:p w14:paraId="10BC130F" w14:textId="77777777" w:rsidR="00060262" w:rsidRDefault="00060262" w:rsidP="000602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60262">
        <w:rPr>
          <w:rFonts w:ascii="Times New Roman" w:hAnsi="Times New Roman" w:cs="Times New Roman"/>
          <w:sz w:val="24"/>
          <w:szCs w:val="24"/>
        </w:rPr>
        <w:t xml:space="preserve">The study on foreign exchange risk management in the Nigerian banking sector, while comprehensive, is subject to certain limitations that may affect the findings and their generalizability. One of the primary limitations is the reliance on secondary data sources such as published financial statements, annual reports, regulatory documents, and previous research studies, which may not fully reflect the most current risk management practices or real-time currency fluctuations. Access to primary data from banks can be restricted due to confidentiality concerns, as financial institutions are often unwilling to disclose detailed information on their foreign exchange positions, hedging strategies, and internal control mechanisms. Time constraints and resource limitations further restrict the ability to conduct extensive surveys, interviews, or longitudinal studies across multiple banks, which may limit the depth of analysis. </w:t>
      </w:r>
    </w:p>
    <w:p w14:paraId="758F0C1B" w14:textId="77777777" w:rsidR="00060262" w:rsidRDefault="00060262" w:rsidP="000602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60262">
        <w:rPr>
          <w:rFonts w:ascii="Times New Roman" w:hAnsi="Times New Roman" w:cs="Times New Roman"/>
          <w:sz w:val="24"/>
          <w:szCs w:val="24"/>
        </w:rPr>
        <w:t xml:space="preserve">The study is also focused exclusively on the Nigerian banking sector, meaning that the findings may not be directly applicable to banks in other countries or emerging markets with different economic conditions and regulatory environments. Additionally, the dynamic nature of foreign exchange markets, influenced by global economic trends, geopolitical events, and macroeconomic policy changes, can make it challenging to draw definitive conclusions about the long-term impact of risk management strategies on profitability. Measurement challenges also exist, as quantifying the exact impact of foreign exchange risk management on profit is complex due to multiple confounding factors, including interest rate fluctuations, inflation, and operational costs. </w:t>
      </w:r>
    </w:p>
    <w:p w14:paraId="4729A8A4" w14:textId="653BBD6B" w:rsidR="00060262" w:rsidRDefault="00060262" w:rsidP="000602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60262">
        <w:rPr>
          <w:rFonts w:ascii="Times New Roman" w:hAnsi="Times New Roman" w:cs="Times New Roman"/>
          <w:sz w:val="24"/>
          <w:szCs w:val="24"/>
        </w:rPr>
        <w:t xml:space="preserve">Another limitation is the potential for respondent bias during interviews or surveys, as bank officials may overstate the effectiveness of their risk management practices to present a </w:t>
      </w:r>
      <w:proofErr w:type="spellStart"/>
      <w:r w:rsidRPr="00060262">
        <w:rPr>
          <w:rFonts w:ascii="Times New Roman" w:hAnsi="Times New Roman" w:cs="Times New Roman"/>
          <w:sz w:val="24"/>
          <w:szCs w:val="24"/>
        </w:rPr>
        <w:t>favorable</w:t>
      </w:r>
      <w:proofErr w:type="spellEnd"/>
      <w:r w:rsidRPr="00060262">
        <w:rPr>
          <w:rFonts w:ascii="Times New Roman" w:hAnsi="Times New Roman" w:cs="Times New Roman"/>
          <w:sz w:val="24"/>
          <w:szCs w:val="24"/>
        </w:rPr>
        <w:t xml:space="preserve"> image. The study also does not comprehensively cover all types of financial and operational risks faced by banks, focusing solely on foreign exchange exposure, which may limit the broader understanding of risk management. Despite these limitations, the study provides valuable insights into how Nigerian banks manage currency risks and the implications for profitability. The findings are intended to inform policymakers, bank management, and stakeholders while highlighting areas for improvement in risk mitigation, governance, and strategic financial planning. </w:t>
      </w:r>
    </w:p>
    <w:p w14:paraId="5A5A377E" w14:textId="77777777" w:rsidR="00060262" w:rsidRDefault="00060262" w:rsidP="00060262">
      <w:pPr>
        <w:spacing w:line="360" w:lineRule="auto"/>
        <w:jc w:val="both"/>
        <w:rPr>
          <w:rFonts w:ascii="Times New Roman" w:hAnsi="Times New Roman" w:cs="Times New Roman"/>
          <w:sz w:val="24"/>
          <w:szCs w:val="24"/>
        </w:rPr>
      </w:pPr>
    </w:p>
    <w:p w14:paraId="3FD1F73A" w14:textId="77777777" w:rsidR="00060262" w:rsidRDefault="00060262" w:rsidP="00060262">
      <w:pPr>
        <w:spacing w:line="360" w:lineRule="auto"/>
        <w:jc w:val="both"/>
        <w:rPr>
          <w:rFonts w:ascii="Times New Roman" w:hAnsi="Times New Roman" w:cs="Times New Roman"/>
          <w:sz w:val="24"/>
          <w:szCs w:val="24"/>
        </w:rPr>
      </w:pPr>
    </w:p>
    <w:p w14:paraId="35D5E798" w14:textId="77777777" w:rsidR="00060262" w:rsidRPr="00AD7255" w:rsidRDefault="00060262" w:rsidP="00060262">
      <w:pPr>
        <w:spacing w:line="360" w:lineRule="auto"/>
        <w:jc w:val="center"/>
        <w:rPr>
          <w:rFonts w:ascii="Times New Roman" w:hAnsi="Times New Roman" w:cs="Times New Roman"/>
          <w:b/>
          <w:bCs/>
          <w:sz w:val="24"/>
          <w:szCs w:val="24"/>
          <w:lang w:val="en-US"/>
        </w:rPr>
      </w:pPr>
      <w:bookmarkStart w:id="4" w:name="_Hlk202089904"/>
      <w:r w:rsidRPr="00AD7255">
        <w:rPr>
          <w:rFonts w:ascii="Times New Roman" w:hAnsi="Times New Roman" w:cs="Times New Roman"/>
          <w:b/>
          <w:bCs/>
          <w:sz w:val="24"/>
          <w:szCs w:val="24"/>
          <w:lang w:val="en-US"/>
        </w:rPr>
        <w:lastRenderedPageBreak/>
        <w:t>CHAPTER – II</w:t>
      </w:r>
    </w:p>
    <w:p w14:paraId="6A227DF9" w14:textId="77777777" w:rsidR="00060262" w:rsidRDefault="00060262" w:rsidP="00060262">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4"/>
    <w:p w14:paraId="4E660583" w14:textId="77777777" w:rsidR="00060262" w:rsidRPr="00060262" w:rsidRDefault="00060262" w:rsidP="00060262">
      <w:pPr>
        <w:spacing w:line="360" w:lineRule="auto"/>
        <w:jc w:val="both"/>
        <w:rPr>
          <w:rFonts w:ascii="Times New Roman" w:hAnsi="Times New Roman" w:cs="Times New Roman"/>
          <w:b/>
          <w:bCs/>
          <w:sz w:val="24"/>
          <w:szCs w:val="24"/>
        </w:rPr>
      </w:pPr>
      <w:r w:rsidRPr="00060262">
        <w:rPr>
          <w:rFonts w:ascii="Times New Roman" w:hAnsi="Times New Roman" w:cs="Times New Roman"/>
          <w:b/>
          <w:bCs/>
          <w:sz w:val="24"/>
          <w:szCs w:val="24"/>
        </w:rPr>
        <w:t>2.1 Concept of Foreign Exchange Risk</w:t>
      </w:r>
    </w:p>
    <w:p w14:paraId="3AEE472F" w14:textId="77777777" w:rsidR="00060262" w:rsidRPr="00060262" w:rsidRDefault="00060262" w:rsidP="00060262">
      <w:p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Foreign exchange risk, also known as currency risk, arises from the fluctuation of exchange rates between domestic and foreign currencies. In the context of Nigerian banks, this risk emerges primarily from international trade, cross-border investments, and foreign currency loans or deposits. Studies indicate that unhedged currency exposure can significantly affect a bank’s profitability, as fluctuations in the Naira against major currencies like the US Dollar, Euro, and British Pound can lead to financial losses. Scholars have emphasized that managing foreign exchange risk is critical for maintaining financial stability and protecting shareholder value in volatile markets.</w:t>
      </w:r>
    </w:p>
    <w:p w14:paraId="622DB2AF" w14:textId="77777777" w:rsidR="00060262" w:rsidRPr="00060262" w:rsidRDefault="00060262" w:rsidP="00060262">
      <w:pPr>
        <w:spacing w:line="360" w:lineRule="auto"/>
        <w:jc w:val="both"/>
        <w:rPr>
          <w:rFonts w:ascii="Times New Roman" w:hAnsi="Times New Roman" w:cs="Times New Roman"/>
          <w:b/>
          <w:bCs/>
          <w:sz w:val="24"/>
          <w:szCs w:val="24"/>
        </w:rPr>
      </w:pPr>
      <w:r w:rsidRPr="00060262">
        <w:rPr>
          <w:rFonts w:ascii="Times New Roman" w:hAnsi="Times New Roman" w:cs="Times New Roman"/>
          <w:b/>
          <w:bCs/>
          <w:sz w:val="24"/>
          <w:szCs w:val="24"/>
        </w:rPr>
        <w:t>2.2 Types of Foreign Exchange Risks</w:t>
      </w:r>
    </w:p>
    <w:p w14:paraId="0E2CD0E6" w14:textId="77777777" w:rsidR="00060262" w:rsidRPr="00060262" w:rsidRDefault="00060262" w:rsidP="00060262">
      <w:p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Literature identifies three main types of foreign exchange risks: transaction exposure, translation exposure, and economic exposure. Transaction exposure occurs when banks engage in foreign currency transactions, and settlements are affected by rate fluctuations. Translation exposure relates to the revaluation of foreign assets and liabilities in financial statements, impacting reported earnings. Economic exposure refers to the long-term effect of exchange rate changes on a bank’s market value and competitive position. Effective management of these exposures is essential for ensuring the sustainability of banking operations.</w:t>
      </w:r>
    </w:p>
    <w:p w14:paraId="6856BB8E" w14:textId="77777777" w:rsidR="00060262" w:rsidRPr="00060262" w:rsidRDefault="00060262" w:rsidP="00060262">
      <w:pPr>
        <w:spacing w:line="360" w:lineRule="auto"/>
        <w:jc w:val="both"/>
        <w:rPr>
          <w:rFonts w:ascii="Times New Roman" w:hAnsi="Times New Roman" w:cs="Times New Roman"/>
          <w:b/>
          <w:bCs/>
          <w:sz w:val="24"/>
          <w:szCs w:val="24"/>
        </w:rPr>
      </w:pPr>
      <w:r w:rsidRPr="00060262">
        <w:rPr>
          <w:rFonts w:ascii="Times New Roman" w:hAnsi="Times New Roman" w:cs="Times New Roman"/>
          <w:b/>
          <w:bCs/>
          <w:sz w:val="24"/>
          <w:szCs w:val="24"/>
        </w:rPr>
        <w:t>2.3 Foreign Exchange Risk and Bank Profitability</w:t>
      </w:r>
    </w:p>
    <w:p w14:paraId="626612AC" w14:textId="77777777" w:rsidR="00060262" w:rsidRPr="00060262" w:rsidRDefault="00060262" w:rsidP="00060262">
      <w:p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Several studies have explored the direct relationship between foreign exchange risk management and bank profitability. Research indicates that banks employing comprehensive hedging strategies, derivatives, and forward contracts can mitigate potential losses and stabilize earnings. Empirical studies in emerging economies, including Nigeria, show that proactive risk management practices enhance financial performance, reduce operational volatility, and increase investor confidence. Conversely, inadequate risk management has been linked to substantial financial losses, liquidity issues, and reduced capital adequacy.</w:t>
      </w:r>
    </w:p>
    <w:p w14:paraId="00E73365" w14:textId="77777777" w:rsidR="00060262" w:rsidRPr="00060262" w:rsidRDefault="00060262" w:rsidP="00060262">
      <w:pPr>
        <w:spacing w:line="360" w:lineRule="auto"/>
        <w:jc w:val="both"/>
        <w:rPr>
          <w:rFonts w:ascii="Times New Roman" w:hAnsi="Times New Roman" w:cs="Times New Roman"/>
          <w:b/>
          <w:bCs/>
          <w:sz w:val="24"/>
          <w:szCs w:val="24"/>
        </w:rPr>
      </w:pPr>
      <w:r w:rsidRPr="00060262">
        <w:rPr>
          <w:rFonts w:ascii="Times New Roman" w:hAnsi="Times New Roman" w:cs="Times New Roman"/>
          <w:b/>
          <w:bCs/>
          <w:sz w:val="24"/>
          <w:szCs w:val="24"/>
        </w:rPr>
        <w:t>2.4 Risk Management Techniques in Banking</w:t>
      </w:r>
    </w:p>
    <w:p w14:paraId="40AB542D" w14:textId="77777777" w:rsidR="00060262" w:rsidRPr="00060262" w:rsidRDefault="00060262" w:rsidP="00060262">
      <w:p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 xml:space="preserve">The literature highlights various tools and techniques employed by banks to manage foreign exchange risk. Hedging using forward contracts, futures, options, and currency swaps is </w:t>
      </w:r>
      <w:r w:rsidRPr="00060262">
        <w:rPr>
          <w:rFonts w:ascii="Times New Roman" w:hAnsi="Times New Roman" w:cs="Times New Roman"/>
          <w:sz w:val="24"/>
          <w:szCs w:val="24"/>
        </w:rPr>
        <w:lastRenderedPageBreak/>
        <w:t>commonly adopted to minimize transaction and economic exposure. Internal risk management frameworks, including treasury operations, scenario analysis, stress testing, and real-time monitoring of currency positions, further enhance a bank’s ability to respond to market volatility. Studies suggest that banks integrating technology and analytical tools into their risk management practices experience better control over foreign currency exposures and improved profitability.</w:t>
      </w:r>
    </w:p>
    <w:p w14:paraId="07C91BD1" w14:textId="77777777" w:rsidR="00060262" w:rsidRPr="00060262" w:rsidRDefault="00060262" w:rsidP="00060262">
      <w:pPr>
        <w:spacing w:line="360" w:lineRule="auto"/>
        <w:jc w:val="both"/>
        <w:rPr>
          <w:rFonts w:ascii="Times New Roman" w:hAnsi="Times New Roman" w:cs="Times New Roman"/>
          <w:b/>
          <w:bCs/>
          <w:sz w:val="24"/>
          <w:szCs w:val="24"/>
        </w:rPr>
      </w:pPr>
      <w:r w:rsidRPr="00060262">
        <w:rPr>
          <w:rFonts w:ascii="Times New Roman" w:hAnsi="Times New Roman" w:cs="Times New Roman"/>
          <w:b/>
          <w:bCs/>
          <w:sz w:val="24"/>
          <w:szCs w:val="24"/>
        </w:rPr>
        <w:t>2.5 Regulatory Framework and Corporate Governance</w:t>
      </w:r>
    </w:p>
    <w:p w14:paraId="493CDB38" w14:textId="77777777" w:rsidR="00060262" w:rsidRPr="00060262" w:rsidRDefault="00060262" w:rsidP="00060262">
      <w:p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The Central Bank of Nigeria (CBN) plays a pivotal role in regulating foreign exchange operations in the banking sector. Literature emphasizes that compliance with CBN guidelines, international financial reporting standards, and corporate governance principles ensures that banks manage currency risk effectively. Strong governance, independent audits, and effective internal controls are highlighted as critical factors for minimizing foreign exchange losses and maintaining stakeholder confidence.</w:t>
      </w:r>
    </w:p>
    <w:p w14:paraId="3EB2D952" w14:textId="77777777" w:rsidR="00060262" w:rsidRPr="00060262" w:rsidRDefault="00060262" w:rsidP="00060262">
      <w:pPr>
        <w:spacing w:line="360" w:lineRule="auto"/>
        <w:jc w:val="both"/>
        <w:rPr>
          <w:rFonts w:ascii="Times New Roman" w:hAnsi="Times New Roman" w:cs="Times New Roman"/>
          <w:b/>
          <w:bCs/>
          <w:sz w:val="24"/>
          <w:szCs w:val="24"/>
        </w:rPr>
      </w:pPr>
      <w:r w:rsidRPr="00060262">
        <w:rPr>
          <w:rFonts w:ascii="Times New Roman" w:hAnsi="Times New Roman" w:cs="Times New Roman"/>
          <w:b/>
          <w:bCs/>
          <w:sz w:val="24"/>
          <w:szCs w:val="24"/>
        </w:rPr>
        <w:t>2.6 Challenges in Foreign Exchange Risk Management</w:t>
      </w:r>
    </w:p>
    <w:p w14:paraId="6E4800CB" w14:textId="77777777" w:rsidR="00060262" w:rsidRPr="00060262" w:rsidRDefault="00060262" w:rsidP="00060262">
      <w:p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Studies also point to significant challenges faced by Nigerian banks in managing foreign exchange risk. These include exchange rate volatility, limited access to advanced risk management tools, inadequate professional expertise, and macroeconomic uncertainties such as inflation and fluctuating oil revenues. Researchers highlight that these challenges necessitate a proactive approach, combining regulatory compliance, strategic planning, and technological adoption to safeguard profitability.</w:t>
      </w:r>
    </w:p>
    <w:p w14:paraId="5B535C10" w14:textId="77777777" w:rsidR="00060262" w:rsidRPr="00060262" w:rsidRDefault="00060262" w:rsidP="00060262">
      <w:pPr>
        <w:spacing w:line="360" w:lineRule="auto"/>
        <w:jc w:val="both"/>
        <w:rPr>
          <w:rFonts w:ascii="Times New Roman" w:hAnsi="Times New Roman" w:cs="Times New Roman"/>
          <w:b/>
          <w:bCs/>
          <w:sz w:val="24"/>
          <w:szCs w:val="24"/>
        </w:rPr>
      </w:pPr>
      <w:r w:rsidRPr="00060262">
        <w:rPr>
          <w:rFonts w:ascii="Times New Roman" w:hAnsi="Times New Roman" w:cs="Times New Roman"/>
          <w:b/>
          <w:bCs/>
          <w:sz w:val="24"/>
          <w:szCs w:val="24"/>
        </w:rPr>
        <w:t>2.7 Summary of Literature Review</w:t>
      </w:r>
    </w:p>
    <w:p w14:paraId="27FFB671" w14:textId="77777777" w:rsidR="00060262" w:rsidRPr="00060262" w:rsidRDefault="00060262" w:rsidP="00060262">
      <w:p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The literature underscores the critical importance of foreign exchange risk management for Nigerian banks, emphasizing its direct impact on profitability, financial stability, and market credibility. It shows that effective risk management techniques, supported by robust internal controls, technological tools, and regulatory compliance, are essential for mitigating potential losses. However, challenges such as currency volatility and resource limitations remain significant. The review establishes a foundation for the present study, which seeks to empirically examine how foreign exchange risk management practices influence the profitability of banks in Nigeria and identify strategies for enhancing financial resilience.</w:t>
      </w:r>
    </w:p>
    <w:p w14:paraId="095C33DC" w14:textId="77777777" w:rsidR="00060262" w:rsidRDefault="00060262" w:rsidP="00060262">
      <w:pPr>
        <w:spacing w:line="360" w:lineRule="auto"/>
        <w:jc w:val="both"/>
        <w:rPr>
          <w:rFonts w:ascii="Times New Roman" w:hAnsi="Times New Roman" w:cs="Times New Roman"/>
          <w:sz w:val="24"/>
          <w:szCs w:val="24"/>
        </w:rPr>
      </w:pPr>
    </w:p>
    <w:p w14:paraId="7B1C62E2" w14:textId="77777777" w:rsidR="00060262" w:rsidRPr="0078607C" w:rsidRDefault="00060262" w:rsidP="00060262">
      <w:pPr>
        <w:spacing w:line="360" w:lineRule="auto"/>
        <w:jc w:val="center"/>
        <w:rPr>
          <w:rFonts w:ascii="Times New Roman" w:hAnsi="Times New Roman" w:cs="Times New Roman"/>
          <w:b/>
          <w:bCs/>
          <w:sz w:val="24"/>
          <w:szCs w:val="24"/>
          <w:lang w:val="en-US"/>
        </w:rPr>
      </w:pPr>
      <w:bookmarkStart w:id="5" w:name="_Hlk202090009"/>
      <w:r w:rsidRPr="0078607C">
        <w:rPr>
          <w:rFonts w:ascii="Times New Roman" w:hAnsi="Times New Roman" w:cs="Times New Roman"/>
          <w:b/>
          <w:bCs/>
          <w:sz w:val="24"/>
          <w:szCs w:val="24"/>
          <w:lang w:val="en-US"/>
        </w:rPr>
        <w:lastRenderedPageBreak/>
        <w:t>CHAPTER – III</w:t>
      </w:r>
    </w:p>
    <w:p w14:paraId="0B0A6F64" w14:textId="77777777" w:rsidR="00060262" w:rsidRPr="0078607C" w:rsidRDefault="00060262" w:rsidP="00060262">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5"/>
    <w:p w14:paraId="14B53F54" w14:textId="77777777" w:rsidR="00060262" w:rsidRPr="00060262" w:rsidRDefault="00060262" w:rsidP="00060262">
      <w:pPr>
        <w:spacing w:line="360" w:lineRule="auto"/>
        <w:jc w:val="both"/>
        <w:rPr>
          <w:rFonts w:ascii="Times New Roman" w:hAnsi="Times New Roman" w:cs="Times New Roman"/>
          <w:b/>
          <w:bCs/>
          <w:sz w:val="24"/>
          <w:szCs w:val="24"/>
        </w:rPr>
      </w:pPr>
      <w:r w:rsidRPr="00060262">
        <w:rPr>
          <w:rFonts w:ascii="Times New Roman" w:hAnsi="Times New Roman" w:cs="Times New Roman"/>
          <w:b/>
          <w:bCs/>
          <w:sz w:val="24"/>
          <w:szCs w:val="24"/>
        </w:rPr>
        <w:t>3.1 Research Design</w:t>
      </w:r>
    </w:p>
    <w:p w14:paraId="084B346A" w14:textId="77777777" w:rsidR="00060262" w:rsidRPr="00060262" w:rsidRDefault="00060262" w:rsidP="00060262">
      <w:p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This study adopts a descriptive research design to examine the impact of foreign exchange risk management on the profitability of Nigerian banks. The descriptive approach allows for systematic observation, collection, and analysis of data related to foreign exchange risk exposures, management strategies, and bank performance. This design enables the study to identify patterns, relationships, and trends in how banks implement risk management techniques and the resulting effect on financial outcomes.</w:t>
      </w:r>
    </w:p>
    <w:p w14:paraId="48267124" w14:textId="77777777" w:rsidR="00060262" w:rsidRPr="00060262" w:rsidRDefault="00060262" w:rsidP="00060262">
      <w:pPr>
        <w:spacing w:line="360" w:lineRule="auto"/>
        <w:jc w:val="both"/>
        <w:rPr>
          <w:rFonts w:ascii="Times New Roman" w:hAnsi="Times New Roman" w:cs="Times New Roman"/>
          <w:b/>
          <w:bCs/>
          <w:sz w:val="24"/>
          <w:szCs w:val="24"/>
        </w:rPr>
      </w:pPr>
      <w:r w:rsidRPr="00060262">
        <w:rPr>
          <w:rFonts w:ascii="Times New Roman" w:hAnsi="Times New Roman" w:cs="Times New Roman"/>
          <w:b/>
          <w:bCs/>
          <w:sz w:val="24"/>
          <w:szCs w:val="24"/>
        </w:rPr>
        <w:t>3.2 Population and Sample</w:t>
      </w:r>
    </w:p>
    <w:p w14:paraId="05CF597C" w14:textId="77777777" w:rsidR="00060262" w:rsidRPr="00060262" w:rsidRDefault="00060262" w:rsidP="00060262">
      <w:p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The population of this study includes all commercial and merchant banks operating in Nigeria, particularly those engaged in foreign currency transactions, international trade financing, and investment activities in foreign-denominated assets. A purposive sampling technique is employed to select a representative sample of 50 bank officials, including treasury managers, auditors, finance officers, and risk management personnel, who are directly involved in foreign exchange operations and decision-making processes.</w:t>
      </w:r>
    </w:p>
    <w:p w14:paraId="7EA890A2" w14:textId="77777777" w:rsidR="00060262" w:rsidRPr="00060262" w:rsidRDefault="00060262" w:rsidP="00060262">
      <w:pPr>
        <w:spacing w:line="360" w:lineRule="auto"/>
        <w:jc w:val="both"/>
        <w:rPr>
          <w:rFonts w:ascii="Times New Roman" w:hAnsi="Times New Roman" w:cs="Times New Roman"/>
          <w:b/>
          <w:bCs/>
          <w:sz w:val="24"/>
          <w:szCs w:val="24"/>
        </w:rPr>
      </w:pPr>
      <w:r w:rsidRPr="00060262">
        <w:rPr>
          <w:rFonts w:ascii="Times New Roman" w:hAnsi="Times New Roman" w:cs="Times New Roman"/>
          <w:b/>
          <w:bCs/>
          <w:sz w:val="24"/>
          <w:szCs w:val="24"/>
        </w:rPr>
        <w:t>3.3 Data Collection Methods</w:t>
      </w:r>
    </w:p>
    <w:p w14:paraId="23C18599" w14:textId="77777777" w:rsidR="00060262" w:rsidRPr="00060262" w:rsidRDefault="00060262" w:rsidP="00060262">
      <w:p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The study utilizes both primary and secondary data sources. Primary data is collected through structured questionnaires and interviews with bank officials to gather firsthand information on foreign exchange risk management practices, challenges, and their perceived impact on profitability. Secondary data is obtained from annual reports, financial statements, Central Bank of Nigeria publications, regulatory guidelines, and previous research studies to provide a comprehensive context and background for the analysis.</w:t>
      </w:r>
    </w:p>
    <w:p w14:paraId="522F040A" w14:textId="77777777" w:rsidR="00060262" w:rsidRPr="00060262" w:rsidRDefault="00060262" w:rsidP="00060262">
      <w:pPr>
        <w:spacing w:line="360" w:lineRule="auto"/>
        <w:jc w:val="both"/>
        <w:rPr>
          <w:rFonts w:ascii="Times New Roman" w:hAnsi="Times New Roman" w:cs="Times New Roman"/>
          <w:b/>
          <w:bCs/>
          <w:sz w:val="24"/>
          <w:szCs w:val="24"/>
        </w:rPr>
      </w:pPr>
      <w:r w:rsidRPr="00060262">
        <w:rPr>
          <w:rFonts w:ascii="Times New Roman" w:hAnsi="Times New Roman" w:cs="Times New Roman"/>
          <w:b/>
          <w:bCs/>
          <w:sz w:val="24"/>
          <w:szCs w:val="24"/>
        </w:rPr>
        <w:t>3.4 Research Instrument</w:t>
      </w:r>
    </w:p>
    <w:p w14:paraId="70BADC15" w14:textId="77777777" w:rsidR="00060262" w:rsidRPr="00060262" w:rsidRDefault="00060262" w:rsidP="00060262">
      <w:p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A structured questionnaire serves as the main research instrument for collecting primary data. The questionnaire is divided into sections covering organizational profile, types of foreign exchange risk exposure, risk management strategies, effectiveness of hedging instruments, and the impact on profitability. Responses are measured using a Likert scale to quantify perceptions, while open-ended questions allow respondents to provide qualitative insights.</w:t>
      </w:r>
    </w:p>
    <w:p w14:paraId="4B99F369" w14:textId="77777777" w:rsidR="00060262" w:rsidRPr="00060262" w:rsidRDefault="00060262" w:rsidP="00060262">
      <w:pPr>
        <w:spacing w:line="360" w:lineRule="auto"/>
        <w:jc w:val="both"/>
        <w:rPr>
          <w:rFonts w:ascii="Times New Roman" w:hAnsi="Times New Roman" w:cs="Times New Roman"/>
          <w:b/>
          <w:bCs/>
          <w:sz w:val="24"/>
          <w:szCs w:val="24"/>
        </w:rPr>
      </w:pPr>
      <w:r w:rsidRPr="00060262">
        <w:rPr>
          <w:rFonts w:ascii="Times New Roman" w:hAnsi="Times New Roman" w:cs="Times New Roman"/>
          <w:b/>
          <w:bCs/>
          <w:sz w:val="24"/>
          <w:szCs w:val="24"/>
        </w:rPr>
        <w:t>3.5 Data Analysis Techniques</w:t>
      </w:r>
    </w:p>
    <w:p w14:paraId="6C1BDEA1" w14:textId="77777777" w:rsidR="00060262" w:rsidRPr="00060262" w:rsidRDefault="00060262" w:rsidP="00060262">
      <w:p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lastRenderedPageBreak/>
        <w:t xml:space="preserve">Collected data is </w:t>
      </w:r>
      <w:proofErr w:type="spellStart"/>
      <w:r w:rsidRPr="00060262">
        <w:rPr>
          <w:rFonts w:ascii="Times New Roman" w:hAnsi="Times New Roman" w:cs="Times New Roman"/>
          <w:sz w:val="24"/>
          <w:szCs w:val="24"/>
        </w:rPr>
        <w:t>analyzed</w:t>
      </w:r>
      <w:proofErr w:type="spellEnd"/>
      <w:r w:rsidRPr="00060262">
        <w:rPr>
          <w:rFonts w:ascii="Times New Roman" w:hAnsi="Times New Roman" w:cs="Times New Roman"/>
          <w:sz w:val="24"/>
          <w:szCs w:val="24"/>
        </w:rPr>
        <w:t xml:space="preserve"> using both qualitative and quantitative methods. Descriptive statistics such as percentages, mean scores, and standard deviations are used to summarize the responses. Correlation and regression analysis are applied to examine the relationship between foreign exchange risk management practices and bank profitability. Qualitative responses from interviews are thematically </w:t>
      </w:r>
      <w:proofErr w:type="spellStart"/>
      <w:r w:rsidRPr="00060262">
        <w:rPr>
          <w:rFonts w:ascii="Times New Roman" w:hAnsi="Times New Roman" w:cs="Times New Roman"/>
          <w:sz w:val="24"/>
          <w:szCs w:val="24"/>
        </w:rPr>
        <w:t>analyzed</w:t>
      </w:r>
      <w:proofErr w:type="spellEnd"/>
      <w:r w:rsidRPr="00060262">
        <w:rPr>
          <w:rFonts w:ascii="Times New Roman" w:hAnsi="Times New Roman" w:cs="Times New Roman"/>
          <w:sz w:val="24"/>
          <w:szCs w:val="24"/>
        </w:rPr>
        <w:t xml:space="preserve"> to identify key trends, challenges, and best practices in managing currency risk.</w:t>
      </w:r>
    </w:p>
    <w:p w14:paraId="0438BE61" w14:textId="77777777" w:rsidR="00060262" w:rsidRPr="00060262" w:rsidRDefault="00060262" w:rsidP="00060262">
      <w:pPr>
        <w:spacing w:line="360" w:lineRule="auto"/>
        <w:jc w:val="both"/>
        <w:rPr>
          <w:rFonts w:ascii="Times New Roman" w:hAnsi="Times New Roman" w:cs="Times New Roman"/>
          <w:b/>
          <w:bCs/>
          <w:sz w:val="24"/>
          <w:szCs w:val="24"/>
        </w:rPr>
      </w:pPr>
      <w:r w:rsidRPr="00060262">
        <w:rPr>
          <w:rFonts w:ascii="Times New Roman" w:hAnsi="Times New Roman" w:cs="Times New Roman"/>
          <w:b/>
          <w:bCs/>
          <w:sz w:val="24"/>
          <w:szCs w:val="24"/>
        </w:rPr>
        <w:t>3.6 Scope and Limitations of Methodology</w:t>
      </w:r>
    </w:p>
    <w:p w14:paraId="0FEC3455" w14:textId="77777777" w:rsidR="00060262" w:rsidRPr="00060262" w:rsidRDefault="00060262" w:rsidP="00060262">
      <w:p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The methodology focuses exclusively on Nigerian banks with significant foreign exchange exposure, which may limit the generalizability of the findings to other sectors or countries. Limitations include restricted access to confidential banking data, potential respondent bias, and time constraints, which may affect the depth of primary data collection. Despite these limitations, the methodology provides reliable insights into the relationship between risk management practices and bank profitability.</w:t>
      </w:r>
    </w:p>
    <w:p w14:paraId="73A050FB" w14:textId="77777777" w:rsidR="00060262" w:rsidRPr="00060262" w:rsidRDefault="00060262" w:rsidP="00060262">
      <w:pPr>
        <w:spacing w:line="360" w:lineRule="auto"/>
        <w:jc w:val="both"/>
        <w:rPr>
          <w:rFonts w:ascii="Times New Roman" w:hAnsi="Times New Roman" w:cs="Times New Roman"/>
          <w:b/>
          <w:bCs/>
          <w:sz w:val="24"/>
          <w:szCs w:val="24"/>
        </w:rPr>
      </w:pPr>
      <w:r w:rsidRPr="00060262">
        <w:rPr>
          <w:rFonts w:ascii="Times New Roman" w:hAnsi="Times New Roman" w:cs="Times New Roman"/>
          <w:b/>
          <w:bCs/>
          <w:sz w:val="24"/>
          <w:szCs w:val="24"/>
        </w:rPr>
        <w:t>3.7 Ethical Considerations</w:t>
      </w:r>
    </w:p>
    <w:p w14:paraId="684F9E8C" w14:textId="77777777" w:rsidR="00060262" w:rsidRPr="00060262" w:rsidRDefault="00060262" w:rsidP="00060262">
      <w:p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Ethical principles are strictly adhered to throughout the research process. Respondent confidentiality is maintained, informed consent is obtained prior to data collection, and data is used solely for research purposes. The study ensures objectivity in reporting results and avoids misrepresentation or manipulation of findings.</w:t>
      </w:r>
    </w:p>
    <w:p w14:paraId="51825A51" w14:textId="77777777" w:rsidR="00060262" w:rsidRPr="00060262" w:rsidRDefault="00060262" w:rsidP="00060262">
      <w:pPr>
        <w:spacing w:line="360" w:lineRule="auto"/>
        <w:jc w:val="both"/>
        <w:rPr>
          <w:rFonts w:ascii="Times New Roman" w:hAnsi="Times New Roman" w:cs="Times New Roman"/>
          <w:b/>
          <w:bCs/>
          <w:sz w:val="24"/>
          <w:szCs w:val="24"/>
        </w:rPr>
      </w:pPr>
      <w:r w:rsidRPr="00060262">
        <w:rPr>
          <w:rFonts w:ascii="Times New Roman" w:hAnsi="Times New Roman" w:cs="Times New Roman"/>
          <w:b/>
          <w:bCs/>
          <w:sz w:val="24"/>
          <w:szCs w:val="24"/>
        </w:rPr>
        <w:t>3.8 Summary of Research Methodology</w:t>
      </w:r>
    </w:p>
    <w:p w14:paraId="10CFC020" w14:textId="77777777" w:rsidR="00060262" w:rsidRPr="00060262" w:rsidRDefault="00060262" w:rsidP="00060262">
      <w:p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This chapter outlines the research design, population, sampling techniques, data collection methods, research instruments, and analytical procedures. The methodology ensures a structured and systematic approach to investigating the impact of foreign exchange risk management on the profitability of Nigerian banks, while maintaining ethical standards and reliability of results.</w:t>
      </w:r>
    </w:p>
    <w:p w14:paraId="2108BEEC" w14:textId="77777777" w:rsidR="00060262" w:rsidRDefault="00060262" w:rsidP="00060262">
      <w:pPr>
        <w:spacing w:line="360" w:lineRule="auto"/>
        <w:jc w:val="both"/>
        <w:rPr>
          <w:rFonts w:ascii="Times New Roman" w:hAnsi="Times New Roman" w:cs="Times New Roman"/>
          <w:sz w:val="24"/>
          <w:szCs w:val="24"/>
        </w:rPr>
      </w:pPr>
    </w:p>
    <w:p w14:paraId="6143031E" w14:textId="77777777" w:rsidR="00060262" w:rsidRDefault="00060262" w:rsidP="00060262">
      <w:pPr>
        <w:spacing w:line="360" w:lineRule="auto"/>
        <w:jc w:val="both"/>
        <w:rPr>
          <w:rFonts w:ascii="Times New Roman" w:hAnsi="Times New Roman" w:cs="Times New Roman"/>
          <w:sz w:val="24"/>
          <w:szCs w:val="24"/>
        </w:rPr>
      </w:pPr>
    </w:p>
    <w:p w14:paraId="19853E60" w14:textId="77777777" w:rsidR="00060262" w:rsidRDefault="00060262" w:rsidP="00060262">
      <w:pPr>
        <w:spacing w:line="360" w:lineRule="auto"/>
        <w:jc w:val="both"/>
        <w:rPr>
          <w:rFonts w:ascii="Times New Roman" w:hAnsi="Times New Roman" w:cs="Times New Roman"/>
          <w:sz w:val="24"/>
          <w:szCs w:val="24"/>
        </w:rPr>
      </w:pPr>
    </w:p>
    <w:p w14:paraId="2511896D" w14:textId="77777777" w:rsidR="00060262" w:rsidRDefault="00060262" w:rsidP="00060262">
      <w:pPr>
        <w:spacing w:line="360" w:lineRule="auto"/>
        <w:jc w:val="both"/>
        <w:rPr>
          <w:rFonts w:ascii="Times New Roman" w:hAnsi="Times New Roman" w:cs="Times New Roman"/>
          <w:sz w:val="24"/>
          <w:szCs w:val="24"/>
        </w:rPr>
      </w:pPr>
    </w:p>
    <w:p w14:paraId="0D1FA3EC" w14:textId="77777777" w:rsidR="00060262" w:rsidRDefault="00060262" w:rsidP="00060262">
      <w:pPr>
        <w:spacing w:line="360" w:lineRule="auto"/>
        <w:jc w:val="both"/>
        <w:rPr>
          <w:rFonts w:ascii="Times New Roman" w:hAnsi="Times New Roman" w:cs="Times New Roman"/>
          <w:sz w:val="24"/>
          <w:szCs w:val="24"/>
        </w:rPr>
      </w:pPr>
    </w:p>
    <w:p w14:paraId="1D77657A" w14:textId="77777777" w:rsidR="00060262" w:rsidRPr="0078607C" w:rsidRDefault="00060262" w:rsidP="00060262">
      <w:pPr>
        <w:spacing w:line="360" w:lineRule="auto"/>
        <w:jc w:val="center"/>
        <w:rPr>
          <w:rFonts w:ascii="Times New Roman" w:hAnsi="Times New Roman" w:cs="Times New Roman"/>
          <w:sz w:val="24"/>
          <w:szCs w:val="24"/>
        </w:rPr>
      </w:pPr>
      <w:bookmarkStart w:id="6" w:name="_Hlk203212469"/>
      <w:r w:rsidRPr="0078607C">
        <w:rPr>
          <w:rFonts w:ascii="Times New Roman" w:hAnsi="Times New Roman" w:cs="Times New Roman"/>
          <w:b/>
          <w:sz w:val="24"/>
          <w:szCs w:val="24"/>
          <w:lang w:val="en-US"/>
        </w:rPr>
        <w:lastRenderedPageBreak/>
        <w:t>CHAPTER – IV</w:t>
      </w:r>
    </w:p>
    <w:p w14:paraId="087CB365" w14:textId="77777777" w:rsidR="00060262" w:rsidRDefault="00060262" w:rsidP="00060262">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32FAD467" w14:textId="77777777" w:rsidR="00060262" w:rsidRPr="004D7E4B" w:rsidRDefault="00060262" w:rsidP="0006026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060262" w:rsidRPr="004D7E4B" w14:paraId="697CBDA1" w14:textId="77777777" w:rsidTr="00596A2D">
        <w:trPr>
          <w:trHeight w:val="506"/>
        </w:trPr>
        <w:tc>
          <w:tcPr>
            <w:tcW w:w="3077" w:type="dxa"/>
            <w:tcBorders>
              <w:top w:val="single" w:sz="4" w:space="0" w:color="auto"/>
              <w:left w:val="single" w:sz="4" w:space="0" w:color="auto"/>
              <w:bottom w:val="single" w:sz="4" w:space="0" w:color="auto"/>
              <w:right w:val="single" w:sz="4" w:space="0" w:color="auto"/>
            </w:tcBorders>
            <w:hideMark/>
          </w:tcPr>
          <w:p w14:paraId="5BB33B6C" w14:textId="77777777" w:rsidR="00060262" w:rsidRPr="004D7E4B" w:rsidRDefault="00060262" w:rsidP="00596A2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5FB8D6F" w14:textId="77777777" w:rsidR="00060262" w:rsidRPr="004D7E4B" w:rsidRDefault="00060262" w:rsidP="00596A2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E6D7DB8" w14:textId="77777777" w:rsidR="00060262" w:rsidRPr="004D7E4B" w:rsidRDefault="00060262" w:rsidP="00596A2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060262" w:rsidRPr="004D7E4B" w14:paraId="1EEA1E20" w14:textId="77777777" w:rsidTr="00596A2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183B5C2" w14:textId="1630D1B3" w:rsidR="00060262" w:rsidRPr="004D7E4B" w:rsidRDefault="00060262" w:rsidP="00596A2D">
            <w:pPr>
              <w:spacing w:line="360" w:lineRule="auto"/>
              <w:jc w:val="center"/>
              <w:rPr>
                <w:rFonts w:ascii="Times New Roman" w:hAnsi="Times New Roman" w:cs="Times New Roman"/>
                <w:b/>
                <w:sz w:val="24"/>
                <w:szCs w:val="24"/>
                <w:lang w:val="en-US"/>
              </w:rPr>
            </w:pPr>
            <w:r w:rsidRPr="00060262">
              <w:rPr>
                <w:rFonts w:ascii="Times New Roman" w:hAnsi="Times New Roman" w:cs="Times New Roman"/>
                <w:b/>
                <w:sz w:val="24"/>
                <w:szCs w:val="24"/>
              </w:rPr>
              <w:t>20 – 30</w:t>
            </w:r>
          </w:p>
        </w:tc>
        <w:tc>
          <w:tcPr>
            <w:tcW w:w="3185" w:type="dxa"/>
            <w:tcBorders>
              <w:top w:val="single" w:sz="4" w:space="0" w:color="auto"/>
              <w:left w:val="single" w:sz="4" w:space="0" w:color="auto"/>
              <w:bottom w:val="single" w:sz="4" w:space="0" w:color="auto"/>
              <w:right w:val="single" w:sz="4" w:space="0" w:color="auto"/>
            </w:tcBorders>
            <w:hideMark/>
          </w:tcPr>
          <w:p w14:paraId="64E0BF5F" w14:textId="0509053E" w:rsidR="00060262" w:rsidRPr="004D7E4B" w:rsidRDefault="00060262"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1D1A8EEF" w14:textId="2DD0AC51" w:rsidR="00060262" w:rsidRPr="004D7E4B" w:rsidRDefault="00060262"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060262" w:rsidRPr="004D7E4B" w14:paraId="0833AA62" w14:textId="77777777" w:rsidTr="00596A2D">
        <w:trPr>
          <w:trHeight w:val="506"/>
        </w:trPr>
        <w:tc>
          <w:tcPr>
            <w:tcW w:w="3077" w:type="dxa"/>
            <w:tcBorders>
              <w:top w:val="single" w:sz="4" w:space="0" w:color="auto"/>
              <w:left w:val="single" w:sz="4" w:space="0" w:color="auto"/>
              <w:bottom w:val="single" w:sz="4" w:space="0" w:color="auto"/>
              <w:right w:val="single" w:sz="4" w:space="0" w:color="auto"/>
            </w:tcBorders>
            <w:hideMark/>
          </w:tcPr>
          <w:p w14:paraId="1692670D" w14:textId="6DAF411D" w:rsidR="00060262" w:rsidRPr="004D7E4B" w:rsidRDefault="00060262" w:rsidP="00596A2D">
            <w:pPr>
              <w:spacing w:line="360" w:lineRule="auto"/>
              <w:jc w:val="center"/>
              <w:rPr>
                <w:rFonts w:ascii="Times New Roman" w:hAnsi="Times New Roman" w:cs="Times New Roman"/>
                <w:b/>
                <w:sz w:val="24"/>
                <w:szCs w:val="24"/>
                <w:lang w:val="en-US"/>
              </w:rPr>
            </w:pPr>
            <w:r w:rsidRPr="00060262">
              <w:rPr>
                <w:rFonts w:ascii="Times New Roman" w:hAnsi="Times New Roman" w:cs="Times New Roman"/>
                <w:b/>
                <w:sz w:val="24"/>
                <w:szCs w:val="24"/>
              </w:rPr>
              <w:t>31 – 40</w:t>
            </w:r>
          </w:p>
        </w:tc>
        <w:tc>
          <w:tcPr>
            <w:tcW w:w="3185" w:type="dxa"/>
            <w:tcBorders>
              <w:top w:val="single" w:sz="4" w:space="0" w:color="auto"/>
              <w:left w:val="single" w:sz="4" w:space="0" w:color="auto"/>
              <w:bottom w:val="single" w:sz="4" w:space="0" w:color="auto"/>
              <w:right w:val="single" w:sz="4" w:space="0" w:color="auto"/>
            </w:tcBorders>
            <w:hideMark/>
          </w:tcPr>
          <w:p w14:paraId="098824C2" w14:textId="7CE84286" w:rsidR="00060262" w:rsidRPr="004D7E4B" w:rsidRDefault="00060262"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w:t>
            </w:r>
          </w:p>
        </w:tc>
        <w:tc>
          <w:tcPr>
            <w:tcW w:w="3185" w:type="dxa"/>
            <w:tcBorders>
              <w:top w:val="single" w:sz="4" w:space="0" w:color="auto"/>
              <w:left w:val="single" w:sz="4" w:space="0" w:color="auto"/>
              <w:bottom w:val="single" w:sz="4" w:space="0" w:color="auto"/>
              <w:right w:val="single" w:sz="4" w:space="0" w:color="auto"/>
            </w:tcBorders>
            <w:hideMark/>
          </w:tcPr>
          <w:p w14:paraId="46F6E172" w14:textId="548ED4C2" w:rsidR="00060262" w:rsidRPr="004D7E4B" w:rsidRDefault="00060262"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6</w:t>
            </w:r>
            <w:r w:rsidRPr="004D7E4B">
              <w:rPr>
                <w:rFonts w:ascii="Times New Roman" w:hAnsi="Times New Roman" w:cs="Times New Roman"/>
                <w:b/>
                <w:sz w:val="24"/>
                <w:szCs w:val="24"/>
                <w:lang w:val="en-US"/>
              </w:rPr>
              <w:t>%</w:t>
            </w:r>
          </w:p>
        </w:tc>
      </w:tr>
      <w:tr w:rsidR="00060262" w:rsidRPr="004D7E4B" w14:paraId="37BD0E9D" w14:textId="77777777" w:rsidTr="00596A2D">
        <w:trPr>
          <w:trHeight w:val="496"/>
        </w:trPr>
        <w:tc>
          <w:tcPr>
            <w:tcW w:w="3077" w:type="dxa"/>
            <w:tcBorders>
              <w:top w:val="single" w:sz="4" w:space="0" w:color="auto"/>
              <w:left w:val="single" w:sz="4" w:space="0" w:color="auto"/>
              <w:bottom w:val="single" w:sz="4" w:space="0" w:color="auto"/>
              <w:right w:val="single" w:sz="4" w:space="0" w:color="auto"/>
            </w:tcBorders>
            <w:hideMark/>
          </w:tcPr>
          <w:p w14:paraId="411C2E85" w14:textId="5D9F74BE" w:rsidR="00060262" w:rsidRPr="004D7E4B" w:rsidRDefault="00060262" w:rsidP="00596A2D">
            <w:pPr>
              <w:spacing w:line="360" w:lineRule="auto"/>
              <w:jc w:val="center"/>
              <w:rPr>
                <w:rFonts w:ascii="Times New Roman" w:hAnsi="Times New Roman" w:cs="Times New Roman"/>
                <w:b/>
                <w:sz w:val="24"/>
                <w:szCs w:val="24"/>
                <w:lang w:val="en-US"/>
              </w:rPr>
            </w:pPr>
            <w:r w:rsidRPr="00060262">
              <w:rPr>
                <w:rFonts w:ascii="Times New Roman" w:hAnsi="Times New Roman" w:cs="Times New Roman"/>
                <w:b/>
                <w:sz w:val="24"/>
                <w:szCs w:val="24"/>
              </w:rPr>
              <w:t>41 – 50</w:t>
            </w:r>
          </w:p>
        </w:tc>
        <w:tc>
          <w:tcPr>
            <w:tcW w:w="3185" w:type="dxa"/>
            <w:tcBorders>
              <w:top w:val="single" w:sz="4" w:space="0" w:color="auto"/>
              <w:left w:val="single" w:sz="4" w:space="0" w:color="auto"/>
              <w:bottom w:val="single" w:sz="4" w:space="0" w:color="auto"/>
              <w:right w:val="single" w:sz="4" w:space="0" w:color="auto"/>
            </w:tcBorders>
            <w:hideMark/>
          </w:tcPr>
          <w:p w14:paraId="713171A4" w14:textId="4A89E2FB" w:rsidR="00060262" w:rsidRPr="004D7E4B" w:rsidRDefault="00060262"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w:t>
            </w:r>
          </w:p>
        </w:tc>
        <w:tc>
          <w:tcPr>
            <w:tcW w:w="3185" w:type="dxa"/>
            <w:tcBorders>
              <w:top w:val="single" w:sz="4" w:space="0" w:color="auto"/>
              <w:left w:val="single" w:sz="4" w:space="0" w:color="auto"/>
              <w:bottom w:val="single" w:sz="4" w:space="0" w:color="auto"/>
              <w:right w:val="single" w:sz="4" w:space="0" w:color="auto"/>
            </w:tcBorders>
            <w:hideMark/>
          </w:tcPr>
          <w:p w14:paraId="10E18BCE" w14:textId="3C6F5DA1" w:rsidR="00060262" w:rsidRPr="004D7E4B" w:rsidRDefault="00060262"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4</w:t>
            </w:r>
            <w:r w:rsidRPr="004D7E4B">
              <w:rPr>
                <w:rFonts w:ascii="Times New Roman" w:hAnsi="Times New Roman" w:cs="Times New Roman"/>
                <w:b/>
                <w:sz w:val="24"/>
                <w:szCs w:val="24"/>
                <w:lang w:val="en-US"/>
              </w:rPr>
              <w:t>%</w:t>
            </w:r>
          </w:p>
        </w:tc>
      </w:tr>
      <w:tr w:rsidR="00060262" w:rsidRPr="004D7E4B" w14:paraId="25032B02" w14:textId="77777777" w:rsidTr="00596A2D">
        <w:trPr>
          <w:trHeight w:val="496"/>
        </w:trPr>
        <w:tc>
          <w:tcPr>
            <w:tcW w:w="3077" w:type="dxa"/>
            <w:tcBorders>
              <w:top w:val="single" w:sz="4" w:space="0" w:color="auto"/>
              <w:left w:val="single" w:sz="4" w:space="0" w:color="auto"/>
              <w:bottom w:val="single" w:sz="4" w:space="0" w:color="auto"/>
              <w:right w:val="single" w:sz="4" w:space="0" w:color="auto"/>
            </w:tcBorders>
          </w:tcPr>
          <w:p w14:paraId="459F61F1" w14:textId="01A29D64" w:rsidR="00060262" w:rsidRPr="00060262" w:rsidRDefault="00060262" w:rsidP="00596A2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5</w:t>
            </w:r>
            <w:r w:rsidRPr="00060262">
              <w:rPr>
                <w:rFonts w:ascii="Times New Roman" w:hAnsi="Times New Roman" w:cs="Times New Roman"/>
                <w:b/>
                <w:sz w:val="24"/>
                <w:szCs w:val="24"/>
              </w:rPr>
              <w:t xml:space="preserve">1 – </w:t>
            </w:r>
            <w:r>
              <w:rPr>
                <w:rFonts w:ascii="Times New Roman" w:hAnsi="Times New Roman" w:cs="Times New Roman"/>
                <w:b/>
                <w:sz w:val="24"/>
                <w:szCs w:val="24"/>
              </w:rPr>
              <w:t>6</w:t>
            </w:r>
            <w:r w:rsidRPr="00060262">
              <w:rPr>
                <w:rFonts w:ascii="Times New Roman" w:hAnsi="Times New Roman" w:cs="Times New Roman"/>
                <w:b/>
                <w:sz w:val="24"/>
                <w:szCs w:val="24"/>
              </w:rPr>
              <w:t>0</w:t>
            </w:r>
          </w:p>
        </w:tc>
        <w:tc>
          <w:tcPr>
            <w:tcW w:w="3185" w:type="dxa"/>
            <w:tcBorders>
              <w:top w:val="single" w:sz="4" w:space="0" w:color="auto"/>
              <w:left w:val="single" w:sz="4" w:space="0" w:color="auto"/>
              <w:bottom w:val="single" w:sz="4" w:space="0" w:color="auto"/>
              <w:right w:val="single" w:sz="4" w:space="0" w:color="auto"/>
            </w:tcBorders>
          </w:tcPr>
          <w:p w14:paraId="0E7D2435" w14:textId="26D5A6E7" w:rsidR="00060262" w:rsidRDefault="00060262"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7</w:t>
            </w:r>
          </w:p>
        </w:tc>
        <w:tc>
          <w:tcPr>
            <w:tcW w:w="3185" w:type="dxa"/>
            <w:tcBorders>
              <w:top w:val="single" w:sz="4" w:space="0" w:color="auto"/>
              <w:left w:val="single" w:sz="4" w:space="0" w:color="auto"/>
              <w:bottom w:val="single" w:sz="4" w:space="0" w:color="auto"/>
              <w:right w:val="single" w:sz="4" w:space="0" w:color="auto"/>
            </w:tcBorders>
          </w:tcPr>
          <w:p w14:paraId="71E2CDEE" w14:textId="36D47336" w:rsidR="00060262" w:rsidRDefault="00060262"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14%</w:t>
            </w:r>
          </w:p>
        </w:tc>
      </w:tr>
      <w:tr w:rsidR="00060262" w14:paraId="170B379A" w14:textId="77777777" w:rsidTr="00596A2D">
        <w:trPr>
          <w:trHeight w:val="496"/>
        </w:trPr>
        <w:tc>
          <w:tcPr>
            <w:tcW w:w="3077" w:type="dxa"/>
            <w:tcBorders>
              <w:top w:val="single" w:sz="4" w:space="0" w:color="auto"/>
              <w:left w:val="single" w:sz="4" w:space="0" w:color="auto"/>
              <w:bottom w:val="single" w:sz="4" w:space="0" w:color="auto"/>
              <w:right w:val="single" w:sz="4" w:space="0" w:color="auto"/>
            </w:tcBorders>
          </w:tcPr>
          <w:p w14:paraId="6AE68063" w14:textId="77777777" w:rsidR="00060262" w:rsidRPr="00EE3350" w:rsidRDefault="00060262" w:rsidP="00596A2D">
            <w:pPr>
              <w:spacing w:line="360" w:lineRule="auto"/>
              <w:jc w:val="center"/>
              <w:rPr>
                <w:rFonts w:ascii="Times New Roman" w:hAnsi="Times New Roman" w:cs="Times New Roman"/>
                <w:b/>
                <w:sz w:val="24"/>
                <w:szCs w:val="24"/>
              </w:rPr>
            </w:pPr>
            <w:r w:rsidRPr="00643432">
              <w:rPr>
                <w:rFonts w:ascii="Times New Roman" w:hAnsi="Times New Roman" w:cs="Times New Roman"/>
                <w:b/>
                <w:sz w:val="24"/>
                <w:szCs w:val="24"/>
              </w:rPr>
              <w:t>Above 60</w:t>
            </w:r>
          </w:p>
        </w:tc>
        <w:tc>
          <w:tcPr>
            <w:tcW w:w="3185" w:type="dxa"/>
            <w:tcBorders>
              <w:top w:val="single" w:sz="4" w:space="0" w:color="auto"/>
              <w:left w:val="single" w:sz="4" w:space="0" w:color="auto"/>
              <w:bottom w:val="single" w:sz="4" w:space="0" w:color="auto"/>
              <w:right w:val="single" w:sz="4" w:space="0" w:color="auto"/>
            </w:tcBorders>
          </w:tcPr>
          <w:p w14:paraId="27D850A0" w14:textId="04A33C01" w:rsidR="00060262" w:rsidRDefault="00060262"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p>
        </w:tc>
        <w:tc>
          <w:tcPr>
            <w:tcW w:w="3185" w:type="dxa"/>
            <w:tcBorders>
              <w:top w:val="single" w:sz="4" w:space="0" w:color="auto"/>
              <w:left w:val="single" w:sz="4" w:space="0" w:color="auto"/>
              <w:bottom w:val="single" w:sz="4" w:space="0" w:color="auto"/>
              <w:right w:val="single" w:sz="4" w:space="0" w:color="auto"/>
            </w:tcBorders>
          </w:tcPr>
          <w:p w14:paraId="3099CAF0" w14:textId="5C4E81A8" w:rsidR="00060262" w:rsidRDefault="00060262"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w:t>
            </w:r>
            <w:r>
              <w:rPr>
                <w:rFonts w:ascii="Times New Roman" w:hAnsi="Times New Roman" w:cs="Times New Roman"/>
                <w:b/>
                <w:sz w:val="24"/>
                <w:szCs w:val="24"/>
                <w:lang w:val="en-US"/>
              </w:rPr>
              <w:t>%</w:t>
            </w:r>
          </w:p>
        </w:tc>
      </w:tr>
      <w:tr w:rsidR="00060262" w:rsidRPr="004D7E4B" w14:paraId="12B419ED" w14:textId="77777777" w:rsidTr="00596A2D">
        <w:trPr>
          <w:trHeight w:val="516"/>
        </w:trPr>
        <w:tc>
          <w:tcPr>
            <w:tcW w:w="3077" w:type="dxa"/>
            <w:tcBorders>
              <w:top w:val="single" w:sz="4" w:space="0" w:color="auto"/>
              <w:left w:val="single" w:sz="4" w:space="0" w:color="auto"/>
              <w:bottom w:val="single" w:sz="4" w:space="0" w:color="auto"/>
              <w:right w:val="single" w:sz="4" w:space="0" w:color="auto"/>
            </w:tcBorders>
            <w:hideMark/>
          </w:tcPr>
          <w:p w14:paraId="2460BD54" w14:textId="77777777" w:rsidR="00060262" w:rsidRPr="004D7E4B" w:rsidRDefault="00060262" w:rsidP="00596A2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2E4C03B4" w14:textId="03988F24" w:rsidR="00060262" w:rsidRPr="004D7E4B" w:rsidRDefault="00060262"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3536CF1B" w14:textId="77777777" w:rsidR="00060262" w:rsidRPr="004D7E4B" w:rsidRDefault="00060262" w:rsidP="00596A2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25347C8" w14:textId="77777777" w:rsidR="00060262" w:rsidRDefault="00060262" w:rsidP="00060262">
      <w:pPr>
        <w:spacing w:line="360" w:lineRule="auto"/>
        <w:rPr>
          <w:rFonts w:ascii="Times New Roman" w:hAnsi="Times New Roman" w:cs="Times New Roman"/>
          <w:b/>
          <w:sz w:val="24"/>
          <w:szCs w:val="24"/>
          <w:lang w:val="en-US"/>
        </w:rPr>
      </w:pPr>
    </w:p>
    <w:p w14:paraId="6FF57D59" w14:textId="77777777" w:rsidR="00060262" w:rsidRDefault="00060262" w:rsidP="00060262">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04105CF1" w14:textId="419EC7A7" w:rsidR="00060262" w:rsidRDefault="00060262" w:rsidP="00060262">
      <w:pPr>
        <w:spacing w:line="360" w:lineRule="auto"/>
        <w:jc w:val="both"/>
        <w:rPr>
          <w:rFonts w:ascii="Times New Roman" w:hAnsi="Times New Roman" w:cs="Times New Roman"/>
          <w:bCs/>
          <w:sz w:val="24"/>
          <w:szCs w:val="24"/>
        </w:rPr>
      </w:pPr>
      <w:r w:rsidRPr="00060262">
        <w:rPr>
          <w:rFonts w:ascii="Times New Roman" w:hAnsi="Times New Roman" w:cs="Times New Roman"/>
          <w:bCs/>
          <w:sz w:val="24"/>
          <w:szCs w:val="24"/>
        </w:rPr>
        <w:t>The survey results indicate that the largest proportion of respondents, 36%, are within the 31–40 years age group. This suggests that mid-level banking professionals are the most actively involved in foreign exchange operations and risk management. Respondents aged 41–50 account for 24%, reflecting the contribution of experienced personnel in overseeing treasury and financial risk functions. The 20–30 age group represents 20%, indicating the involvement of younger staff in supporting risk assessment and reporting tasks. Employees aged 51–60 make up 14%, while only 6% are above 60 years, showing limited participation from senior or retired professionals. Overall, the age distribution demonstrates a mix of experience levels, ensuring diverse perspectives in understanding foreign exchange risk management practices and their impact on bank profitability. This variety of age groups contributes to comprehensive insights on decision-making, strategy implementation, and monitoring of foreign exchange exposures within Nigerian banks.</w:t>
      </w:r>
    </w:p>
    <w:p w14:paraId="1F397E38" w14:textId="77777777" w:rsidR="00060262" w:rsidRDefault="00060262" w:rsidP="00060262">
      <w:pPr>
        <w:spacing w:line="360" w:lineRule="auto"/>
        <w:jc w:val="both"/>
        <w:rPr>
          <w:rFonts w:ascii="Times New Roman" w:hAnsi="Times New Roman" w:cs="Times New Roman"/>
          <w:bCs/>
          <w:sz w:val="24"/>
          <w:szCs w:val="24"/>
        </w:rPr>
      </w:pPr>
    </w:p>
    <w:p w14:paraId="38309C14" w14:textId="77777777" w:rsidR="00060262" w:rsidRDefault="00060262" w:rsidP="00060262">
      <w:pPr>
        <w:spacing w:line="360" w:lineRule="auto"/>
        <w:jc w:val="both"/>
        <w:rPr>
          <w:rFonts w:ascii="Times New Roman" w:hAnsi="Times New Roman" w:cs="Times New Roman"/>
          <w:bCs/>
          <w:sz w:val="24"/>
          <w:szCs w:val="24"/>
        </w:rPr>
      </w:pPr>
    </w:p>
    <w:p w14:paraId="03D45E3E" w14:textId="77777777" w:rsidR="00060262" w:rsidRDefault="00060262" w:rsidP="00060262">
      <w:pPr>
        <w:spacing w:line="360" w:lineRule="auto"/>
        <w:jc w:val="both"/>
        <w:rPr>
          <w:rFonts w:ascii="Times New Roman" w:hAnsi="Times New Roman" w:cs="Times New Roman"/>
          <w:bCs/>
          <w:sz w:val="24"/>
          <w:szCs w:val="24"/>
        </w:rPr>
      </w:pPr>
    </w:p>
    <w:p w14:paraId="4B480ADC" w14:textId="77777777" w:rsidR="00060262" w:rsidRDefault="00060262" w:rsidP="00060262">
      <w:pPr>
        <w:spacing w:line="360" w:lineRule="auto"/>
        <w:jc w:val="both"/>
        <w:rPr>
          <w:rFonts w:ascii="Times New Roman" w:hAnsi="Times New Roman" w:cs="Times New Roman"/>
          <w:b/>
          <w:bCs/>
          <w:sz w:val="24"/>
          <w:szCs w:val="24"/>
        </w:rPr>
      </w:pPr>
      <w:bookmarkStart w:id="7" w:name="_Hlk202090519"/>
      <w:r w:rsidRPr="007B042D">
        <w:rPr>
          <w:rFonts w:ascii="Times New Roman" w:hAnsi="Times New Roman" w:cs="Times New Roman"/>
          <w:b/>
          <w:bCs/>
          <w:sz w:val="24"/>
          <w:szCs w:val="24"/>
        </w:rPr>
        <w:lastRenderedPageBreak/>
        <w:t>CONCLUSION</w:t>
      </w:r>
    </w:p>
    <w:bookmarkEnd w:id="7"/>
    <w:p w14:paraId="4393E155" w14:textId="77777777" w:rsidR="00060262" w:rsidRDefault="00060262" w:rsidP="0006026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60262">
        <w:rPr>
          <w:rFonts w:ascii="Times New Roman" w:hAnsi="Times New Roman" w:cs="Times New Roman"/>
          <w:bCs/>
          <w:sz w:val="24"/>
          <w:szCs w:val="24"/>
        </w:rPr>
        <w:t xml:space="preserve">The study on foreign exchange risk management in the Nigerian banking sector demonstrates the vital importance of managing currency fluctuations to safeguard profitability and maintain financial stability. Nigerian banks, being actively involved in international trade and foreign-denominated transactions, are inherently exposed to transaction, translation, and economic risks arising from volatile exchange rates. The research reveals that banks employing effective risk management strategies, such as hedging, forward contracts, swaps, and other derivatives, are better positioned to mitigate potential losses and stabilize earnings. Internal control mechanisms, treasury management, and adherence to regulatory guidelines issued by the Central Bank of Nigeria further strengthen these risk mitigation efforts. </w:t>
      </w:r>
    </w:p>
    <w:p w14:paraId="19D54594" w14:textId="77777777" w:rsidR="00060262" w:rsidRDefault="00060262" w:rsidP="0006026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60262">
        <w:rPr>
          <w:rFonts w:ascii="Times New Roman" w:hAnsi="Times New Roman" w:cs="Times New Roman"/>
          <w:bCs/>
          <w:sz w:val="24"/>
          <w:szCs w:val="24"/>
        </w:rPr>
        <w:t xml:space="preserve">The findings indicate that foreign exchange risk management is not merely a compliance requirement but a strategic tool that enhances decision-making, operational efficiency, and investor confidence. Banks that fail to implement robust risk management practices are more vulnerable to financial losses, reduced profitability, and operational instability. Moreover, the study highlights the influence of macroeconomic factors, including inflation, interest rate fluctuations, and global market trends, on foreign exchange exposure, emphasizing the need for proactive monitoring and adaptive strategies. By integrating technology, skilled personnel, and sound governance frameworks, Nigerian banks can significantly reduce the adverse impacts of currency volatility, ensuring long-term sustainability. </w:t>
      </w:r>
    </w:p>
    <w:p w14:paraId="63AE0A80" w14:textId="055EE5C6" w:rsidR="00060262" w:rsidRPr="00060262" w:rsidRDefault="00060262" w:rsidP="00060262">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rPr>
        <w:t xml:space="preserve">             </w:t>
      </w:r>
      <w:r w:rsidRPr="00060262">
        <w:rPr>
          <w:rFonts w:ascii="Times New Roman" w:hAnsi="Times New Roman" w:cs="Times New Roman"/>
          <w:bCs/>
          <w:sz w:val="24"/>
          <w:szCs w:val="24"/>
        </w:rPr>
        <w:t>Overall, the research concludes that effective foreign exchange risk management directly contributes to profitability, strengthens financial resilience, and promotes stakeholder trust, thereby supporting the overall growth and competitiveness of the Nigerian banking sector. The study provides valuable insights for bank management, policymakers, and financial practitioners, underscoring the necessity of strategic, well-monitored, and technologically supported approaches to managing foreign exchange risks in a rapidly changing economic environment.</w:t>
      </w:r>
    </w:p>
    <w:bookmarkEnd w:id="6"/>
    <w:p w14:paraId="67BD0911" w14:textId="77777777" w:rsidR="00060262" w:rsidRDefault="00060262" w:rsidP="00060262">
      <w:pPr>
        <w:spacing w:line="360" w:lineRule="auto"/>
        <w:jc w:val="both"/>
        <w:rPr>
          <w:rFonts w:ascii="Times New Roman" w:hAnsi="Times New Roman" w:cs="Times New Roman"/>
          <w:sz w:val="24"/>
          <w:szCs w:val="24"/>
        </w:rPr>
      </w:pPr>
    </w:p>
    <w:p w14:paraId="643F222F" w14:textId="77777777" w:rsidR="00060262" w:rsidRDefault="00060262" w:rsidP="00060262">
      <w:pPr>
        <w:spacing w:line="360" w:lineRule="auto"/>
        <w:jc w:val="both"/>
        <w:rPr>
          <w:rFonts w:ascii="Times New Roman" w:hAnsi="Times New Roman" w:cs="Times New Roman"/>
          <w:sz w:val="24"/>
          <w:szCs w:val="24"/>
        </w:rPr>
      </w:pPr>
    </w:p>
    <w:p w14:paraId="1A204CCE" w14:textId="77777777" w:rsidR="00060262" w:rsidRDefault="00060262" w:rsidP="00060262">
      <w:pPr>
        <w:spacing w:line="360" w:lineRule="auto"/>
        <w:jc w:val="both"/>
        <w:rPr>
          <w:rFonts w:ascii="Times New Roman" w:hAnsi="Times New Roman" w:cs="Times New Roman"/>
          <w:sz w:val="24"/>
          <w:szCs w:val="24"/>
        </w:rPr>
      </w:pPr>
    </w:p>
    <w:p w14:paraId="0283540E" w14:textId="77777777" w:rsidR="00060262" w:rsidRDefault="00060262" w:rsidP="00060262">
      <w:pPr>
        <w:spacing w:line="360" w:lineRule="auto"/>
        <w:jc w:val="both"/>
        <w:rPr>
          <w:rFonts w:ascii="Times New Roman" w:hAnsi="Times New Roman" w:cs="Times New Roman"/>
          <w:sz w:val="24"/>
          <w:szCs w:val="24"/>
        </w:rPr>
      </w:pPr>
    </w:p>
    <w:p w14:paraId="63A2026E" w14:textId="77777777" w:rsidR="00060262" w:rsidRPr="007B042D" w:rsidRDefault="00060262" w:rsidP="00060262">
      <w:pPr>
        <w:spacing w:line="360" w:lineRule="auto"/>
        <w:jc w:val="center"/>
        <w:rPr>
          <w:rFonts w:ascii="Times New Roman" w:hAnsi="Times New Roman" w:cs="Times New Roman"/>
          <w:b/>
          <w:bCs/>
          <w:sz w:val="24"/>
          <w:szCs w:val="24"/>
          <w:lang w:val="en-US"/>
        </w:rPr>
      </w:pPr>
      <w:bookmarkStart w:id="8" w:name="_Hlk203474877"/>
      <w:bookmarkStart w:id="9" w:name="_Hlk203252345"/>
      <w:r w:rsidRPr="007B042D">
        <w:rPr>
          <w:rFonts w:ascii="Times New Roman" w:hAnsi="Times New Roman" w:cs="Times New Roman"/>
          <w:b/>
          <w:bCs/>
          <w:sz w:val="24"/>
          <w:szCs w:val="24"/>
          <w:lang w:val="en-US"/>
        </w:rPr>
        <w:lastRenderedPageBreak/>
        <w:t>BIBLIOGRAPHY</w:t>
      </w:r>
      <w:bookmarkEnd w:id="8"/>
    </w:p>
    <w:bookmarkEnd w:id="9"/>
    <w:p w14:paraId="6AA8E345" w14:textId="469A7148" w:rsidR="00060262" w:rsidRPr="00060262" w:rsidRDefault="00060262" w:rsidP="00060262">
      <w:pPr>
        <w:pStyle w:val="ListParagraph"/>
        <w:numPr>
          <w:ilvl w:val="0"/>
          <w:numId w:val="7"/>
        </w:num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 xml:space="preserve">Bodnar, G. M., </w:t>
      </w:r>
      <w:proofErr w:type="spellStart"/>
      <w:r w:rsidRPr="00060262">
        <w:rPr>
          <w:rFonts w:ascii="Times New Roman" w:hAnsi="Times New Roman" w:cs="Times New Roman"/>
          <w:sz w:val="24"/>
          <w:szCs w:val="24"/>
        </w:rPr>
        <w:t>Hayt</w:t>
      </w:r>
      <w:proofErr w:type="spellEnd"/>
      <w:r w:rsidRPr="00060262">
        <w:rPr>
          <w:rFonts w:ascii="Times New Roman" w:hAnsi="Times New Roman" w:cs="Times New Roman"/>
          <w:sz w:val="24"/>
          <w:szCs w:val="24"/>
        </w:rPr>
        <w:t xml:space="preserve">, G. S., &amp; Marston, R. C. (2014). </w:t>
      </w:r>
      <w:r w:rsidRPr="00060262">
        <w:rPr>
          <w:rFonts w:ascii="Times New Roman" w:hAnsi="Times New Roman" w:cs="Times New Roman"/>
          <w:i/>
          <w:iCs/>
          <w:sz w:val="24"/>
          <w:szCs w:val="24"/>
        </w:rPr>
        <w:t>The management of foreign exchange risk: Techniques and practices</w:t>
      </w:r>
      <w:r w:rsidRPr="00060262">
        <w:rPr>
          <w:rFonts w:ascii="Times New Roman" w:hAnsi="Times New Roman" w:cs="Times New Roman"/>
          <w:sz w:val="24"/>
          <w:szCs w:val="24"/>
        </w:rPr>
        <w:t>. Journal of International Financial Management, 12(3), 45–62.</w:t>
      </w:r>
    </w:p>
    <w:p w14:paraId="6C23C7D3" w14:textId="500A3E49" w:rsidR="00060262" w:rsidRPr="00060262" w:rsidRDefault="00060262" w:rsidP="00060262">
      <w:pPr>
        <w:pStyle w:val="ListParagraph"/>
        <w:numPr>
          <w:ilvl w:val="0"/>
          <w:numId w:val="7"/>
        </w:num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 xml:space="preserve">Eun, C. S., &amp; Resnick, B. G. (2018). </w:t>
      </w:r>
      <w:r w:rsidRPr="00060262">
        <w:rPr>
          <w:rFonts w:ascii="Times New Roman" w:hAnsi="Times New Roman" w:cs="Times New Roman"/>
          <w:i/>
          <w:iCs/>
          <w:sz w:val="24"/>
          <w:szCs w:val="24"/>
        </w:rPr>
        <w:t>International Financial Management</w:t>
      </w:r>
      <w:r w:rsidRPr="00060262">
        <w:rPr>
          <w:rFonts w:ascii="Times New Roman" w:hAnsi="Times New Roman" w:cs="Times New Roman"/>
          <w:sz w:val="24"/>
          <w:szCs w:val="24"/>
        </w:rPr>
        <w:t xml:space="preserve"> (8th ed.). McGraw-Hill Education.</w:t>
      </w:r>
    </w:p>
    <w:p w14:paraId="33B5C9DD" w14:textId="18B48AE5" w:rsidR="00060262" w:rsidRPr="00060262" w:rsidRDefault="00060262" w:rsidP="00060262">
      <w:pPr>
        <w:pStyle w:val="ListParagraph"/>
        <w:numPr>
          <w:ilvl w:val="0"/>
          <w:numId w:val="7"/>
        </w:numPr>
        <w:spacing w:line="360" w:lineRule="auto"/>
        <w:jc w:val="both"/>
        <w:rPr>
          <w:rFonts w:ascii="Times New Roman" w:hAnsi="Times New Roman" w:cs="Times New Roman"/>
          <w:sz w:val="24"/>
          <w:szCs w:val="24"/>
        </w:rPr>
      </w:pPr>
      <w:proofErr w:type="spellStart"/>
      <w:r w:rsidRPr="00060262">
        <w:rPr>
          <w:rFonts w:ascii="Times New Roman" w:hAnsi="Times New Roman" w:cs="Times New Roman"/>
          <w:sz w:val="24"/>
          <w:szCs w:val="24"/>
        </w:rPr>
        <w:t>Jorion</w:t>
      </w:r>
      <w:proofErr w:type="spellEnd"/>
      <w:r w:rsidRPr="00060262">
        <w:rPr>
          <w:rFonts w:ascii="Times New Roman" w:hAnsi="Times New Roman" w:cs="Times New Roman"/>
          <w:sz w:val="24"/>
          <w:szCs w:val="24"/>
        </w:rPr>
        <w:t xml:space="preserve">, P. (2007). </w:t>
      </w:r>
      <w:r w:rsidRPr="00060262">
        <w:rPr>
          <w:rFonts w:ascii="Times New Roman" w:hAnsi="Times New Roman" w:cs="Times New Roman"/>
          <w:i/>
          <w:iCs/>
          <w:sz w:val="24"/>
          <w:szCs w:val="24"/>
        </w:rPr>
        <w:t>Financial Risk Manager Handbook</w:t>
      </w:r>
      <w:r w:rsidRPr="00060262">
        <w:rPr>
          <w:rFonts w:ascii="Times New Roman" w:hAnsi="Times New Roman" w:cs="Times New Roman"/>
          <w:sz w:val="24"/>
          <w:szCs w:val="24"/>
        </w:rPr>
        <w:t xml:space="preserve"> (5th ed.). Wiley Finance.</w:t>
      </w:r>
    </w:p>
    <w:p w14:paraId="600DDF73" w14:textId="6A81411E" w:rsidR="00060262" w:rsidRPr="00060262" w:rsidRDefault="00060262" w:rsidP="00060262">
      <w:pPr>
        <w:pStyle w:val="ListParagraph"/>
        <w:numPr>
          <w:ilvl w:val="0"/>
          <w:numId w:val="7"/>
        </w:num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 xml:space="preserve">Central Bank of Nigeria (CBN). (2020). </w:t>
      </w:r>
      <w:r w:rsidRPr="00060262">
        <w:rPr>
          <w:rFonts w:ascii="Times New Roman" w:hAnsi="Times New Roman" w:cs="Times New Roman"/>
          <w:i/>
          <w:iCs/>
          <w:sz w:val="24"/>
          <w:szCs w:val="24"/>
        </w:rPr>
        <w:t>Guidelines on Foreign Exchange Risk Management for Banks in Nigeria</w:t>
      </w:r>
      <w:r w:rsidRPr="00060262">
        <w:rPr>
          <w:rFonts w:ascii="Times New Roman" w:hAnsi="Times New Roman" w:cs="Times New Roman"/>
          <w:sz w:val="24"/>
          <w:szCs w:val="24"/>
        </w:rPr>
        <w:t>. Abuja: CBN Publications.</w:t>
      </w:r>
    </w:p>
    <w:p w14:paraId="0F423983" w14:textId="01EC7016" w:rsidR="00060262" w:rsidRPr="00060262" w:rsidRDefault="00060262" w:rsidP="00060262">
      <w:pPr>
        <w:pStyle w:val="ListParagraph"/>
        <w:numPr>
          <w:ilvl w:val="0"/>
          <w:numId w:val="7"/>
        </w:num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 xml:space="preserve">Akindele, S. T., &amp; Ajayi, F. O. (2016). Foreign exchange risk management and bank performance in Nigeria. </w:t>
      </w:r>
      <w:r w:rsidRPr="00060262">
        <w:rPr>
          <w:rFonts w:ascii="Times New Roman" w:hAnsi="Times New Roman" w:cs="Times New Roman"/>
          <w:i/>
          <w:iCs/>
          <w:sz w:val="24"/>
          <w:szCs w:val="24"/>
        </w:rPr>
        <w:t>International Journal of Banking and Finance, 8</w:t>
      </w:r>
      <w:r w:rsidRPr="00060262">
        <w:rPr>
          <w:rFonts w:ascii="Times New Roman" w:hAnsi="Times New Roman" w:cs="Times New Roman"/>
          <w:sz w:val="24"/>
          <w:szCs w:val="24"/>
        </w:rPr>
        <w:t>(2), 102–118.</w:t>
      </w:r>
    </w:p>
    <w:p w14:paraId="7AA51E4B" w14:textId="5DEC5DB6" w:rsidR="00060262" w:rsidRPr="00060262" w:rsidRDefault="00060262" w:rsidP="00060262">
      <w:pPr>
        <w:pStyle w:val="ListParagraph"/>
        <w:numPr>
          <w:ilvl w:val="0"/>
          <w:numId w:val="7"/>
        </w:num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 xml:space="preserve">Al-Fadly, H., &amp; Kamal, M. (2019). Hedging strategies and profitability of banks in emerging markets. </w:t>
      </w:r>
      <w:r w:rsidRPr="00060262">
        <w:rPr>
          <w:rFonts w:ascii="Times New Roman" w:hAnsi="Times New Roman" w:cs="Times New Roman"/>
          <w:i/>
          <w:iCs/>
          <w:sz w:val="24"/>
          <w:szCs w:val="24"/>
        </w:rPr>
        <w:t>Journal of Financial Risk Management, 10</w:t>
      </w:r>
      <w:r w:rsidRPr="00060262">
        <w:rPr>
          <w:rFonts w:ascii="Times New Roman" w:hAnsi="Times New Roman" w:cs="Times New Roman"/>
          <w:sz w:val="24"/>
          <w:szCs w:val="24"/>
        </w:rPr>
        <w:t>(1), 56–70.</w:t>
      </w:r>
    </w:p>
    <w:p w14:paraId="2B881CEE" w14:textId="433CBA24" w:rsidR="00060262" w:rsidRPr="00060262" w:rsidRDefault="00060262" w:rsidP="00060262">
      <w:pPr>
        <w:pStyle w:val="ListParagraph"/>
        <w:numPr>
          <w:ilvl w:val="0"/>
          <w:numId w:val="7"/>
        </w:num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 xml:space="preserve">Saunders, A., &amp; Cornett, M. M. (2019). </w:t>
      </w:r>
      <w:r w:rsidRPr="00060262">
        <w:rPr>
          <w:rFonts w:ascii="Times New Roman" w:hAnsi="Times New Roman" w:cs="Times New Roman"/>
          <w:i/>
          <w:iCs/>
          <w:sz w:val="24"/>
          <w:szCs w:val="24"/>
        </w:rPr>
        <w:t>Financial Institutions Management: A Risk Management Approach</w:t>
      </w:r>
      <w:r w:rsidRPr="00060262">
        <w:rPr>
          <w:rFonts w:ascii="Times New Roman" w:hAnsi="Times New Roman" w:cs="Times New Roman"/>
          <w:sz w:val="24"/>
          <w:szCs w:val="24"/>
        </w:rPr>
        <w:t xml:space="preserve"> (9th ed.). McGraw-Hill Education.</w:t>
      </w:r>
    </w:p>
    <w:p w14:paraId="1FCAAFB4" w14:textId="1D7D232E" w:rsidR="00060262" w:rsidRPr="00060262" w:rsidRDefault="00060262" w:rsidP="00060262">
      <w:pPr>
        <w:pStyle w:val="ListParagraph"/>
        <w:numPr>
          <w:ilvl w:val="0"/>
          <w:numId w:val="7"/>
        </w:numPr>
        <w:spacing w:line="360" w:lineRule="auto"/>
        <w:jc w:val="both"/>
        <w:rPr>
          <w:rFonts w:ascii="Times New Roman" w:hAnsi="Times New Roman" w:cs="Times New Roman"/>
          <w:sz w:val="24"/>
          <w:szCs w:val="24"/>
        </w:rPr>
      </w:pPr>
      <w:r w:rsidRPr="00060262">
        <w:rPr>
          <w:rFonts w:ascii="Times New Roman" w:hAnsi="Times New Roman" w:cs="Times New Roman"/>
          <w:sz w:val="24"/>
          <w:szCs w:val="24"/>
        </w:rPr>
        <w:t xml:space="preserve">Deloitte. (2021). </w:t>
      </w:r>
      <w:r w:rsidRPr="00060262">
        <w:rPr>
          <w:rFonts w:ascii="Times New Roman" w:hAnsi="Times New Roman" w:cs="Times New Roman"/>
          <w:i/>
          <w:iCs/>
          <w:sz w:val="24"/>
          <w:szCs w:val="24"/>
        </w:rPr>
        <w:t>Managing Currency Risk in Emerging Economies</w:t>
      </w:r>
      <w:r w:rsidRPr="00060262">
        <w:rPr>
          <w:rFonts w:ascii="Times New Roman" w:hAnsi="Times New Roman" w:cs="Times New Roman"/>
          <w:sz w:val="24"/>
          <w:szCs w:val="24"/>
        </w:rPr>
        <w:t>. Deloitte Insights. Retrieved from https://www2.deloitte.com</w:t>
      </w:r>
    </w:p>
    <w:p w14:paraId="3CAC0D53" w14:textId="77777777" w:rsidR="00060262" w:rsidRPr="00060262" w:rsidRDefault="00060262" w:rsidP="00060262">
      <w:pPr>
        <w:spacing w:line="360" w:lineRule="auto"/>
        <w:jc w:val="both"/>
        <w:rPr>
          <w:rFonts w:ascii="Times New Roman" w:hAnsi="Times New Roman" w:cs="Times New Roman"/>
          <w:sz w:val="24"/>
          <w:szCs w:val="24"/>
        </w:rPr>
      </w:pPr>
    </w:p>
    <w:p w14:paraId="19255D9A" w14:textId="77777777" w:rsidR="00060262" w:rsidRPr="008643CA" w:rsidRDefault="00060262" w:rsidP="008643CA">
      <w:pPr>
        <w:spacing w:line="360" w:lineRule="auto"/>
        <w:jc w:val="both"/>
        <w:rPr>
          <w:rFonts w:ascii="Times New Roman" w:hAnsi="Times New Roman" w:cs="Times New Roman"/>
          <w:sz w:val="24"/>
          <w:szCs w:val="24"/>
        </w:rPr>
      </w:pPr>
    </w:p>
    <w:sectPr w:rsidR="00060262" w:rsidRPr="008643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07C1C"/>
    <w:multiLevelType w:val="hybridMultilevel"/>
    <w:tmpl w:val="94C4C1B8"/>
    <w:lvl w:ilvl="0" w:tplc="40090001">
      <w:start w:val="1"/>
      <w:numFmt w:val="bullet"/>
      <w:lvlText w:val=""/>
      <w:lvlJc w:val="left"/>
      <w:pPr>
        <w:ind w:left="360"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A567795"/>
    <w:multiLevelType w:val="hybridMultilevel"/>
    <w:tmpl w:val="B2DEA3C2"/>
    <w:lvl w:ilvl="0" w:tplc="BEE03B20">
      <w:start w:val="1"/>
      <w:numFmt w:val="decimal"/>
      <w:lvlText w:val="%1."/>
      <w:lvlJc w:val="left"/>
      <w:pPr>
        <w:ind w:left="360" w:hanging="360"/>
      </w:pPr>
      <w:rPr>
        <w:rFonts w:hint="default"/>
        <w:b/>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503A0B97"/>
    <w:multiLevelType w:val="hybridMultilevel"/>
    <w:tmpl w:val="A3381820"/>
    <w:lvl w:ilvl="0" w:tplc="BEE03B20">
      <w:start w:val="1"/>
      <w:numFmt w:val="decimal"/>
      <w:lvlText w:val="%1."/>
      <w:lvlJc w:val="left"/>
      <w:pPr>
        <w:ind w:left="36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25F2AC9"/>
    <w:multiLevelType w:val="hybridMultilevel"/>
    <w:tmpl w:val="374EF5C4"/>
    <w:lvl w:ilvl="0" w:tplc="23D65312">
      <w:start w:val="7"/>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B1B4287"/>
    <w:multiLevelType w:val="hybridMultilevel"/>
    <w:tmpl w:val="F58A4D8A"/>
    <w:lvl w:ilvl="0" w:tplc="23D65312">
      <w:start w:val="7"/>
      <w:numFmt w:val="bullet"/>
      <w:lvlText w:val=""/>
      <w:lvlJc w:val="left"/>
      <w:pPr>
        <w:ind w:left="360" w:hanging="360"/>
      </w:pPr>
      <w:rPr>
        <w:rFonts w:ascii="Times New Roman" w:eastAsiaTheme="minorHAnsi" w:hAnsi="Times New Roman"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CA42DFF"/>
    <w:multiLevelType w:val="hybridMultilevel"/>
    <w:tmpl w:val="B2B8E5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E5736A7"/>
    <w:multiLevelType w:val="hybridMultilevel"/>
    <w:tmpl w:val="BAB09E48"/>
    <w:lvl w:ilvl="0" w:tplc="BEE03B20">
      <w:start w:val="1"/>
      <w:numFmt w:val="decimal"/>
      <w:lvlText w:val="%1."/>
      <w:lvlJc w:val="left"/>
      <w:pPr>
        <w:ind w:left="36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39197093">
    <w:abstractNumId w:val="5"/>
  </w:num>
  <w:num w:numId="2" w16cid:durableId="1891460218">
    <w:abstractNumId w:val="1"/>
  </w:num>
  <w:num w:numId="3" w16cid:durableId="576666686">
    <w:abstractNumId w:val="2"/>
  </w:num>
  <w:num w:numId="4" w16cid:durableId="342828731">
    <w:abstractNumId w:val="3"/>
  </w:num>
  <w:num w:numId="5" w16cid:durableId="11147625">
    <w:abstractNumId w:val="4"/>
  </w:num>
  <w:num w:numId="6" w16cid:durableId="13121764">
    <w:abstractNumId w:val="0"/>
  </w:num>
  <w:num w:numId="7" w16cid:durableId="9259215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E4C"/>
    <w:rsid w:val="00060262"/>
    <w:rsid w:val="0009119B"/>
    <w:rsid w:val="0020187E"/>
    <w:rsid w:val="008643CA"/>
    <w:rsid w:val="008F7F7B"/>
    <w:rsid w:val="00952E4C"/>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59659"/>
  <w15:chartTrackingRefBased/>
  <w15:docId w15:val="{AF0ACEFD-084F-4342-9871-2637E0CD1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3CA"/>
  </w:style>
  <w:style w:type="paragraph" w:styleId="Heading1">
    <w:name w:val="heading 1"/>
    <w:basedOn w:val="Normal"/>
    <w:next w:val="Normal"/>
    <w:link w:val="Heading1Char"/>
    <w:uiPriority w:val="9"/>
    <w:qFormat/>
    <w:rsid w:val="00952E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52E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2E4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2E4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2E4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2E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2E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2E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2E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E4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52E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2E4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2E4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2E4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2E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2E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2E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2E4C"/>
    <w:rPr>
      <w:rFonts w:eastAsiaTheme="majorEastAsia" w:cstheme="majorBidi"/>
      <w:color w:val="272727" w:themeColor="text1" w:themeTint="D8"/>
    </w:rPr>
  </w:style>
  <w:style w:type="paragraph" w:styleId="Title">
    <w:name w:val="Title"/>
    <w:basedOn w:val="Normal"/>
    <w:next w:val="Normal"/>
    <w:link w:val="TitleChar"/>
    <w:uiPriority w:val="10"/>
    <w:qFormat/>
    <w:rsid w:val="00952E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2E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2E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2E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2E4C"/>
    <w:pPr>
      <w:spacing w:before="160"/>
      <w:jc w:val="center"/>
    </w:pPr>
    <w:rPr>
      <w:i/>
      <w:iCs/>
      <w:color w:val="404040" w:themeColor="text1" w:themeTint="BF"/>
    </w:rPr>
  </w:style>
  <w:style w:type="character" w:customStyle="1" w:styleId="QuoteChar">
    <w:name w:val="Quote Char"/>
    <w:basedOn w:val="DefaultParagraphFont"/>
    <w:link w:val="Quote"/>
    <w:uiPriority w:val="29"/>
    <w:rsid w:val="00952E4C"/>
    <w:rPr>
      <w:i/>
      <w:iCs/>
      <w:color w:val="404040" w:themeColor="text1" w:themeTint="BF"/>
    </w:rPr>
  </w:style>
  <w:style w:type="paragraph" w:styleId="ListParagraph">
    <w:name w:val="List Paragraph"/>
    <w:basedOn w:val="Normal"/>
    <w:uiPriority w:val="34"/>
    <w:qFormat/>
    <w:rsid w:val="00952E4C"/>
    <w:pPr>
      <w:ind w:left="720"/>
      <w:contextualSpacing/>
    </w:pPr>
  </w:style>
  <w:style w:type="character" w:styleId="IntenseEmphasis">
    <w:name w:val="Intense Emphasis"/>
    <w:basedOn w:val="DefaultParagraphFont"/>
    <w:uiPriority w:val="21"/>
    <w:qFormat/>
    <w:rsid w:val="00952E4C"/>
    <w:rPr>
      <w:i/>
      <w:iCs/>
      <w:color w:val="2F5496" w:themeColor="accent1" w:themeShade="BF"/>
    </w:rPr>
  </w:style>
  <w:style w:type="paragraph" w:styleId="IntenseQuote">
    <w:name w:val="Intense Quote"/>
    <w:basedOn w:val="Normal"/>
    <w:next w:val="Normal"/>
    <w:link w:val="IntenseQuoteChar"/>
    <w:uiPriority w:val="30"/>
    <w:qFormat/>
    <w:rsid w:val="00952E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2E4C"/>
    <w:rPr>
      <w:i/>
      <w:iCs/>
      <w:color w:val="2F5496" w:themeColor="accent1" w:themeShade="BF"/>
    </w:rPr>
  </w:style>
  <w:style w:type="character" w:styleId="IntenseReference">
    <w:name w:val="Intense Reference"/>
    <w:basedOn w:val="DefaultParagraphFont"/>
    <w:uiPriority w:val="32"/>
    <w:qFormat/>
    <w:rsid w:val="00952E4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14</Pages>
  <Words>4580</Words>
  <Characters>26112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2025-10-07T15:47:00Z</dcterms:created>
  <dcterms:modified xsi:type="dcterms:W3CDTF">2025-10-07T16:08:00Z</dcterms:modified>
</cp:coreProperties>
</file>