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A4CA3" w14:textId="77777777" w:rsidR="00810C77" w:rsidRPr="00DA2E13" w:rsidRDefault="00810C77" w:rsidP="00810C77">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65A7E2D6" w14:textId="15FA4F24" w:rsidR="00E75FD5" w:rsidRDefault="00810C77" w:rsidP="00810C77">
      <w:pPr>
        <w:pStyle w:val="ListParagraph"/>
        <w:numPr>
          <w:ilvl w:val="1"/>
          <w:numId w:val="1"/>
        </w:numPr>
        <w:jc w:val="center"/>
        <w:rPr>
          <w:rFonts w:ascii="Times New Roman" w:hAnsi="Times New Roman" w:cs="Times New Roman"/>
          <w:b/>
          <w:sz w:val="24"/>
          <w:szCs w:val="24"/>
          <w:lang w:val="en-US"/>
        </w:rPr>
      </w:pPr>
      <w:r w:rsidRPr="00810C77">
        <w:rPr>
          <w:rFonts w:ascii="Times New Roman" w:hAnsi="Times New Roman" w:cs="Times New Roman"/>
          <w:b/>
          <w:sz w:val="24"/>
          <w:szCs w:val="24"/>
          <w:lang w:val="en-US"/>
        </w:rPr>
        <w:t>INTRODUCTION OF THE STUDY</w:t>
      </w:r>
    </w:p>
    <w:p w14:paraId="008FDA85" w14:textId="77777777" w:rsidR="00810C77" w:rsidRDefault="00810C77" w:rsidP="00810C77">
      <w:pPr>
        <w:pStyle w:val="NormalWeb"/>
        <w:spacing w:line="360" w:lineRule="auto"/>
        <w:jc w:val="both"/>
      </w:pPr>
      <w:r>
        <w:rPr>
          <w:rStyle w:val="relative"/>
          <w:rFonts w:eastAsiaTheme="majorEastAsia"/>
        </w:rPr>
        <w:t xml:space="preserve">           </w:t>
      </w:r>
      <w:r>
        <w:rPr>
          <w:rStyle w:val="relative"/>
          <w:rFonts w:eastAsiaTheme="majorEastAsia"/>
        </w:rPr>
        <w:t>The Nigerian banking sector has experienced significant transformations over the past few decades, marked by periods of rapid growth, financial crises, and regulatory reforms.</w:t>
      </w:r>
      <w:r>
        <w:t xml:space="preserve"> </w:t>
      </w:r>
      <w:r>
        <w:rPr>
          <w:rStyle w:val="relative"/>
          <w:rFonts w:eastAsiaTheme="majorEastAsia"/>
        </w:rPr>
        <w:t>Central to the stability and performance of these institutions are two critical factors: corporate governance and risk management.</w:t>
      </w:r>
      <w:r>
        <w:t xml:space="preserve"> </w:t>
      </w:r>
      <w:r>
        <w:rPr>
          <w:rStyle w:val="relative"/>
          <w:rFonts w:eastAsiaTheme="majorEastAsia"/>
        </w:rPr>
        <w:t>Corporate governance encompasses the structures, policies, and practices that guide a bank's operations, ensuring accountability, transparency, and ethical conduct.</w:t>
      </w:r>
      <w:r>
        <w:t xml:space="preserve"> </w:t>
      </w:r>
      <w:r>
        <w:rPr>
          <w:rStyle w:val="relative"/>
          <w:rFonts w:eastAsiaTheme="majorEastAsia"/>
        </w:rPr>
        <w:t>Effective governance frameworks are instrumental in aligning the interests of stakeholders, mitigating conflicts, and fostering investor confidence.</w:t>
      </w:r>
      <w:r>
        <w:t xml:space="preserve"> </w:t>
      </w:r>
    </w:p>
    <w:p w14:paraId="416911D1" w14:textId="66776095" w:rsidR="00810C77" w:rsidRDefault="00810C77" w:rsidP="00810C77">
      <w:pPr>
        <w:pStyle w:val="NormalWeb"/>
        <w:spacing w:line="360" w:lineRule="auto"/>
        <w:jc w:val="both"/>
      </w:pPr>
      <w:r>
        <w:t xml:space="preserve">           </w:t>
      </w:r>
      <w:r>
        <w:rPr>
          <w:rStyle w:val="relative"/>
          <w:rFonts w:eastAsiaTheme="majorEastAsia"/>
        </w:rPr>
        <w:t>Risk management, on the other hand, involves identifying, assessing, and mitigating potential threats that could adversely affect a bank's assets, operations, or reputation.</w:t>
      </w:r>
      <w:r>
        <w:t xml:space="preserve"> </w:t>
      </w:r>
      <w:r>
        <w:rPr>
          <w:rStyle w:val="relative"/>
          <w:rFonts w:eastAsiaTheme="majorEastAsia"/>
        </w:rPr>
        <w:t>In an environment characterized by economic volatility, regulatory changes, and technological advancements, robust risk management practices are indispensable for safeguarding financial stability.</w:t>
      </w:r>
    </w:p>
    <w:p w14:paraId="76DD51DE" w14:textId="11255108" w:rsidR="00810C77" w:rsidRDefault="00810C77" w:rsidP="00810C77">
      <w:pPr>
        <w:pStyle w:val="NormalWeb"/>
        <w:spacing w:line="360" w:lineRule="auto"/>
        <w:jc w:val="both"/>
      </w:pPr>
      <w:r>
        <w:rPr>
          <w:rStyle w:val="relative"/>
          <w:rFonts w:eastAsiaTheme="majorEastAsia"/>
        </w:rPr>
        <w:t xml:space="preserve">           </w:t>
      </w:r>
      <w:r>
        <w:rPr>
          <w:rStyle w:val="relative"/>
          <w:rFonts w:eastAsiaTheme="majorEastAsia"/>
        </w:rPr>
        <w:t>The interplay between corporate governance and risk management is particularly pertinent in the Nigerian context, where instances of bank failures and financial distress have often been attributed to lapses in governance and inadequate risk oversight.</w:t>
      </w:r>
      <w:r>
        <w:t xml:space="preserve"> </w:t>
      </w:r>
      <w:r>
        <w:rPr>
          <w:rStyle w:val="relative"/>
          <w:rFonts w:eastAsiaTheme="majorEastAsia"/>
        </w:rPr>
        <w:t xml:space="preserve">For example, the revocation of Heritage Bank's license by the Central Bank of Nigeria in 2024 underscored the consequences of regulatory breaches and poor governance </w:t>
      </w:r>
      <w:proofErr w:type="gramStart"/>
      <w:r>
        <w:rPr>
          <w:rStyle w:val="relative"/>
          <w:rFonts w:eastAsiaTheme="majorEastAsia"/>
        </w:rPr>
        <w:t>practices</w:t>
      </w:r>
      <w:r>
        <w:t xml:space="preserve"> .</w:t>
      </w:r>
      <w:proofErr w:type="gramEnd"/>
      <w:r>
        <w:t xml:space="preserve"> </w:t>
      </w:r>
      <w:r>
        <w:rPr>
          <w:rStyle w:val="relative"/>
          <w:rFonts w:eastAsiaTheme="majorEastAsia"/>
        </w:rPr>
        <w:t xml:space="preserve">Such events highlight the necessity for banks to integrate sound governance principles with comprehensive risk management strategies to enhance performance and ensure long-term </w:t>
      </w:r>
      <w:proofErr w:type="spellStart"/>
      <w:r>
        <w:rPr>
          <w:rStyle w:val="relative"/>
          <w:rFonts w:eastAsiaTheme="majorEastAsia"/>
        </w:rPr>
        <w:t>sustainability.</w:t>
      </w:r>
      <w:hyperlink r:id="rId5" w:tgtFrame="_blank" w:history="1">
        <w:r>
          <w:rPr>
            <w:rStyle w:val="max-w-full"/>
            <w:rFonts w:eastAsiaTheme="majorEastAsia"/>
            <w:color w:val="0000FF"/>
            <w:u w:val="single"/>
          </w:rPr>
          <w:t>Reuters</w:t>
        </w:r>
        <w:proofErr w:type="spellEnd"/>
      </w:hyperlink>
    </w:p>
    <w:p w14:paraId="239AB4C6" w14:textId="55A64013" w:rsidR="00810C77" w:rsidRDefault="00810C77" w:rsidP="00810C77">
      <w:pPr>
        <w:pStyle w:val="NormalWeb"/>
        <w:spacing w:line="360" w:lineRule="auto"/>
        <w:jc w:val="both"/>
      </w:pPr>
      <w:r>
        <w:rPr>
          <w:rStyle w:val="relative"/>
          <w:rFonts w:eastAsiaTheme="majorEastAsia"/>
        </w:rPr>
        <w:t xml:space="preserve">             </w:t>
      </w:r>
      <w:r>
        <w:rPr>
          <w:rStyle w:val="relative"/>
          <w:rFonts w:eastAsiaTheme="majorEastAsia"/>
        </w:rPr>
        <w:t>Empirical studies have demonstrated a positive correlation between effective corporate governance and improved bank performance.</w:t>
      </w:r>
      <w:r>
        <w:t xml:space="preserve"> </w:t>
      </w:r>
      <w:r>
        <w:rPr>
          <w:rStyle w:val="relative"/>
          <w:rFonts w:eastAsiaTheme="majorEastAsia"/>
        </w:rPr>
        <w:t xml:space="preserve">A study by Akindele (2012) found that robust governance structures contribute to enhanced profitability and operational efficiency in Nigerian </w:t>
      </w:r>
      <w:proofErr w:type="gramStart"/>
      <w:r>
        <w:rPr>
          <w:rStyle w:val="relative"/>
          <w:rFonts w:eastAsiaTheme="majorEastAsia"/>
        </w:rPr>
        <w:t>banks</w:t>
      </w:r>
      <w:r>
        <w:t xml:space="preserve"> .</w:t>
      </w:r>
      <w:proofErr w:type="gramEnd"/>
      <w:r>
        <w:t xml:space="preserve"> </w:t>
      </w:r>
      <w:r>
        <w:rPr>
          <w:rStyle w:val="relative"/>
          <w:rFonts w:eastAsiaTheme="majorEastAsia"/>
        </w:rPr>
        <w:t xml:space="preserve">Similarly, research by </w:t>
      </w:r>
      <w:proofErr w:type="spellStart"/>
      <w:r>
        <w:rPr>
          <w:rStyle w:val="relative"/>
          <w:rFonts w:eastAsiaTheme="majorEastAsia"/>
        </w:rPr>
        <w:t>Uremadu</w:t>
      </w:r>
      <w:proofErr w:type="spellEnd"/>
      <w:r>
        <w:rPr>
          <w:rStyle w:val="relative"/>
          <w:rFonts w:eastAsiaTheme="majorEastAsia"/>
        </w:rPr>
        <w:t xml:space="preserve"> and Azeez (2023) emphasized that the application of risk management techniques, grounded in strong governance frameworks, can significantly elevate the performance of banking institutions in Nigeria</w:t>
      </w:r>
      <w:r>
        <w:t xml:space="preserve"> .</w:t>
      </w:r>
      <w:hyperlink r:id="rId6" w:tgtFrame="_blank" w:history="1">
        <w:r>
          <w:rPr>
            <w:rStyle w:val="max-w-full"/>
            <w:rFonts w:eastAsiaTheme="majorEastAsia"/>
            <w:color w:val="0000FF"/>
            <w:u w:val="single"/>
          </w:rPr>
          <w:t>African Journals Online</w:t>
        </w:r>
      </w:hyperlink>
      <w:hyperlink r:id="rId7" w:tgtFrame="_blank" w:history="1">
        <w:r>
          <w:rPr>
            <w:rStyle w:val="max-w-full"/>
            <w:rFonts w:eastAsiaTheme="majorEastAsia"/>
            <w:color w:val="0000FF"/>
            <w:u w:val="single"/>
          </w:rPr>
          <w:t>namj.tamn-ng.org</w:t>
        </w:r>
      </w:hyperlink>
    </w:p>
    <w:p w14:paraId="49F9BB54" w14:textId="77777777" w:rsidR="00810C77" w:rsidRDefault="00810C77" w:rsidP="00810C77">
      <w:pPr>
        <w:pStyle w:val="NormalWeb"/>
        <w:spacing w:line="360" w:lineRule="auto"/>
        <w:jc w:val="both"/>
        <w:rPr>
          <w:rStyle w:val="relative"/>
          <w:rFonts w:eastAsiaTheme="majorEastAsia"/>
        </w:rPr>
      </w:pPr>
      <w:r>
        <w:rPr>
          <w:rStyle w:val="relative"/>
          <w:rFonts w:eastAsiaTheme="majorEastAsia"/>
        </w:rPr>
        <w:t xml:space="preserve">           </w:t>
      </w:r>
      <w:r>
        <w:rPr>
          <w:rStyle w:val="relative"/>
          <w:rFonts w:eastAsiaTheme="majorEastAsia"/>
        </w:rPr>
        <w:t>This study aims to explore the intricate relationship between corporate governance, risk management, and bank performance in Nigeria.</w:t>
      </w:r>
      <w:r>
        <w:t xml:space="preserve"> </w:t>
      </w:r>
      <w:r>
        <w:rPr>
          <w:rStyle w:val="relative"/>
          <w:rFonts w:eastAsiaTheme="majorEastAsia"/>
        </w:rPr>
        <w:t xml:space="preserve">By examining various governance </w:t>
      </w:r>
      <w:r>
        <w:rPr>
          <w:rStyle w:val="relative"/>
          <w:rFonts w:eastAsiaTheme="majorEastAsia"/>
        </w:rPr>
        <w:lastRenderedPageBreak/>
        <w:t>mechanisms, such as board composition, independence, and the presence of risk committees, alongside risk management practices, this research seeks to provide insights into how these factors collectively influence the financial health and operational success of Nigerian banks.</w:t>
      </w:r>
      <w:r>
        <w:t xml:space="preserve"> </w:t>
      </w:r>
      <w:r>
        <w:rPr>
          <w:rStyle w:val="relative"/>
          <w:rFonts w:eastAsiaTheme="majorEastAsia"/>
        </w:rPr>
        <w:t>Understanding these dynamics is crucial for policymakers, regulators, and banking executives striving to foster a resilient and efficient banking sector that can withstand external shocks and contribute to the broader economic development of Nigeria.</w:t>
      </w:r>
      <w:bookmarkStart w:id="0" w:name="_Hlk202099740"/>
      <w:bookmarkStart w:id="1" w:name="_Hlk203252668"/>
    </w:p>
    <w:p w14:paraId="176B5066" w14:textId="67CDAF97" w:rsidR="00810C77" w:rsidRDefault="00810C77" w:rsidP="00810C77">
      <w:pPr>
        <w:pStyle w:val="NormalWeb"/>
        <w:spacing w:line="360" w:lineRule="auto"/>
        <w:jc w:val="both"/>
        <w:rPr>
          <w:b/>
        </w:rPr>
      </w:pPr>
      <w:r w:rsidRPr="00DA2E13">
        <w:rPr>
          <w:b/>
          <w:lang w:val="en-US"/>
        </w:rPr>
        <w:t>What are the benefits of</w:t>
      </w:r>
      <w:bookmarkEnd w:id="0"/>
      <w:bookmarkEnd w:id="1"/>
      <w:r w:rsidRPr="00810C77">
        <w:rPr>
          <w:rFonts w:asciiTheme="minorHAnsi" w:eastAsiaTheme="minorHAnsi" w:hAnsiTheme="minorHAnsi" w:cstheme="minorBidi"/>
          <w:kern w:val="2"/>
          <w:sz w:val="22"/>
          <w:szCs w:val="22"/>
          <w:lang w:eastAsia="en-US"/>
          <w14:ligatures w14:val="standardContextual"/>
        </w:rPr>
        <w:t xml:space="preserve"> </w:t>
      </w:r>
      <w:r w:rsidRPr="00810C77">
        <w:rPr>
          <w:b/>
        </w:rPr>
        <w:t>the impact of corporate governance and risk management on bank performance</w:t>
      </w:r>
      <w:r>
        <w:rPr>
          <w:b/>
        </w:rPr>
        <w:t>?</w:t>
      </w:r>
    </w:p>
    <w:p w14:paraId="505434B4" w14:textId="4A1E66D7" w:rsidR="00810C77" w:rsidRPr="00810C77" w:rsidRDefault="00810C77" w:rsidP="00810C77">
      <w:pPr>
        <w:pStyle w:val="NormalWeb"/>
        <w:spacing w:line="360" w:lineRule="auto"/>
        <w:jc w:val="both"/>
        <w:rPr>
          <w:rFonts w:eastAsiaTheme="majorEastAsia"/>
        </w:rPr>
      </w:pPr>
      <w:r w:rsidRPr="00810C77">
        <w:rPr>
          <w:rFonts w:eastAsiaTheme="majorEastAsia"/>
          <w:b/>
          <w:bCs/>
        </w:rPr>
        <w:t>Enhanced Financial Stability</w:t>
      </w:r>
      <w:r>
        <w:rPr>
          <w:rFonts w:eastAsiaTheme="majorEastAsia"/>
          <w:b/>
          <w:bCs/>
        </w:rPr>
        <w:t>:</w:t>
      </w:r>
      <w:r>
        <w:rPr>
          <w:rFonts w:eastAsiaTheme="majorEastAsia"/>
        </w:rPr>
        <w:t xml:space="preserve"> </w:t>
      </w:r>
      <w:r w:rsidRPr="00810C77">
        <w:rPr>
          <w:rFonts w:eastAsiaTheme="majorEastAsia"/>
        </w:rPr>
        <w:t xml:space="preserve">This study underscores the importance of robust corporate governance and effective risk management in mitigating financial crises. By identifying best practices, it aids banks in strengthening their internal controls. Consequently, banks can achieve greater financial stability and resilience against economic shocks. </w:t>
      </w:r>
    </w:p>
    <w:p w14:paraId="6D514238" w14:textId="2AA8FF0C" w:rsidR="00810C77" w:rsidRPr="00810C77" w:rsidRDefault="00810C77" w:rsidP="00810C77">
      <w:pPr>
        <w:pStyle w:val="NormalWeb"/>
        <w:spacing w:line="360" w:lineRule="auto"/>
        <w:jc w:val="both"/>
        <w:rPr>
          <w:rFonts w:eastAsiaTheme="majorEastAsia"/>
        </w:rPr>
      </w:pPr>
      <w:r w:rsidRPr="00810C77">
        <w:rPr>
          <w:rFonts w:eastAsiaTheme="majorEastAsia"/>
          <w:b/>
          <w:bCs/>
        </w:rPr>
        <w:t>Improved Investor Confidence</w:t>
      </w:r>
      <w:r>
        <w:rPr>
          <w:rFonts w:eastAsiaTheme="majorEastAsia"/>
          <w:b/>
          <w:bCs/>
        </w:rPr>
        <w:t>:</w:t>
      </w:r>
      <w:r>
        <w:rPr>
          <w:rFonts w:eastAsiaTheme="majorEastAsia"/>
        </w:rPr>
        <w:t xml:space="preserve"> </w:t>
      </w:r>
      <w:r w:rsidRPr="00810C77">
        <w:rPr>
          <w:rFonts w:eastAsiaTheme="majorEastAsia"/>
        </w:rPr>
        <w:t xml:space="preserve">Transparent governance and sound risk management practices foster trust among investors and stakeholders. The study provides insights into how these practices influence investor perceptions. Enhanced confidence can lead to increased investments and capital inflows into the banking sector. </w:t>
      </w:r>
    </w:p>
    <w:p w14:paraId="2E5FFCF4" w14:textId="3F1B7FA3" w:rsidR="00810C77" w:rsidRPr="00810C77" w:rsidRDefault="00810C77" w:rsidP="00810C77">
      <w:pPr>
        <w:pStyle w:val="NormalWeb"/>
        <w:spacing w:line="360" w:lineRule="auto"/>
        <w:jc w:val="both"/>
        <w:rPr>
          <w:rFonts w:eastAsiaTheme="majorEastAsia"/>
        </w:rPr>
      </w:pPr>
      <w:r w:rsidRPr="00810C77">
        <w:rPr>
          <w:rFonts w:eastAsiaTheme="majorEastAsia"/>
          <w:b/>
          <w:bCs/>
        </w:rPr>
        <w:t>Informed Policy Formulation</w:t>
      </w:r>
      <w:r>
        <w:rPr>
          <w:rFonts w:eastAsiaTheme="majorEastAsia"/>
          <w:b/>
          <w:bCs/>
        </w:rPr>
        <w:t>:</w:t>
      </w:r>
      <w:r>
        <w:rPr>
          <w:rFonts w:eastAsiaTheme="majorEastAsia"/>
        </w:rPr>
        <w:t xml:space="preserve"> </w:t>
      </w:r>
      <w:r w:rsidRPr="00810C77">
        <w:rPr>
          <w:rFonts w:eastAsiaTheme="majorEastAsia"/>
        </w:rPr>
        <w:t xml:space="preserve">The research offers empirical data that can guide policymakers in crafting regulations that promote effective governance and risk management. By understanding the dynamics between governance, risk, and performance, policies can be tailored to address existing challenges. This alignment ensures a conducive environment for banking operations. </w:t>
      </w:r>
    </w:p>
    <w:p w14:paraId="1ADBCE02" w14:textId="5EF3487C" w:rsidR="00810C77" w:rsidRPr="00810C77" w:rsidRDefault="00810C77" w:rsidP="00810C77">
      <w:pPr>
        <w:pStyle w:val="NormalWeb"/>
        <w:spacing w:line="360" w:lineRule="auto"/>
        <w:jc w:val="both"/>
        <w:rPr>
          <w:rFonts w:eastAsiaTheme="majorEastAsia"/>
        </w:rPr>
      </w:pPr>
      <w:r w:rsidRPr="00810C77">
        <w:rPr>
          <w:rFonts w:eastAsiaTheme="majorEastAsia"/>
          <w:b/>
          <w:bCs/>
        </w:rPr>
        <w:t>Enhanced Operational Efficiency</w:t>
      </w:r>
      <w:r>
        <w:rPr>
          <w:rFonts w:eastAsiaTheme="majorEastAsia"/>
          <w:b/>
          <w:bCs/>
        </w:rPr>
        <w:t>:</w:t>
      </w:r>
      <w:r>
        <w:rPr>
          <w:rFonts w:eastAsiaTheme="majorEastAsia"/>
        </w:rPr>
        <w:t xml:space="preserve"> </w:t>
      </w:r>
      <w:r w:rsidRPr="00810C77">
        <w:rPr>
          <w:rFonts w:eastAsiaTheme="majorEastAsia"/>
        </w:rPr>
        <w:t xml:space="preserve">Banks that adopt the study's recommendations are likely to experience streamlined operations and reduced inefficiencies. Implementing effective risk management frameworks can lead to better resource allocation. This efficiency translates to improved profitability and service delivery. </w:t>
      </w:r>
    </w:p>
    <w:p w14:paraId="5C4A3A8A" w14:textId="5F6001AE" w:rsidR="00810C77" w:rsidRDefault="00810C77" w:rsidP="00810C77">
      <w:pPr>
        <w:pStyle w:val="NormalWeb"/>
        <w:spacing w:line="360" w:lineRule="auto"/>
        <w:jc w:val="both"/>
        <w:rPr>
          <w:rFonts w:eastAsiaTheme="majorEastAsia"/>
        </w:rPr>
      </w:pPr>
      <w:r w:rsidRPr="00810C77">
        <w:rPr>
          <w:rFonts w:eastAsiaTheme="majorEastAsia"/>
          <w:b/>
          <w:bCs/>
        </w:rPr>
        <w:t>Reduction in Financial Distress</w:t>
      </w:r>
      <w:r>
        <w:rPr>
          <w:rFonts w:eastAsiaTheme="majorEastAsia"/>
          <w:b/>
          <w:bCs/>
        </w:rPr>
        <w:t>:</w:t>
      </w:r>
      <w:r>
        <w:rPr>
          <w:rFonts w:eastAsiaTheme="majorEastAsia"/>
        </w:rPr>
        <w:t xml:space="preserve"> </w:t>
      </w:r>
      <w:r w:rsidRPr="00810C77">
        <w:rPr>
          <w:rFonts w:eastAsiaTheme="majorEastAsia"/>
        </w:rPr>
        <w:t xml:space="preserve">By highlighting the causes of bank failures, the study emphasizes the need for proactive risk assessment. Banks can implement strategies to identify and mitigate potential risks early. Such proactive measures reduce the likelihood of financial distress and enhance long-term sustainability. </w:t>
      </w:r>
    </w:p>
    <w:p w14:paraId="5C52077E" w14:textId="326574C9" w:rsidR="00810C77" w:rsidRDefault="00CC79E7" w:rsidP="00810C77">
      <w:pPr>
        <w:spacing w:line="360" w:lineRule="auto"/>
        <w:jc w:val="both"/>
        <w:rPr>
          <w:rFonts w:ascii="Times New Roman" w:hAnsi="Times New Roman" w:cs="Times New Roman"/>
          <w:b/>
          <w:sz w:val="24"/>
          <w:szCs w:val="24"/>
        </w:rPr>
      </w:pPr>
      <w:r w:rsidRPr="00810C77">
        <w:rPr>
          <w:rFonts w:ascii="Times New Roman" w:hAnsi="Times New Roman" w:cs="Times New Roman"/>
          <w:b/>
          <w:sz w:val="24"/>
          <w:szCs w:val="24"/>
        </w:rPr>
        <w:lastRenderedPageBreak/>
        <w:t xml:space="preserve">The </w:t>
      </w:r>
      <w:r w:rsidR="00810C77" w:rsidRPr="00810C77">
        <w:rPr>
          <w:rFonts w:ascii="Times New Roman" w:hAnsi="Times New Roman" w:cs="Times New Roman"/>
          <w:b/>
          <w:sz w:val="24"/>
          <w:szCs w:val="24"/>
        </w:rPr>
        <w:t>impact of corporate governance and risk management on bank performance</w:t>
      </w:r>
      <w:r w:rsidRPr="00CC79E7">
        <w:rPr>
          <w:rFonts w:ascii="Times New Roman" w:hAnsi="Times New Roman" w:cs="Times New Roman"/>
          <w:b/>
          <w:sz w:val="24"/>
          <w:szCs w:val="24"/>
        </w:rPr>
        <w:t xml:space="preserve"> </w:t>
      </w:r>
      <w:r w:rsidRPr="00810C77">
        <w:rPr>
          <w:rFonts w:ascii="Times New Roman" w:hAnsi="Times New Roman" w:cs="Times New Roman"/>
          <w:b/>
          <w:sz w:val="24"/>
          <w:szCs w:val="24"/>
        </w:rPr>
        <w:t>Advantages</w:t>
      </w:r>
    </w:p>
    <w:p w14:paraId="418DE6D1" w14:textId="21DE0FE8" w:rsidR="00CC79E7" w:rsidRPr="00CC79E7" w:rsidRDefault="00CC79E7" w:rsidP="00CC79E7">
      <w:pPr>
        <w:spacing w:line="360" w:lineRule="auto"/>
        <w:jc w:val="both"/>
        <w:rPr>
          <w:rFonts w:ascii="Times New Roman" w:hAnsi="Times New Roman" w:cs="Times New Roman"/>
          <w:b/>
          <w:sz w:val="24"/>
          <w:szCs w:val="24"/>
        </w:rPr>
      </w:pPr>
      <w:r w:rsidRPr="00CC79E7">
        <w:rPr>
          <w:rFonts w:ascii="Times New Roman" w:hAnsi="Times New Roman" w:cs="Times New Roman"/>
          <w:b/>
          <w:bCs/>
          <w:sz w:val="24"/>
          <w:szCs w:val="24"/>
        </w:rPr>
        <w:t>1. Enhanced Financial Stability</w:t>
      </w:r>
      <w:r>
        <w:rPr>
          <w:rFonts w:ascii="Times New Roman" w:hAnsi="Times New Roman" w:cs="Times New Roman"/>
          <w:b/>
          <w:sz w:val="24"/>
          <w:szCs w:val="24"/>
        </w:rPr>
        <w:t xml:space="preserve">: </w:t>
      </w:r>
      <w:r w:rsidRPr="00CC79E7">
        <w:rPr>
          <w:rFonts w:ascii="Times New Roman" w:hAnsi="Times New Roman" w:cs="Times New Roman"/>
          <w:bCs/>
          <w:sz w:val="24"/>
          <w:szCs w:val="24"/>
        </w:rPr>
        <w:t>Good corporate governance ensures that banks operate within a clear regulatory framework and sound ethical boundaries. Risk management practices help identify and mitigate financial threats early. Together, they reduce the chances of insolvency and financial crises.</w:t>
      </w:r>
    </w:p>
    <w:p w14:paraId="5F75F2DD" w14:textId="0D3E12C2" w:rsidR="00CC79E7" w:rsidRPr="00CC79E7" w:rsidRDefault="00CC79E7" w:rsidP="00CC79E7">
      <w:pPr>
        <w:spacing w:line="360" w:lineRule="auto"/>
        <w:jc w:val="both"/>
        <w:rPr>
          <w:rFonts w:ascii="Times New Roman" w:hAnsi="Times New Roman" w:cs="Times New Roman"/>
          <w:b/>
          <w:sz w:val="24"/>
          <w:szCs w:val="24"/>
        </w:rPr>
      </w:pPr>
      <w:r w:rsidRPr="00CC79E7">
        <w:rPr>
          <w:rFonts w:ascii="Times New Roman" w:hAnsi="Times New Roman" w:cs="Times New Roman"/>
          <w:b/>
          <w:bCs/>
          <w:sz w:val="24"/>
          <w:szCs w:val="24"/>
        </w:rPr>
        <w:t>2. Improved Investor Confidence</w:t>
      </w:r>
      <w:r>
        <w:rPr>
          <w:rFonts w:ascii="Times New Roman" w:hAnsi="Times New Roman" w:cs="Times New Roman"/>
          <w:b/>
          <w:sz w:val="24"/>
          <w:szCs w:val="24"/>
        </w:rPr>
        <w:t xml:space="preserve">: </w:t>
      </w:r>
      <w:r w:rsidRPr="00CC79E7">
        <w:rPr>
          <w:rFonts w:ascii="Times New Roman" w:hAnsi="Times New Roman" w:cs="Times New Roman"/>
          <w:bCs/>
          <w:sz w:val="24"/>
          <w:szCs w:val="24"/>
        </w:rPr>
        <w:t>When a bank demonstrates strong governance and effective risk oversight, it earns the trust of shareholders and potential investors. This trust leads to more investments and better access to capital. Ultimately, it boosts the bank's market value and performance.</w:t>
      </w:r>
    </w:p>
    <w:p w14:paraId="63FEEA1B" w14:textId="171BB851" w:rsidR="00CC79E7" w:rsidRPr="00CC79E7" w:rsidRDefault="00CC79E7" w:rsidP="00CC79E7">
      <w:pPr>
        <w:spacing w:line="360" w:lineRule="auto"/>
        <w:jc w:val="both"/>
        <w:rPr>
          <w:rFonts w:ascii="Times New Roman" w:hAnsi="Times New Roman" w:cs="Times New Roman"/>
          <w:bCs/>
          <w:sz w:val="24"/>
          <w:szCs w:val="24"/>
        </w:rPr>
      </w:pPr>
      <w:r w:rsidRPr="00CC79E7">
        <w:rPr>
          <w:rFonts w:ascii="Times New Roman" w:hAnsi="Times New Roman" w:cs="Times New Roman"/>
          <w:b/>
          <w:bCs/>
          <w:sz w:val="24"/>
          <w:szCs w:val="24"/>
        </w:rPr>
        <w:t>3. Better Decision-Making</w:t>
      </w:r>
      <w:r>
        <w:rPr>
          <w:rFonts w:ascii="Times New Roman" w:hAnsi="Times New Roman" w:cs="Times New Roman"/>
          <w:b/>
          <w:sz w:val="24"/>
          <w:szCs w:val="24"/>
        </w:rPr>
        <w:t xml:space="preserve">: </w:t>
      </w:r>
      <w:r w:rsidRPr="00CC79E7">
        <w:rPr>
          <w:rFonts w:ascii="Times New Roman" w:hAnsi="Times New Roman" w:cs="Times New Roman"/>
          <w:bCs/>
          <w:sz w:val="24"/>
          <w:szCs w:val="24"/>
        </w:rPr>
        <w:t>Corporate governance promotes transparency and accountability in the decision-making process. Risk management ensures that decisions are based on thorough analysis of potential threats. This combination leads to more strategic and informed business choices.</w:t>
      </w:r>
    </w:p>
    <w:p w14:paraId="3E5C9AE8" w14:textId="55FA0138" w:rsidR="00CC79E7" w:rsidRPr="00CC79E7" w:rsidRDefault="00CC79E7" w:rsidP="00CC79E7">
      <w:pPr>
        <w:spacing w:line="360" w:lineRule="auto"/>
        <w:jc w:val="both"/>
        <w:rPr>
          <w:rFonts w:ascii="Times New Roman" w:hAnsi="Times New Roman" w:cs="Times New Roman"/>
          <w:bCs/>
          <w:sz w:val="24"/>
          <w:szCs w:val="24"/>
        </w:rPr>
      </w:pPr>
      <w:r w:rsidRPr="00CC79E7">
        <w:rPr>
          <w:rFonts w:ascii="Times New Roman" w:hAnsi="Times New Roman" w:cs="Times New Roman"/>
          <w:b/>
          <w:bCs/>
          <w:sz w:val="24"/>
          <w:szCs w:val="24"/>
        </w:rPr>
        <w:t>4. Regulatory Compliance and Reputation</w:t>
      </w:r>
      <w:r>
        <w:rPr>
          <w:rFonts w:ascii="Times New Roman" w:hAnsi="Times New Roman" w:cs="Times New Roman"/>
          <w:b/>
          <w:bCs/>
          <w:sz w:val="24"/>
          <w:szCs w:val="24"/>
        </w:rPr>
        <w:t>:</w:t>
      </w:r>
      <w:r>
        <w:rPr>
          <w:rFonts w:ascii="Times New Roman" w:hAnsi="Times New Roman" w:cs="Times New Roman"/>
          <w:b/>
          <w:sz w:val="24"/>
          <w:szCs w:val="24"/>
        </w:rPr>
        <w:t xml:space="preserve"> </w:t>
      </w:r>
      <w:r w:rsidRPr="00CC79E7">
        <w:rPr>
          <w:rFonts w:ascii="Times New Roman" w:hAnsi="Times New Roman" w:cs="Times New Roman"/>
          <w:bCs/>
          <w:sz w:val="24"/>
          <w:szCs w:val="24"/>
        </w:rPr>
        <w:t>A well-governed bank with a robust risk framework is more likely to comply with legal and regulatory standards. This reduces the risk of penalties, sanctions, or legal disputes. It also strengthens the bank’s reputation in the industry and with the public.</w:t>
      </w:r>
    </w:p>
    <w:p w14:paraId="48C57516" w14:textId="7AAE4A45" w:rsidR="00CC79E7" w:rsidRPr="00CC79E7" w:rsidRDefault="00CC79E7" w:rsidP="00CC79E7">
      <w:pPr>
        <w:spacing w:line="360" w:lineRule="auto"/>
        <w:jc w:val="both"/>
        <w:rPr>
          <w:rFonts w:ascii="Times New Roman" w:hAnsi="Times New Roman" w:cs="Times New Roman"/>
          <w:bCs/>
          <w:sz w:val="24"/>
          <w:szCs w:val="24"/>
        </w:rPr>
      </w:pPr>
      <w:r w:rsidRPr="00CC79E7">
        <w:rPr>
          <w:rFonts w:ascii="Times New Roman" w:hAnsi="Times New Roman" w:cs="Times New Roman"/>
          <w:b/>
          <w:bCs/>
          <w:sz w:val="24"/>
          <w:szCs w:val="24"/>
        </w:rPr>
        <w:t>5. Operational Efficiency</w:t>
      </w:r>
      <w:r>
        <w:rPr>
          <w:rFonts w:ascii="Times New Roman" w:hAnsi="Times New Roman" w:cs="Times New Roman"/>
          <w:b/>
          <w:sz w:val="24"/>
          <w:szCs w:val="24"/>
        </w:rPr>
        <w:t xml:space="preserve">: </w:t>
      </w:r>
      <w:r w:rsidRPr="00CC79E7">
        <w:rPr>
          <w:rFonts w:ascii="Times New Roman" w:hAnsi="Times New Roman" w:cs="Times New Roman"/>
          <w:bCs/>
          <w:sz w:val="24"/>
          <w:szCs w:val="24"/>
        </w:rPr>
        <w:t>Strong governance structures streamline internal controls and clarify roles and responsibilities. Risk management reduces uncertainties that can disrupt operations. This allows the bank to function more efficiently and allocate resources more effectively.</w:t>
      </w:r>
    </w:p>
    <w:p w14:paraId="0BE39732" w14:textId="405FCF80" w:rsidR="00CC79E7" w:rsidRPr="00CC79E7" w:rsidRDefault="00CC79E7" w:rsidP="00CC79E7">
      <w:pPr>
        <w:spacing w:line="360" w:lineRule="auto"/>
        <w:jc w:val="both"/>
        <w:rPr>
          <w:rFonts w:ascii="Times New Roman" w:hAnsi="Times New Roman" w:cs="Times New Roman"/>
          <w:b/>
          <w:sz w:val="24"/>
          <w:szCs w:val="24"/>
        </w:rPr>
      </w:pPr>
      <w:r w:rsidRPr="00CC79E7">
        <w:rPr>
          <w:rFonts w:ascii="Times New Roman" w:hAnsi="Times New Roman" w:cs="Times New Roman"/>
          <w:b/>
          <w:bCs/>
          <w:sz w:val="24"/>
          <w:szCs w:val="24"/>
        </w:rPr>
        <w:t>6. Long-term Sustainability</w:t>
      </w:r>
      <w:r>
        <w:rPr>
          <w:rFonts w:ascii="Times New Roman" w:hAnsi="Times New Roman" w:cs="Times New Roman"/>
          <w:b/>
          <w:bCs/>
          <w:sz w:val="24"/>
          <w:szCs w:val="24"/>
        </w:rPr>
        <w:t xml:space="preserve">: </w:t>
      </w:r>
      <w:r w:rsidRPr="00CC79E7">
        <w:rPr>
          <w:rFonts w:ascii="Times New Roman" w:hAnsi="Times New Roman" w:cs="Times New Roman"/>
          <w:bCs/>
          <w:sz w:val="24"/>
          <w:szCs w:val="24"/>
        </w:rPr>
        <w:t>Governance and risk management help align short-term goals with long-term objectives. They ensure the bank doesn't take excessive risks for immediate gain. As a result, the bank remains competitive and sustainable over time.</w:t>
      </w:r>
    </w:p>
    <w:p w14:paraId="5F30B23B" w14:textId="77777777" w:rsidR="00CC79E7" w:rsidRDefault="00CC79E7" w:rsidP="00810C77">
      <w:pPr>
        <w:spacing w:line="360" w:lineRule="auto"/>
        <w:jc w:val="both"/>
        <w:rPr>
          <w:rFonts w:ascii="Times New Roman" w:hAnsi="Times New Roman" w:cs="Times New Roman"/>
          <w:b/>
          <w:sz w:val="24"/>
          <w:szCs w:val="24"/>
        </w:rPr>
      </w:pPr>
    </w:p>
    <w:p w14:paraId="41311E21" w14:textId="77777777" w:rsidR="00CC79E7" w:rsidRDefault="00CC79E7" w:rsidP="00810C77">
      <w:pPr>
        <w:spacing w:line="360" w:lineRule="auto"/>
        <w:jc w:val="both"/>
        <w:rPr>
          <w:rFonts w:ascii="Times New Roman" w:hAnsi="Times New Roman" w:cs="Times New Roman"/>
          <w:b/>
          <w:sz w:val="24"/>
          <w:szCs w:val="24"/>
        </w:rPr>
      </w:pPr>
    </w:p>
    <w:p w14:paraId="6B5ECDF5" w14:textId="77777777" w:rsidR="00CC79E7" w:rsidRDefault="00CC79E7" w:rsidP="00810C77">
      <w:pPr>
        <w:spacing w:line="360" w:lineRule="auto"/>
        <w:jc w:val="both"/>
        <w:rPr>
          <w:rFonts w:ascii="Times New Roman" w:hAnsi="Times New Roman" w:cs="Times New Roman"/>
          <w:b/>
          <w:sz w:val="24"/>
          <w:szCs w:val="24"/>
        </w:rPr>
      </w:pPr>
    </w:p>
    <w:p w14:paraId="1ABFF6E2" w14:textId="77777777" w:rsidR="00CC79E7" w:rsidRDefault="00CC79E7" w:rsidP="00810C77">
      <w:pPr>
        <w:spacing w:line="360" w:lineRule="auto"/>
        <w:jc w:val="both"/>
        <w:rPr>
          <w:rFonts w:ascii="Times New Roman" w:hAnsi="Times New Roman" w:cs="Times New Roman"/>
          <w:b/>
          <w:sz w:val="24"/>
          <w:szCs w:val="24"/>
        </w:rPr>
      </w:pPr>
    </w:p>
    <w:p w14:paraId="166A8240" w14:textId="77777777" w:rsidR="00CC79E7" w:rsidRDefault="00CC79E7" w:rsidP="00CC79E7">
      <w:pPr>
        <w:spacing w:line="360" w:lineRule="auto"/>
        <w:jc w:val="both"/>
        <w:rPr>
          <w:rFonts w:ascii="Times New Roman" w:hAnsi="Times New Roman" w:cs="Times New Roman"/>
          <w:b/>
          <w:sz w:val="24"/>
          <w:szCs w:val="24"/>
        </w:rPr>
      </w:pPr>
      <w:r w:rsidRPr="00E63095">
        <w:rPr>
          <w:rFonts w:ascii="Times New Roman" w:hAnsi="Times New Roman" w:cs="Times New Roman"/>
          <w:b/>
          <w:sz w:val="24"/>
          <w:szCs w:val="24"/>
        </w:rPr>
        <w:lastRenderedPageBreak/>
        <w:t>INDUSTRY PROFILE</w:t>
      </w:r>
    </w:p>
    <w:p w14:paraId="68F45233" w14:textId="5C2E0688" w:rsidR="00CC79E7" w:rsidRPr="00CC79E7" w:rsidRDefault="00CC79E7" w:rsidP="00CC79E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C79E7">
        <w:rPr>
          <w:rFonts w:ascii="Times New Roman" w:hAnsi="Times New Roman" w:cs="Times New Roman"/>
          <w:bCs/>
          <w:sz w:val="24"/>
          <w:szCs w:val="24"/>
        </w:rPr>
        <w:t>The banking industry plays a pivotal role in the economic development of any country by mobilizing savings, facilitating credit, and supporting financial stability. In recent years, the sector has undergone significant transformation due to globalization, digitalization, increased competition, and regulatory reforms. As banks face growing complexity and risk exposure, corporate governance and risk management have become central to their performance and sustainability.</w:t>
      </w:r>
    </w:p>
    <w:p w14:paraId="000251E3" w14:textId="091DA208" w:rsidR="00CC79E7" w:rsidRPr="00CC79E7" w:rsidRDefault="00CC79E7" w:rsidP="00CC79E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C79E7">
        <w:rPr>
          <w:rFonts w:ascii="Times New Roman" w:hAnsi="Times New Roman" w:cs="Times New Roman"/>
          <w:bCs/>
          <w:sz w:val="24"/>
          <w:szCs w:val="24"/>
        </w:rPr>
        <w:t>Strong corporate governance in banks involves well-structured boards, ethical leadership, transparency, and accountability. It builds investor confidence, protects stakeholders' interests, and ensures that decision-making aligns with long-term objectives rather than short-term profits. Proper governance mechanisms reduce the chances of fraud, mismanagement, and regulatory violations.</w:t>
      </w:r>
    </w:p>
    <w:p w14:paraId="740C1F65" w14:textId="20539F97" w:rsidR="00CC79E7" w:rsidRPr="00CC79E7" w:rsidRDefault="00CC79E7" w:rsidP="00CC79E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C79E7">
        <w:rPr>
          <w:rFonts w:ascii="Times New Roman" w:hAnsi="Times New Roman" w:cs="Times New Roman"/>
          <w:bCs/>
          <w:sz w:val="24"/>
          <w:szCs w:val="24"/>
        </w:rPr>
        <w:t>Simultaneously, risk management is critical in banking due to the sector’s exposure to credit, market, operational, and liquidity risks. Effective risk frameworks allow banks to identify, measure, and control these risks, thereby enhancing financial stability. Post the global financial crisis of 2008, regulators worldwide have emphasized the need for robust risk governance in banks, reinforcing capital adequacy norms and stress-testing procedures.</w:t>
      </w:r>
    </w:p>
    <w:p w14:paraId="101D4CCC" w14:textId="18AF251D" w:rsidR="00CC79E7" w:rsidRPr="00CC79E7" w:rsidRDefault="00CC79E7" w:rsidP="00CC79E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C79E7">
        <w:rPr>
          <w:rFonts w:ascii="Times New Roman" w:hAnsi="Times New Roman" w:cs="Times New Roman"/>
          <w:bCs/>
          <w:sz w:val="24"/>
          <w:szCs w:val="24"/>
        </w:rPr>
        <w:t>Together, governance and risk management significantly affect bank performance indicators such as return on assets (ROA), return on equity (ROE), asset quality, and capital efficiency. Institutions with strong frameworks are better equipped to handle uncertainties and economic shocks, ensuring trust and stability in the financial system.</w:t>
      </w:r>
    </w:p>
    <w:p w14:paraId="4F17ED20" w14:textId="3A366D0C" w:rsidR="00CC79E7" w:rsidRPr="00CC79E7" w:rsidRDefault="00CC79E7" w:rsidP="00CC79E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C79E7">
        <w:rPr>
          <w:rFonts w:ascii="Times New Roman" w:hAnsi="Times New Roman" w:cs="Times New Roman"/>
          <w:bCs/>
          <w:sz w:val="24"/>
          <w:szCs w:val="24"/>
        </w:rPr>
        <w:t>In the Indian context, the Reserve Bank of India (RBI) and SEBI have introduced guidelines to strengthen governance and risk oversight in both public and private sector banks. Despite challenges like non-performing assets (NPAs) and digital fraud, the banking sector is steadily progressing towards more transparent and risk-conscious operations, thereby improving overall performance.</w:t>
      </w:r>
    </w:p>
    <w:p w14:paraId="2A2B9872" w14:textId="77777777" w:rsidR="00CC79E7" w:rsidRDefault="00CC79E7" w:rsidP="00810C77">
      <w:pPr>
        <w:spacing w:line="360" w:lineRule="auto"/>
        <w:jc w:val="both"/>
        <w:rPr>
          <w:rFonts w:ascii="Times New Roman" w:hAnsi="Times New Roman" w:cs="Times New Roman"/>
          <w:b/>
          <w:sz w:val="24"/>
          <w:szCs w:val="24"/>
        </w:rPr>
      </w:pPr>
    </w:p>
    <w:p w14:paraId="50456FF6" w14:textId="77777777" w:rsidR="00CC79E7" w:rsidRDefault="00CC79E7" w:rsidP="00810C77">
      <w:pPr>
        <w:spacing w:line="360" w:lineRule="auto"/>
        <w:jc w:val="both"/>
        <w:rPr>
          <w:rFonts w:ascii="Times New Roman" w:hAnsi="Times New Roman" w:cs="Times New Roman"/>
          <w:b/>
          <w:sz w:val="24"/>
          <w:szCs w:val="24"/>
        </w:rPr>
      </w:pPr>
    </w:p>
    <w:p w14:paraId="772A2BE8" w14:textId="77777777" w:rsidR="00CC79E7" w:rsidRDefault="00CC79E7" w:rsidP="00810C77">
      <w:pPr>
        <w:spacing w:line="360" w:lineRule="auto"/>
        <w:jc w:val="both"/>
        <w:rPr>
          <w:rFonts w:ascii="Times New Roman" w:hAnsi="Times New Roman" w:cs="Times New Roman"/>
          <w:b/>
          <w:sz w:val="24"/>
          <w:szCs w:val="24"/>
        </w:rPr>
      </w:pPr>
    </w:p>
    <w:p w14:paraId="5DB2BC46" w14:textId="77777777" w:rsidR="00CC79E7" w:rsidRDefault="00CC79E7" w:rsidP="00810C77">
      <w:pPr>
        <w:spacing w:line="360" w:lineRule="auto"/>
        <w:jc w:val="both"/>
        <w:rPr>
          <w:rFonts w:ascii="Times New Roman" w:hAnsi="Times New Roman" w:cs="Times New Roman"/>
          <w:b/>
          <w:sz w:val="24"/>
          <w:szCs w:val="24"/>
        </w:rPr>
      </w:pPr>
    </w:p>
    <w:p w14:paraId="4B1BBBC7" w14:textId="77777777" w:rsidR="00CC79E7" w:rsidRPr="00643432" w:rsidRDefault="00CC79E7" w:rsidP="00CC79E7">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lang w:val="en-US"/>
        </w:rPr>
        <w:lastRenderedPageBreak/>
        <w:t>1.4 STATEMENT OF THE PROBLEM</w:t>
      </w:r>
    </w:p>
    <w:p w14:paraId="568DF2DA" w14:textId="4729BA47" w:rsidR="00CC79E7" w:rsidRPr="00CC79E7" w:rsidRDefault="00CC79E7" w:rsidP="00CC79E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C79E7">
        <w:rPr>
          <w:rFonts w:ascii="Times New Roman" w:hAnsi="Times New Roman" w:cs="Times New Roman"/>
          <w:bCs/>
          <w:sz w:val="24"/>
          <w:szCs w:val="24"/>
        </w:rPr>
        <w:t>In recent years, the banking sector has faced numerous challenges, including rising non-performing assets (NPAs), cyber threats, poor lending decisions, and declining investor trust. These issues have often been linked to weak corporate governance practices and ineffective risk management systems. Despite regulatory reforms and stricter oversight by authorities like the Reserve Bank of India (RBI) and Basel Committee, several banks continue to underperform or collapse due to governance failures and unmanaged risks.</w:t>
      </w:r>
    </w:p>
    <w:p w14:paraId="1EAA733C" w14:textId="0D5D2E7D" w:rsidR="00CC79E7" w:rsidRPr="00CC79E7" w:rsidRDefault="00CC79E7" w:rsidP="00CC79E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C79E7">
        <w:rPr>
          <w:rFonts w:ascii="Times New Roman" w:hAnsi="Times New Roman" w:cs="Times New Roman"/>
          <w:bCs/>
          <w:sz w:val="24"/>
          <w:szCs w:val="24"/>
        </w:rPr>
        <w:t>While corporate governance is meant to ensure accountability, transparency, and strategic leadership, and risk management is designed to safeguard against financial and operational uncertainties, their combined influence on overall bank performance remains inadequately explored in many contexts. There is a pressing need to evaluate how effectively these mechanisms are implemented and how they influence key performance indicators such as profitability, asset quality, capital adequacy, and customer trust.</w:t>
      </w:r>
    </w:p>
    <w:p w14:paraId="0C1376B4" w14:textId="5F5C0FE8" w:rsidR="00CC79E7" w:rsidRPr="00CC79E7" w:rsidRDefault="00CC79E7" w:rsidP="00CC79E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C79E7">
        <w:rPr>
          <w:rFonts w:ascii="Times New Roman" w:hAnsi="Times New Roman" w:cs="Times New Roman"/>
          <w:bCs/>
          <w:sz w:val="24"/>
          <w:szCs w:val="24"/>
        </w:rPr>
        <w:t xml:space="preserve">This study seeks to address the gap by </w:t>
      </w:r>
      <w:proofErr w:type="spellStart"/>
      <w:r w:rsidRPr="00CC79E7">
        <w:rPr>
          <w:rFonts w:ascii="Times New Roman" w:hAnsi="Times New Roman" w:cs="Times New Roman"/>
          <w:bCs/>
          <w:sz w:val="24"/>
          <w:szCs w:val="24"/>
        </w:rPr>
        <w:t>analyzing</w:t>
      </w:r>
      <w:proofErr w:type="spellEnd"/>
      <w:r w:rsidRPr="00CC79E7">
        <w:rPr>
          <w:rFonts w:ascii="Times New Roman" w:hAnsi="Times New Roman" w:cs="Times New Roman"/>
          <w:bCs/>
          <w:sz w:val="24"/>
          <w:szCs w:val="24"/>
        </w:rPr>
        <w:t xml:space="preserve"> the impact of corporate governance structures and risk management practices on the financial and operational performance of banks. It aims to understand whether strengthening these systems can lead to improved stability, investor confidence, and long-term sustainability in the banking sector.</w:t>
      </w:r>
    </w:p>
    <w:p w14:paraId="17FB1818" w14:textId="77777777" w:rsidR="00CC79E7" w:rsidRDefault="00CC79E7" w:rsidP="00CC79E7">
      <w:pPr>
        <w:spacing w:line="360" w:lineRule="auto"/>
        <w:jc w:val="both"/>
        <w:rPr>
          <w:rFonts w:ascii="Times New Roman" w:hAnsi="Times New Roman" w:cs="Times New Roman"/>
          <w:b/>
          <w:bCs/>
          <w:sz w:val="24"/>
          <w:szCs w:val="24"/>
        </w:rPr>
      </w:pPr>
      <w:bookmarkStart w:id="2" w:name="_Hlk202098728"/>
      <w:r w:rsidRPr="00AD7255">
        <w:rPr>
          <w:rFonts w:ascii="Times New Roman" w:hAnsi="Times New Roman" w:cs="Times New Roman"/>
          <w:b/>
          <w:bCs/>
          <w:sz w:val="24"/>
          <w:szCs w:val="24"/>
        </w:rPr>
        <w:t>1.5 OBJECTIVES OF THE STUDY</w:t>
      </w:r>
      <w:bookmarkEnd w:id="2"/>
    </w:p>
    <w:p w14:paraId="773CE5BB" w14:textId="5E830F53" w:rsidR="00CC79E7" w:rsidRPr="00CC79E7" w:rsidRDefault="00CC79E7" w:rsidP="00CC79E7">
      <w:pPr>
        <w:pStyle w:val="ListParagraph"/>
        <w:numPr>
          <w:ilvl w:val="0"/>
          <w:numId w:val="4"/>
        </w:numPr>
        <w:spacing w:line="360" w:lineRule="auto"/>
        <w:jc w:val="both"/>
        <w:rPr>
          <w:rFonts w:ascii="Times New Roman" w:hAnsi="Times New Roman" w:cs="Times New Roman"/>
          <w:bCs/>
          <w:sz w:val="24"/>
          <w:szCs w:val="24"/>
        </w:rPr>
      </w:pPr>
      <w:r w:rsidRPr="00CC79E7">
        <w:rPr>
          <w:rFonts w:ascii="Times New Roman" w:hAnsi="Times New Roman" w:cs="Times New Roman"/>
          <w:bCs/>
          <w:sz w:val="24"/>
          <w:szCs w:val="24"/>
        </w:rPr>
        <w:t>To assess the impact of corporate governance on the financial performance of banks.</w:t>
      </w:r>
    </w:p>
    <w:p w14:paraId="76463CD4" w14:textId="2A0E027B" w:rsidR="00CC79E7" w:rsidRPr="00CC79E7" w:rsidRDefault="00CC79E7" w:rsidP="00CC79E7">
      <w:pPr>
        <w:pStyle w:val="ListParagraph"/>
        <w:numPr>
          <w:ilvl w:val="0"/>
          <w:numId w:val="4"/>
        </w:numPr>
        <w:spacing w:line="360" w:lineRule="auto"/>
        <w:jc w:val="both"/>
        <w:rPr>
          <w:rFonts w:ascii="Times New Roman" w:hAnsi="Times New Roman" w:cs="Times New Roman"/>
          <w:bCs/>
          <w:sz w:val="24"/>
          <w:szCs w:val="24"/>
        </w:rPr>
      </w:pPr>
      <w:r w:rsidRPr="00CC79E7">
        <w:rPr>
          <w:rFonts w:ascii="Times New Roman" w:hAnsi="Times New Roman" w:cs="Times New Roman"/>
          <w:bCs/>
          <w:sz w:val="24"/>
          <w:szCs w:val="24"/>
        </w:rPr>
        <w:t>To evaluate the role of risk management in ensuring the stability of banking operations.</w:t>
      </w:r>
    </w:p>
    <w:p w14:paraId="7F9881A1" w14:textId="243C5112" w:rsidR="00CC79E7" w:rsidRPr="00CC79E7" w:rsidRDefault="00CC79E7" w:rsidP="00CC79E7">
      <w:pPr>
        <w:pStyle w:val="ListParagraph"/>
        <w:numPr>
          <w:ilvl w:val="0"/>
          <w:numId w:val="4"/>
        </w:numPr>
        <w:spacing w:line="360" w:lineRule="auto"/>
        <w:jc w:val="both"/>
        <w:rPr>
          <w:rFonts w:ascii="Times New Roman" w:hAnsi="Times New Roman" w:cs="Times New Roman"/>
          <w:bCs/>
          <w:sz w:val="24"/>
          <w:szCs w:val="24"/>
        </w:rPr>
      </w:pPr>
      <w:r w:rsidRPr="00CC79E7">
        <w:rPr>
          <w:rFonts w:ascii="Times New Roman" w:hAnsi="Times New Roman" w:cs="Times New Roman"/>
          <w:bCs/>
          <w:sz w:val="24"/>
          <w:szCs w:val="24"/>
        </w:rPr>
        <w:t xml:space="preserve">To </w:t>
      </w:r>
      <w:proofErr w:type="spellStart"/>
      <w:r w:rsidRPr="00CC79E7">
        <w:rPr>
          <w:rFonts w:ascii="Times New Roman" w:hAnsi="Times New Roman" w:cs="Times New Roman"/>
          <w:bCs/>
          <w:sz w:val="24"/>
          <w:szCs w:val="24"/>
        </w:rPr>
        <w:t>analyze</w:t>
      </w:r>
      <w:proofErr w:type="spellEnd"/>
      <w:r w:rsidRPr="00CC79E7">
        <w:rPr>
          <w:rFonts w:ascii="Times New Roman" w:hAnsi="Times New Roman" w:cs="Times New Roman"/>
          <w:bCs/>
          <w:sz w:val="24"/>
          <w:szCs w:val="24"/>
        </w:rPr>
        <w:t xml:space="preserve"> the relationship between corporate governance, risk management, and bank profitability.</w:t>
      </w:r>
    </w:p>
    <w:p w14:paraId="18B1FDFE" w14:textId="266F34D6" w:rsidR="00CC79E7" w:rsidRPr="00CC79E7" w:rsidRDefault="00CC79E7" w:rsidP="00CC79E7">
      <w:pPr>
        <w:pStyle w:val="ListParagraph"/>
        <w:numPr>
          <w:ilvl w:val="0"/>
          <w:numId w:val="4"/>
        </w:numPr>
        <w:spacing w:line="360" w:lineRule="auto"/>
        <w:jc w:val="both"/>
        <w:rPr>
          <w:rFonts w:ascii="Times New Roman" w:hAnsi="Times New Roman" w:cs="Times New Roman"/>
          <w:bCs/>
          <w:sz w:val="24"/>
          <w:szCs w:val="24"/>
        </w:rPr>
      </w:pPr>
      <w:r w:rsidRPr="00CC79E7">
        <w:rPr>
          <w:rFonts w:ascii="Times New Roman" w:hAnsi="Times New Roman" w:cs="Times New Roman"/>
          <w:bCs/>
          <w:sz w:val="24"/>
          <w:szCs w:val="24"/>
        </w:rPr>
        <w:t>To compare corporate governance and risk management practices across public and private sector banks.</w:t>
      </w:r>
    </w:p>
    <w:p w14:paraId="7F69C087" w14:textId="20053C51" w:rsidR="00CC79E7" w:rsidRPr="00CC79E7" w:rsidRDefault="00CC79E7" w:rsidP="00CC79E7">
      <w:pPr>
        <w:pStyle w:val="ListParagraph"/>
        <w:numPr>
          <w:ilvl w:val="0"/>
          <w:numId w:val="4"/>
        </w:numPr>
        <w:spacing w:line="360" w:lineRule="auto"/>
        <w:jc w:val="both"/>
        <w:rPr>
          <w:rFonts w:ascii="Times New Roman" w:hAnsi="Times New Roman" w:cs="Times New Roman"/>
          <w:bCs/>
          <w:sz w:val="24"/>
          <w:szCs w:val="24"/>
        </w:rPr>
      </w:pPr>
      <w:r w:rsidRPr="00CC79E7">
        <w:rPr>
          <w:rFonts w:ascii="Times New Roman" w:hAnsi="Times New Roman" w:cs="Times New Roman"/>
          <w:bCs/>
          <w:sz w:val="24"/>
          <w:szCs w:val="24"/>
        </w:rPr>
        <w:t>To identify key factors that enhance the effectiveness of governance and risk frameworks in banks.</w:t>
      </w:r>
    </w:p>
    <w:p w14:paraId="170BF148" w14:textId="74AC4E7F" w:rsidR="00CC79E7" w:rsidRPr="00CC79E7" w:rsidRDefault="00CC79E7" w:rsidP="00CC79E7">
      <w:pPr>
        <w:pStyle w:val="ListParagraph"/>
        <w:numPr>
          <w:ilvl w:val="0"/>
          <w:numId w:val="4"/>
        </w:numPr>
        <w:spacing w:line="360" w:lineRule="auto"/>
        <w:jc w:val="both"/>
        <w:rPr>
          <w:rFonts w:ascii="Times New Roman" w:hAnsi="Times New Roman" w:cs="Times New Roman"/>
          <w:bCs/>
          <w:sz w:val="24"/>
          <w:szCs w:val="24"/>
        </w:rPr>
      </w:pPr>
      <w:r w:rsidRPr="00CC79E7">
        <w:rPr>
          <w:rFonts w:ascii="Times New Roman" w:hAnsi="Times New Roman" w:cs="Times New Roman"/>
          <w:bCs/>
          <w:sz w:val="24"/>
          <w:szCs w:val="24"/>
        </w:rPr>
        <w:t>To examine how poor governance or weak risk control affects bank performance.</w:t>
      </w:r>
    </w:p>
    <w:p w14:paraId="35C2670A" w14:textId="77777777" w:rsidR="00CC79E7" w:rsidRPr="00810C77" w:rsidRDefault="00CC79E7" w:rsidP="00810C77">
      <w:pPr>
        <w:spacing w:line="360" w:lineRule="auto"/>
        <w:jc w:val="both"/>
        <w:rPr>
          <w:rFonts w:ascii="Times New Roman" w:hAnsi="Times New Roman" w:cs="Times New Roman"/>
          <w:b/>
          <w:sz w:val="24"/>
          <w:szCs w:val="24"/>
        </w:rPr>
      </w:pPr>
    </w:p>
    <w:p w14:paraId="46444F6E" w14:textId="77777777" w:rsidR="00810C77" w:rsidRDefault="00810C77" w:rsidP="00810C77">
      <w:pPr>
        <w:pStyle w:val="NormalWeb"/>
        <w:spacing w:line="360" w:lineRule="auto"/>
        <w:jc w:val="both"/>
        <w:rPr>
          <w:rFonts w:eastAsiaTheme="majorEastAsia"/>
        </w:rPr>
      </w:pPr>
    </w:p>
    <w:p w14:paraId="64141410" w14:textId="77777777" w:rsidR="00CC79E7" w:rsidRDefault="00CC79E7" w:rsidP="00810C77">
      <w:pPr>
        <w:pStyle w:val="NormalWeb"/>
        <w:spacing w:line="360" w:lineRule="auto"/>
        <w:jc w:val="both"/>
        <w:rPr>
          <w:rFonts w:eastAsiaTheme="majorEastAsia"/>
        </w:rPr>
      </w:pPr>
    </w:p>
    <w:p w14:paraId="2DD531F5" w14:textId="77777777" w:rsidR="00CC79E7" w:rsidRDefault="00CC79E7" w:rsidP="00CC79E7">
      <w:pPr>
        <w:spacing w:line="360" w:lineRule="auto"/>
        <w:jc w:val="both"/>
        <w:rPr>
          <w:rFonts w:ascii="Times New Roman" w:hAnsi="Times New Roman" w:cs="Times New Roman"/>
          <w:b/>
          <w:bCs/>
          <w:sz w:val="24"/>
          <w:szCs w:val="24"/>
          <w:lang w:val="en-US"/>
        </w:rPr>
      </w:pPr>
      <w:r w:rsidRPr="00643432">
        <w:rPr>
          <w:rFonts w:ascii="Times New Roman" w:hAnsi="Times New Roman" w:cs="Times New Roman"/>
          <w:b/>
          <w:bCs/>
          <w:sz w:val="24"/>
          <w:szCs w:val="24"/>
          <w:lang w:val="en-US"/>
        </w:rPr>
        <w:lastRenderedPageBreak/>
        <w:t>1.6 SCOPE OF THE STUDY</w:t>
      </w:r>
    </w:p>
    <w:p w14:paraId="5C9EDAA4" w14:textId="763A532F" w:rsidR="00CC79E7" w:rsidRPr="00CC79E7" w:rsidRDefault="00CC79E7" w:rsidP="00CC79E7">
      <w:pPr>
        <w:pStyle w:val="NormalWeb"/>
        <w:spacing w:line="360" w:lineRule="auto"/>
        <w:jc w:val="both"/>
        <w:rPr>
          <w:rFonts w:eastAsiaTheme="majorEastAsia"/>
        </w:rPr>
      </w:pPr>
      <w:r>
        <w:rPr>
          <w:rFonts w:eastAsiaTheme="majorEastAsia"/>
        </w:rPr>
        <w:t xml:space="preserve">          </w:t>
      </w:r>
      <w:r w:rsidRPr="00CC79E7">
        <w:rPr>
          <w:rFonts w:eastAsiaTheme="majorEastAsia"/>
        </w:rPr>
        <w:t>The scope of this study focuses on exploring the influence of corporate governance and risk management on the performance of banks. In the modern banking environment, where financial institutions face increasing regulatory pressure, market volatility, and growing competition, the importance of sound governance and effective risk control mechanisms has become more critical than ever. This study aims to assess how well banks adhere to governance principles such as transparency, accountability, board independence, audit quality, and ethical leadership, and how these elements impact their financial and operational outcomes.</w:t>
      </w:r>
    </w:p>
    <w:p w14:paraId="5536ACE7" w14:textId="240751D0" w:rsidR="00CC79E7" w:rsidRPr="00CC79E7" w:rsidRDefault="00CC79E7" w:rsidP="00CC79E7">
      <w:pPr>
        <w:pStyle w:val="NormalWeb"/>
        <w:spacing w:line="360" w:lineRule="auto"/>
        <w:jc w:val="both"/>
        <w:rPr>
          <w:rFonts w:eastAsiaTheme="majorEastAsia"/>
        </w:rPr>
      </w:pPr>
      <w:r>
        <w:rPr>
          <w:rFonts w:eastAsiaTheme="majorEastAsia"/>
        </w:rPr>
        <w:t xml:space="preserve">           </w:t>
      </w:r>
      <w:r w:rsidRPr="00CC79E7">
        <w:rPr>
          <w:rFonts w:eastAsiaTheme="majorEastAsia"/>
        </w:rPr>
        <w:t xml:space="preserve">Risk management practices such as credit risk monitoring, market risk controls, and operational risk mitigation are also central to this study. The scope includes </w:t>
      </w:r>
      <w:proofErr w:type="spellStart"/>
      <w:r w:rsidRPr="00CC79E7">
        <w:rPr>
          <w:rFonts w:eastAsiaTheme="majorEastAsia"/>
        </w:rPr>
        <w:t>analyzing</w:t>
      </w:r>
      <w:proofErr w:type="spellEnd"/>
      <w:r w:rsidRPr="00CC79E7">
        <w:rPr>
          <w:rFonts w:eastAsiaTheme="majorEastAsia"/>
        </w:rPr>
        <w:t xml:space="preserve"> how banks identify, assess, control, and monitor risks, and how these activities influence indicators like profitability, capital adequacy, asset quality, and liquidity. The study covers both </w:t>
      </w:r>
      <w:r w:rsidRPr="00CC79E7">
        <w:rPr>
          <w:rFonts w:eastAsiaTheme="majorEastAsia"/>
          <w:b/>
          <w:bCs/>
        </w:rPr>
        <w:t>public and private sector banks</w:t>
      </w:r>
      <w:r w:rsidRPr="00CC79E7">
        <w:rPr>
          <w:rFonts w:eastAsiaTheme="majorEastAsia"/>
        </w:rPr>
        <w:t>, to allow a comparative analysis of their approaches and the effectiveness of their systems.</w:t>
      </w:r>
    </w:p>
    <w:p w14:paraId="2D940644" w14:textId="34E1E626" w:rsidR="00CC79E7" w:rsidRPr="00CC79E7" w:rsidRDefault="00CC79E7" w:rsidP="00CC79E7">
      <w:pPr>
        <w:pStyle w:val="NormalWeb"/>
        <w:spacing w:line="360" w:lineRule="auto"/>
        <w:jc w:val="both"/>
        <w:rPr>
          <w:rFonts w:eastAsiaTheme="majorEastAsia"/>
        </w:rPr>
      </w:pPr>
      <w:r>
        <w:rPr>
          <w:rFonts w:eastAsiaTheme="majorEastAsia"/>
        </w:rPr>
        <w:t xml:space="preserve">           </w:t>
      </w:r>
      <w:r w:rsidRPr="00CC79E7">
        <w:rPr>
          <w:rFonts w:eastAsiaTheme="majorEastAsia"/>
        </w:rPr>
        <w:t xml:space="preserve">Additionally, the study aims to examine the relationship between governance quality and risk-taking </w:t>
      </w:r>
      <w:proofErr w:type="spellStart"/>
      <w:r w:rsidRPr="00CC79E7">
        <w:rPr>
          <w:rFonts w:eastAsiaTheme="majorEastAsia"/>
        </w:rPr>
        <w:t>behavior</w:t>
      </w:r>
      <w:proofErr w:type="spellEnd"/>
      <w:r w:rsidRPr="00CC79E7">
        <w:rPr>
          <w:rFonts w:eastAsiaTheme="majorEastAsia"/>
        </w:rPr>
        <w:t xml:space="preserve"> within banks. It seeks to determine whether strong governance frameworks help in reducing non-performing assets (NPAs), improving investor confidence, and enhancing customer trust. This scope is especially relevant in the context of rising NPAs and increasing scrutiny of banks' lending and operational practices in various countries, including India.</w:t>
      </w:r>
    </w:p>
    <w:p w14:paraId="22C12B35" w14:textId="37BA291C" w:rsidR="00CC79E7" w:rsidRPr="00CC79E7" w:rsidRDefault="00CC79E7" w:rsidP="00CC79E7">
      <w:pPr>
        <w:pStyle w:val="NormalWeb"/>
        <w:spacing w:line="360" w:lineRule="auto"/>
        <w:jc w:val="both"/>
        <w:rPr>
          <w:rFonts w:eastAsiaTheme="majorEastAsia"/>
        </w:rPr>
      </w:pPr>
      <w:r>
        <w:rPr>
          <w:rFonts w:eastAsiaTheme="majorEastAsia"/>
        </w:rPr>
        <w:t xml:space="preserve">          </w:t>
      </w:r>
      <w:r w:rsidRPr="00CC79E7">
        <w:rPr>
          <w:rFonts w:eastAsiaTheme="majorEastAsia"/>
        </w:rPr>
        <w:t>The research primarily focuses on selected commercial banks that have accessible and reliable financial and governance data. The timeframe of analysis is based on recent financial years to ensure relevance and to capture current trends in governance and risk management practices. Secondary data sources such as annual reports, RBI publications, corporate governance ratings, and financial performance statements are used in this study. The study does not focus on cooperative banks, small finance banks, or international banks unless relevant for comparison.</w:t>
      </w:r>
    </w:p>
    <w:p w14:paraId="211BF9D6" w14:textId="77777777" w:rsidR="00CC79E7" w:rsidRDefault="00CC79E7" w:rsidP="00CC79E7">
      <w:pPr>
        <w:spacing w:line="360" w:lineRule="auto"/>
        <w:jc w:val="both"/>
        <w:rPr>
          <w:rFonts w:ascii="Times New Roman" w:hAnsi="Times New Roman" w:cs="Times New Roman"/>
          <w:b/>
          <w:bCs/>
          <w:sz w:val="24"/>
          <w:szCs w:val="24"/>
          <w:lang w:val="en-US"/>
        </w:rPr>
      </w:pPr>
      <w:r w:rsidRPr="006E2866">
        <w:rPr>
          <w:rFonts w:ascii="Times New Roman" w:hAnsi="Times New Roman" w:cs="Times New Roman"/>
          <w:b/>
          <w:bCs/>
          <w:sz w:val="24"/>
          <w:szCs w:val="24"/>
          <w:lang w:val="en-US"/>
        </w:rPr>
        <w:t>1.7 LIMITATIONS OF THE STUDY</w:t>
      </w:r>
    </w:p>
    <w:p w14:paraId="45349029" w14:textId="25AD92FB" w:rsidR="00CC79E7" w:rsidRPr="00CC79E7" w:rsidRDefault="00CC79E7" w:rsidP="00CC79E7">
      <w:pPr>
        <w:pStyle w:val="NormalWeb"/>
        <w:spacing w:line="360" w:lineRule="auto"/>
        <w:jc w:val="both"/>
        <w:rPr>
          <w:rFonts w:eastAsiaTheme="majorEastAsia"/>
        </w:rPr>
      </w:pPr>
      <w:r>
        <w:rPr>
          <w:rFonts w:eastAsiaTheme="majorEastAsia"/>
        </w:rPr>
        <w:lastRenderedPageBreak/>
        <w:t xml:space="preserve">           </w:t>
      </w:r>
      <w:r w:rsidRPr="00CC79E7">
        <w:rPr>
          <w:rFonts w:eastAsiaTheme="majorEastAsia"/>
        </w:rPr>
        <w:t xml:space="preserve">While this study aims to provide meaningful insights into the impact of corporate governance and risk management on bank performance, it is not without limitations. One of the major constraints is the </w:t>
      </w:r>
      <w:r w:rsidRPr="00CC79E7">
        <w:rPr>
          <w:rFonts w:eastAsiaTheme="majorEastAsia"/>
          <w:b/>
          <w:bCs/>
        </w:rPr>
        <w:t>availability and reliability of secondary data</w:t>
      </w:r>
      <w:r w:rsidRPr="00CC79E7">
        <w:rPr>
          <w:rFonts w:eastAsiaTheme="majorEastAsia"/>
        </w:rPr>
        <w:t>. The study relies heavily on publicly available data such as annual reports, audit statements, and disclosures, which may not always provide a complete picture of the internal governance and risk management practices of banks. Some data may be outdated, incomplete, or presented in a way that lacks consistency across different banks, making comparative analysis challenging.</w:t>
      </w:r>
    </w:p>
    <w:p w14:paraId="0C8B50D6" w14:textId="0AE8F9E7" w:rsidR="00CC79E7" w:rsidRPr="00CC79E7" w:rsidRDefault="00CC79E7" w:rsidP="00CC79E7">
      <w:pPr>
        <w:pStyle w:val="NormalWeb"/>
        <w:spacing w:line="360" w:lineRule="auto"/>
        <w:jc w:val="both"/>
        <w:rPr>
          <w:rFonts w:eastAsiaTheme="majorEastAsia"/>
        </w:rPr>
      </w:pPr>
      <w:r>
        <w:rPr>
          <w:rFonts w:eastAsiaTheme="majorEastAsia"/>
        </w:rPr>
        <w:t xml:space="preserve">           </w:t>
      </w:r>
      <w:r w:rsidRPr="00CC79E7">
        <w:rPr>
          <w:rFonts w:eastAsiaTheme="majorEastAsia"/>
        </w:rPr>
        <w:t xml:space="preserve">Another significant limitation is the </w:t>
      </w:r>
      <w:r w:rsidRPr="00CC79E7">
        <w:rPr>
          <w:rFonts w:eastAsiaTheme="majorEastAsia"/>
          <w:b/>
          <w:bCs/>
        </w:rPr>
        <w:t>restricted sample size</w:t>
      </w:r>
      <w:r w:rsidRPr="00CC79E7">
        <w:rPr>
          <w:rFonts w:eastAsiaTheme="majorEastAsia"/>
        </w:rPr>
        <w:t xml:space="preserve">. Due to time and resource constraints, the study may only include a limited number of banks, which may not be fully representative of the entire banking sector. As a result, the findings may not be generalizable across all banks, especially those operating in rural, cooperative, or global segments. The study is also </w:t>
      </w:r>
      <w:r w:rsidRPr="00CC79E7">
        <w:rPr>
          <w:rFonts w:eastAsiaTheme="majorEastAsia"/>
          <w:b/>
          <w:bCs/>
        </w:rPr>
        <w:t>geographically limited</w:t>
      </w:r>
      <w:r w:rsidRPr="00CC79E7">
        <w:rPr>
          <w:rFonts w:eastAsiaTheme="majorEastAsia"/>
        </w:rPr>
        <w:t>, focusing on banks operating in a particular country or region, which further restricts the scope of comparative international analysis.</w:t>
      </w:r>
    </w:p>
    <w:p w14:paraId="57A8D059" w14:textId="7CF3445E" w:rsidR="00CC79E7" w:rsidRPr="00CC79E7" w:rsidRDefault="00CC79E7" w:rsidP="00CC79E7">
      <w:pPr>
        <w:pStyle w:val="NormalWeb"/>
        <w:spacing w:line="360" w:lineRule="auto"/>
        <w:jc w:val="both"/>
        <w:rPr>
          <w:rFonts w:eastAsiaTheme="majorEastAsia"/>
        </w:rPr>
      </w:pPr>
      <w:r>
        <w:rPr>
          <w:rFonts w:eastAsiaTheme="majorEastAsia"/>
        </w:rPr>
        <w:t xml:space="preserve">            </w:t>
      </w:r>
      <w:r w:rsidRPr="00CC79E7">
        <w:rPr>
          <w:rFonts w:eastAsiaTheme="majorEastAsia"/>
        </w:rPr>
        <w:t xml:space="preserve">Moreover, </w:t>
      </w:r>
      <w:r w:rsidRPr="00CC79E7">
        <w:rPr>
          <w:rFonts w:eastAsiaTheme="majorEastAsia"/>
          <w:b/>
          <w:bCs/>
        </w:rPr>
        <w:t>corporate governance and risk management are qualitative in nature</w:t>
      </w:r>
      <w:r w:rsidRPr="00CC79E7">
        <w:rPr>
          <w:rFonts w:eastAsiaTheme="majorEastAsia"/>
        </w:rPr>
        <w:t>, and their assessment often depends on subjective interpretations. Variables like board effectiveness, ethical culture, or internal control strength cannot be precisely measured, and there is a risk of bias in evaluating their impact on performance. The study also assumes that the disclosed practices are implemented effectively, whereas in reality, implementation may differ significantly from what is reported.</w:t>
      </w:r>
    </w:p>
    <w:p w14:paraId="024DBF6D" w14:textId="726765A4" w:rsidR="00CC79E7" w:rsidRPr="00CC79E7" w:rsidRDefault="00CC79E7" w:rsidP="00CC79E7">
      <w:pPr>
        <w:pStyle w:val="NormalWeb"/>
        <w:spacing w:line="360" w:lineRule="auto"/>
        <w:jc w:val="both"/>
        <w:rPr>
          <w:rFonts w:eastAsiaTheme="majorEastAsia"/>
        </w:rPr>
      </w:pPr>
      <w:r>
        <w:rPr>
          <w:rFonts w:eastAsiaTheme="majorEastAsia"/>
        </w:rPr>
        <w:t xml:space="preserve">           </w:t>
      </w:r>
      <w:r w:rsidRPr="00CC79E7">
        <w:rPr>
          <w:rFonts w:eastAsiaTheme="majorEastAsia"/>
        </w:rPr>
        <w:t xml:space="preserve">The </w:t>
      </w:r>
      <w:r w:rsidRPr="00CC79E7">
        <w:rPr>
          <w:rFonts w:eastAsiaTheme="majorEastAsia"/>
          <w:b/>
          <w:bCs/>
        </w:rPr>
        <w:t>time frame</w:t>
      </w:r>
      <w:r w:rsidRPr="00CC79E7">
        <w:rPr>
          <w:rFonts w:eastAsiaTheme="majorEastAsia"/>
        </w:rPr>
        <w:t xml:space="preserve"> of the study may also pose limitations. Since banking performance is influenced by various economic, political, and social factors, focusing only on a few financial years might not capture long-term effects or trends. </w:t>
      </w:r>
      <w:r w:rsidRPr="00CC79E7">
        <w:rPr>
          <w:rFonts w:eastAsiaTheme="majorEastAsia"/>
          <w:b/>
          <w:bCs/>
        </w:rPr>
        <w:t>External factors</w:t>
      </w:r>
      <w:r w:rsidRPr="00CC79E7">
        <w:rPr>
          <w:rFonts w:eastAsiaTheme="majorEastAsia"/>
        </w:rPr>
        <w:t xml:space="preserve"> such as government policies, regulatory changes, or global financial events that impact bank performance are not deeply </w:t>
      </w:r>
      <w:proofErr w:type="spellStart"/>
      <w:r w:rsidRPr="00CC79E7">
        <w:rPr>
          <w:rFonts w:eastAsiaTheme="majorEastAsia"/>
        </w:rPr>
        <w:t>analyzed</w:t>
      </w:r>
      <w:proofErr w:type="spellEnd"/>
      <w:r w:rsidRPr="00CC79E7">
        <w:rPr>
          <w:rFonts w:eastAsiaTheme="majorEastAsia"/>
        </w:rPr>
        <w:t>, even though they may significantly influence outcomes.</w:t>
      </w:r>
    </w:p>
    <w:p w14:paraId="7BB56AF2" w14:textId="3126A747" w:rsidR="00CC79E7" w:rsidRPr="00CC79E7" w:rsidRDefault="00CC79E7" w:rsidP="00CC79E7">
      <w:pPr>
        <w:pStyle w:val="NormalWeb"/>
        <w:spacing w:line="360" w:lineRule="auto"/>
        <w:jc w:val="both"/>
        <w:rPr>
          <w:rFonts w:eastAsiaTheme="majorEastAsia"/>
        </w:rPr>
      </w:pPr>
      <w:r>
        <w:rPr>
          <w:rFonts w:eastAsiaTheme="majorEastAsia"/>
        </w:rPr>
        <w:t xml:space="preserve">           </w:t>
      </w:r>
      <w:r w:rsidRPr="00CC79E7">
        <w:rPr>
          <w:rFonts w:eastAsiaTheme="majorEastAsia"/>
        </w:rPr>
        <w:t xml:space="preserve">Furthermore, the study does not deeply explore the role of </w:t>
      </w:r>
      <w:r w:rsidRPr="00CC79E7">
        <w:rPr>
          <w:rFonts w:eastAsiaTheme="majorEastAsia"/>
          <w:b/>
          <w:bCs/>
        </w:rPr>
        <w:t>technological risks</w:t>
      </w:r>
      <w:r w:rsidRPr="00CC79E7">
        <w:rPr>
          <w:rFonts w:eastAsiaTheme="majorEastAsia"/>
        </w:rPr>
        <w:t>, cybersecurity governance, or environmental and social governance (ESG) factors, which are increasingly relevant in today’s banking context. The dynamic nature of the banking industry means that conclusions drawn today may not remain valid over time due to evolving regulations and market conditions.</w:t>
      </w:r>
    </w:p>
    <w:p w14:paraId="08E728EF" w14:textId="77777777" w:rsidR="00CC79E7" w:rsidRDefault="00CC79E7" w:rsidP="00810C77">
      <w:pPr>
        <w:pStyle w:val="NormalWeb"/>
        <w:spacing w:line="360" w:lineRule="auto"/>
        <w:jc w:val="both"/>
        <w:rPr>
          <w:rFonts w:eastAsiaTheme="majorEastAsia"/>
        </w:rPr>
      </w:pPr>
    </w:p>
    <w:p w14:paraId="7CFD4435" w14:textId="77777777" w:rsidR="00CC79E7" w:rsidRPr="00AD7255" w:rsidRDefault="00CC79E7" w:rsidP="00CC79E7">
      <w:pPr>
        <w:spacing w:line="360" w:lineRule="auto"/>
        <w:jc w:val="center"/>
        <w:rPr>
          <w:rFonts w:ascii="Times New Roman" w:hAnsi="Times New Roman" w:cs="Times New Roman"/>
          <w:b/>
          <w:bCs/>
          <w:sz w:val="24"/>
          <w:szCs w:val="24"/>
          <w:lang w:val="en-US"/>
        </w:rPr>
      </w:pPr>
      <w:bookmarkStart w:id="3" w:name="_Hlk202089904"/>
      <w:r w:rsidRPr="00AD7255">
        <w:rPr>
          <w:rFonts w:ascii="Times New Roman" w:hAnsi="Times New Roman" w:cs="Times New Roman"/>
          <w:b/>
          <w:bCs/>
          <w:sz w:val="24"/>
          <w:szCs w:val="24"/>
          <w:lang w:val="en-US"/>
        </w:rPr>
        <w:lastRenderedPageBreak/>
        <w:t>CHAPTER – II</w:t>
      </w:r>
    </w:p>
    <w:p w14:paraId="1B2E9D71" w14:textId="77777777" w:rsidR="00CC79E7" w:rsidRDefault="00CC79E7" w:rsidP="00CC79E7">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3"/>
    <w:p w14:paraId="44C8C1AF" w14:textId="1E0CAACC" w:rsidR="00C52DF4" w:rsidRPr="00C52DF4" w:rsidRDefault="00C52DF4" w:rsidP="00C52DF4">
      <w:pPr>
        <w:pStyle w:val="NormalWeb"/>
        <w:spacing w:line="360" w:lineRule="auto"/>
        <w:jc w:val="both"/>
        <w:rPr>
          <w:rFonts w:eastAsiaTheme="majorEastAsia"/>
        </w:rPr>
      </w:pPr>
      <w:r>
        <w:rPr>
          <w:rFonts w:eastAsiaTheme="majorEastAsia"/>
        </w:rPr>
        <w:t xml:space="preserve">           </w:t>
      </w:r>
      <w:r w:rsidRPr="00C52DF4">
        <w:rPr>
          <w:rFonts w:eastAsiaTheme="majorEastAsia"/>
        </w:rPr>
        <w:t>A review of relevant literature provides the theoretical foundation for the study and helps in identifying existing gaps in research. It also offers insights into how corporate governance and risk management influence the performance of banks. This chapter presents a summary of key studies conducted by various scholars in this domain.</w:t>
      </w:r>
    </w:p>
    <w:p w14:paraId="64BB1DFB" w14:textId="77777777" w:rsidR="00C52DF4" w:rsidRPr="00C52DF4" w:rsidRDefault="00C52DF4" w:rsidP="00C52DF4">
      <w:pPr>
        <w:pStyle w:val="NormalWeb"/>
        <w:spacing w:line="360" w:lineRule="auto"/>
        <w:jc w:val="both"/>
        <w:rPr>
          <w:rFonts w:eastAsiaTheme="majorEastAsia"/>
        </w:rPr>
      </w:pPr>
      <w:r w:rsidRPr="00C52DF4">
        <w:rPr>
          <w:rFonts w:eastAsiaTheme="majorEastAsia"/>
          <w:b/>
          <w:bCs/>
        </w:rPr>
        <w:t>1. Arun and Turner (2004)</w:t>
      </w:r>
      <w:r w:rsidRPr="00C52DF4">
        <w:rPr>
          <w:rFonts w:eastAsiaTheme="majorEastAsia"/>
        </w:rPr>
        <w:t xml:space="preserve"> examined the corporate governance mechanisms in the banking sector of developing economies and concluded that governance reforms can improve performance only when supported by strong institutional frameworks. They emphasized the need for external accountability and transparent regulatory supervision.</w:t>
      </w:r>
    </w:p>
    <w:p w14:paraId="797A03FE" w14:textId="77777777" w:rsidR="00C52DF4" w:rsidRPr="00C52DF4" w:rsidRDefault="00C52DF4" w:rsidP="00C52DF4">
      <w:pPr>
        <w:pStyle w:val="NormalWeb"/>
        <w:spacing w:line="360" w:lineRule="auto"/>
        <w:jc w:val="both"/>
        <w:rPr>
          <w:rFonts w:eastAsiaTheme="majorEastAsia"/>
        </w:rPr>
      </w:pPr>
      <w:r w:rsidRPr="00C52DF4">
        <w:rPr>
          <w:rFonts w:eastAsiaTheme="majorEastAsia"/>
          <w:b/>
          <w:bCs/>
        </w:rPr>
        <w:t>2. Basel Committee on Banking Supervision (2006)</w:t>
      </w:r>
      <w:r w:rsidRPr="00C52DF4">
        <w:rPr>
          <w:rFonts w:eastAsiaTheme="majorEastAsia"/>
        </w:rPr>
        <w:t xml:space="preserve"> highlighted the importance of risk governance in banks and introduced the concept of integrated risk management. It recommended the establishment of independent risk committees and proper oversight at the board level to manage credit, market, and operational risks effectively.</w:t>
      </w:r>
    </w:p>
    <w:p w14:paraId="58F810FF" w14:textId="77777777" w:rsidR="00C52DF4" w:rsidRPr="00C52DF4" w:rsidRDefault="00C52DF4" w:rsidP="00C52DF4">
      <w:pPr>
        <w:pStyle w:val="NormalWeb"/>
        <w:spacing w:line="360" w:lineRule="auto"/>
        <w:jc w:val="both"/>
        <w:rPr>
          <w:rFonts w:eastAsiaTheme="majorEastAsia"/>
        </w:rPr>
      </w:pPr>
      <w:r w:rsidRPr="00C52DF4">
        <w:rPr>
          <w:rFonts w:eastAsiaTheme="majorEastAsia"/>
          <w:b/>
          <w:bCs/>
        </w:rPr>
        <w:t>3. Adams and Mehran (2012)</w:t>
      </w:r>
      <w:r w:rsidRPr="00C52DF4">
        <w:rPr>
          <w:rFonts w:eastAsiaTheme="majorEastAsia"/>
        </w:rPr>
        <w:t xml:space="preserve"> found a positive relationship between board independence and bank performance in U.S. commercial banks. Their study showed that well-governed banks with diverse boards are more effective at managing financial risks and making strategic decisions.</w:t>
      </w:r>
    </w:p>
    <w:p w14:paraId="3FB0EBDD" w14:textId="77777777" w:rsidR="00C52DF4" w:rsidRPr="00C52DF4" w:rsidRDefault="00C52DF4" w:rsidP="00C52DF4">
      <w:pPr>
        <w:pStyle w:val="NormalWeb"/>
        <w:spacing w:line="360" w:lineRule="auto"/>
        <w:jc w:val="both"/>
        <w:rPr>
          <w:rFonts w:eastAsiaTheme="majorEastAsia"/>
        </w:rPr>
      </w:pPr>
      <w:r w:rsidRPr="00C52DF4">
        <w:rPr>
          <w:rFonts w:eastAsiaTheme="majorEastAsia"/>
          <w:b/>
          <w:bCs/>
        </w:rPr>
        <w:t>4. Mollah and Zaman (2015)</w:t>
      </w:r>
      <w:r w:rsidRPr="00C52DF4">
        <w:rPr>
          <w:rFonts w:eastAsiaTheme="majorEastAsia"/>
        </w:rPr>
        <w:t xml:space="preserve"> studied 87 banks across various countries and concluded that strong corporate governance reduces excessive risk-taking and improves financial performance. They emphasized the role of risk committees and board expertise in improving risk-adjusted returns.</w:t>
      </w:r>
    </w:p>
    <w:p w14:paraId="01556657" w14:textId="77777777" w:rsidR="00C52DF4" w:rsidRPr="00C52DF4" w:rsidRDefault="00C52DF4" w:rsidP="00C52DF4">
      <w:pPr>
        <w:pStyle w:val="NormalWeb"/>
        <w:spacing w:line="360" w:lineRule="auto"/>
        <w:jc w:val="both"/>
        <w:rPr>
          <w:rFonts w:eastAsiaTheme="majorEastAsia"/>
        </w:rPr>
      </w:pPr>
      <w:r w:rsidRPr="00C52DF4">
        <w:rPr>
          <w:rFonts w:eastAsiaTheme="majorEastAsia"/>
          <w:b/>
          <w:bCs/>
        </w:rPr>
        <w:t>5. PricewaterhouseCoopers (PwC) Report (2017)</w:t>
      </w:r>
      <w:r w:rsidRPr="00C52DF4">
        <w:rPr>
          <w:rFonts w:eastAsiaTheme="majorEastAsia"/>
        </w:rPr>
        <w:t xml:space="preserve"> discussed how Indian banks were facing increasing stress from bad loans due to weak governance and inefficient risk control practices. The report stressed the need for cultural reform in banking and improved credit risk monitoring systems.</w:t>
      </w:r>
    </w:p>
    <w:p w14:paraId="4443BE0B" w14:textId="77777777" w:rsidR="00C52DF4" w:rsidRPr="00C52DF4" w:rsidRDefault="00C52DF4" w:rsidP="00C52DF4">
      <w:pPr>
        <w:pStyle w:val="NormalWeb"/>
        <w:spacing w:line="360" w:lineRule="auto"/>
        <w:jc w:val="both"/>
        <w:rPr>
          <w:rFonts w:eastAsiaTheme="majorEastAsia"/>
        </w:rPr>
      </w:pPr>
      <w:r w:rsidRPr="00C52DF4">
        <w:rPr>
          <w:rFonts w:eastAsiaTheme="majorEastAsia"/>
          <w:b/>
          <w:bCs/>
        </w:rPr>
        <w:lastRenderedPageBreak/>
        <w:t>6. Ghosh (2018)</w:t>
      </w:r>
      <w:r w:rsidRPr="00C52DF4">
        <w:rPr>
          <w:rFonts w:eastAsiaTheme="majorEastAsia"/>
        </w:rPr>
        <w:t xml:space="preserve"> focused on Indian commercial banks and found that poor governance practices and politically influenced lending led to high levels of NPAs. The study suggested that independent directors and transparent audit processes are critical for reducing bad assets.</w:t>
      </w:r>
    </w:p>
    <w:p w14:paraId="75DE8CCD" w14:textId="77777777" w:rsidR="00C52DF4" w:rsidRPr="00C52DF4" w:rsidRDefault="00C52DF4" w:rsidP="00C52DF4">
      <w:pPr>
        <w:pStyle w:val="NormalWeb"/>
        <w:spacing w:line="360" w:lineRule="auto"/>
        <w:jc w:val="both"/>
        <w:rPr>
          <w:rFonts w:eastAsiaTheme="majorEastAsia"/>
        </w:rPr>
      </w:pPr>
      <w:r w:rsidRPr="00C52DF4">
        <w:rPr>
          <w:rFonts w:eastAsiaTheme="majorEastAsia"/>
          <w:b/>
          <w:bCs/>
        </w:rPr>
        <w:t>7. Sufian and Kamarudin (2019)</w:t>
      </w:r>
      <w:r w:rsidRPr="00C52DF4">
        <w:rPr>
          <w:rFonts w:eastAsiaTheme="majorEastAsia"/>
        </w:rPr>
        <w:t xml:space="preserve"> </w:t>
      </w:r>
      <w:proofErr w:type="spellStart"/>
      <w:r w:rsidRPr="00C52DF4">
        <w:rPr>
          <w:rFonts w:eastAsiaTheme="majorEastAsia"/>
        </w:rPr>
        <w:t>analyzed</w:t>
      </w:r>
      <w:proofErr w:type="spellEnd"/>
      <w:r w:rsidRPr="00C52DF4">
        <w:rPr>
          <w:rFonts w:eastAsiaTheme="majorEastAsia"/>
        </w:rPr>
        <w:t xml:space="preserve"> the impact of risk management on bank profitability in Southeast Asia. Their findings showed that banks with strong risk management policies tend to have higher ROA and ROE. Proper risk classification and provisioning were found to be key performance enhancers.</w:t>
      </w:r>
    </w:p>
    <w:p w14:paraId="75CC93D9" w14:textId="77777777" w:rsidR="00C52DF4" w:rsidRPr="00C52DF4" w:rsidRDefault="00C52DF4" w:rsidP="00C52DF4">
      <w:pPr>
        <w:pStyle w:val="NormalWeb"/>
        <w:spacing w:line="360" w:lineRule="auto"/>
        <w:jc w:val="both"/>
        <w:rPr>
          <w:rFonts w:eastAsiaTheme="majorEastAsia"/>
        </w:rPr>
      </w:pPr>
      <w:r w:rsidRPr="00C52DF4">
        <w:rPr>
          <w:rFonts w:eastAsiaTheme="majorEastAsia"/>
          <w:b/>
          <w:bCs/>
        </w:rPr>
        <w:t>8. RBI Discussion Paper (2020)</w:t>
      </w:r>
      <w:r w:rsidRPr="00C52DF4">
        <w:rPr>
          <w:rFonts w:eastAsiaTheme="majorEastAsia"/>
        </w:rPr>
        <w:t xml:space="preserve"> on "Governance in Commercial Banks in India" laid out clear guidelines for board functioning, risk oversight, and senior management accountability. It stated that enhanced governance would promote stability and prevent future banking crises.</w:t>
      </w:r>
    </w:p>
    <w:p w14:paraId="4450E3F1" w14:textId="77777777" w:rsidR="00C52DF4" w:rsidRPr="00C52DF4" w:rsidRDefault="00C52DF4" w:rsidP="00C52DF4">
      <w:pPr>
        <w:pStyle w:val="NormalWeb"/>
        <w:spacing w:line="360" w:lineRule="auto"/>
        <w:jc w:val="both"/>
        <w:rPr>
          <w:rFonts w:eastAsiaTheme="majorEastAsia"/>
        </w:rPr>
      </w:pPr>
      <w:r w:rsidRPr="00C52DF4">
        <w:rPr>
          <w:rFonts w:eastAsiaTheme="majorEastAsia"/>
          <w:b/>
          <w:bCs/>
        </w:rPr>
        <w:t>9. Al-Matari et al. (2021)</w:t>
      </w:r>
      <w:r w:rsidRPr="00C52DF4">
        <w:rPr>
          <w:rFonts w:eastAsiaTheme="majorEastAsia"/>
        </w:rPr>
        <w:t xml:space="preserve"> examined the effect of audit committees and internal controls on bank performance in GCC countries. Their study concluded that the presence of effective audit mechanisms significantly improves financial transparency and performance.</w:t>
      </w:r>
    </w:p>
    <w:p w14:paraId="6E4574FB" w14:textId="77777777" w:rsidR="00C52DF4" w:rsidRPr="00C52DF4" w:rsidRDefault="00C52DF4" w:rsidP="00C52DF4">
      <w:pPr>
        <w:pStyle w:val="NormalWeb"/>
        <w:spacing w:line="360" w:lineRule="auto"/>
        <w:jc w:val="both"/>
        <w:rPr>
          <w:rFonts w:eastAsiaTheme="majorEastAsia"/>
        </w:rPr>
      </w:pPr>
      <w:r w:rsidRPr="00C52DF4">
        <w:rPr>
          <w:rFonts w:eastAsiaTheme="majorEastAsia"/>
          <w:b/>
          <w:bCs/>
        </w:rPr>
        <w:t>10. Bhagat and Bolton (2022)</w:t>
      </w:r>
      <w:r w:rsidRPr="00C52DF4">
        <w:rPr>
          <w:rFonts w:eastAsiaTheme="majorEastAsia"/>
        </w:rPr>
        <w:t xml:space="preserve"> emphasized that good governance does not always guarantee higher short-term profits but ensures long-term sustainability. They also pointed out that excessive regulatory compliance can sometimes hinder innovation in the banking sector.</w:t>
      </w:r>
    </w:p>
    <w:p w14:paraId="79A5B89E" w14:textId="0AA32038" w:rsidR="00C52DF4" w:rsidRPr="00C52DF4" w:rsidRDefault="00C52DF4" w:rsidP="00C52DF4">
      <w:pPr>
        <w:pStyle w:val="NormalWeb"/>
        <w:spacing w:line="360" w:lineRule="auto"/>
        <w:jc w:val="both"/>
        <w:rPr>
          <w:rFonts w:eastAsiaTheme="majorEastAsia"/>
        </w:rPr>
      </w:pPr>
      <w:r>
        <w:rPr>
          <w:rFonts w:eastAsiaTheme="majorEastAsia"/>
        </w:rPr>
        <w:t xml:space="preserve">          </w:t>
      </w:r>
      <w:r w:rsidRPr="00C52DF4">
        <w:rPr>
          <w:rFonts w:eastAsiaTheme="majorEastAsia"/>
        </w:rPr>
        <w:t>The above studies collectively indicate that while the components of corporate governance and risk management may vary across jurisdictions, their impact on bank performance is universally significant. The literature also shows a growing consensus on the need for integrated governance-risk frameworks, particularly in the face of global financial challenges and regulatory expectations.</w:t>
      </w:r>
    </w:p>
    <w:p w14:paraId="65A873EA" w14:textId="0E2D8598" w:rsidR="00C52DF4" w:rsidRPr="00C52DF4" w:rsidRDefault="00C52DF4" w:rsidP="00C52DF4">
      <w:pPr>
        <w:pStyle w:val="NormalWeb"/>
        <w:spacing w:line="360" w:lineRule="auto"/>
        <w:jc w:val="both"/>
        <w:rPr>
          <w:rFonts w:eastAsiaTheme="majorEastAsia"/>
        </w:rPr>
      </w:pPr>
      <w:r>
        <w:rPr>
          <w:rFonts w:eastAsiaTheme="majorEastAsia"/>
        </w:rPr>
        <w:t xml:space="preserve">          </w:t>
      </w:r>
      <w:r w:rsidRPr="00C52DF4">
        <w:rPr>
          <w:rFonts w:eastAsiaTheme="majorEastAsia"/>
        </w:rPr>
        <w:t>However, there remains a gap in literature regarding region-specific analysis, particularly in developing economies like India, where banks face unique socio-political challenges. This study aims to build on previous work by exploring the dual impact of governance and risk practices on bank performance within a localized context, contributing to both academic knowledge and policy-making insights.</w:t>
      </w:r>
    </w:p>
    <w:p w14:paraId="5ABF2F18" w14:textId="77777777" w:rsidR="00CC79E7" w:rsidRPr="00810C77" w:rsidRDefault="00CC79E7" w:rsidP="00810C77">
      <w:pPr>
        <w:pStyle w:val="NormalWeb"/>
        <w:spacing w:line="360" w:lineRule="auto"/>
        <w:jc w:val="both"/>
        <w:rPr>
          <w:rFonts w:eastAsiaTheme="majorEastAsia"/>
        </w:rPr>
      </w:pPr>
    </w:p>
    <w:p w14:paraId="2C80F628" w14:textId="77777777" w:rsidR="00810C77" w:rsidRPr="00810C77" w:rsidRDefault="00810C77" w:rsidP="00810C77">
      <w:pPr>
        <w:pStyle w:val="NormalWeb"/>
        <w:spacing w:line="360" w:lineRule="auto"/>
        <w:jc w:val="both"/>
        <w:rPr>
          <w:rFonts w:eastAsiaTheme="majorEastAsia"/>
        </w:rPr>
      </w:pPr>
    </w:p>
    <w:p w14:paraId="2AE943D1" w14:textId="77777777" w:rsidR="00C52DF4" w:rsidRPr="0078607C" w:rsidRDefault="00C52DF4" w:rsidP="00C52DF4">
      <w:pPr>
        <w:spacing w:line="360" w:lineRule="auto"/>
        <w:jc w:val="center"/>
        <w:rPr>
          <w:rFonts w:ascii="Times New Roman" w:hAnsi="Times New Roman" w:cs="Times New Roman"/>
          <w:b/>
          <w:bCs/>
          <w:sz w:val="24"/>
          <w:szCs w:val="24"/>
          <w:lang w:val="en-US"/>
        </w:rPr>
      </w:pPr>
      <w:bookmarkStart w:id="4" w:name="_Hlk202090009"/>
      <w:r w:rsidRPr="0078607C">
        <w:rPr>
          <w:rFonts w:ascii="Times New Roman" w:hAnsi="Times New Roman" w:cs="Times New Roman"/>
          <w:b/>
          <w:bCs/>
          <w:sz w:val="24"/>
          <w:szCs w:val="24"/>
          <w:lang w:val="en-US"/>
        </w:rPr>
        <w:lastRenderedPageBreak/>
        <w:t>CHAPTER – III</w:t>
      </w:r>
    </w:p>
    <w:p w14:paraId="51DB7115" w14:textId="77777777" w:rsidR="00C52DF4" w:rsidRPr="0078607C" w:rsidRDefault="00C52DF4" w:rsidP="00C52DF4">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4"/>
    <w:p w14:paraId="3ED5F29D" w14:textId="1472FFA6" w:rsidR="00C52DF4" w:rsidRPr="00C52DF4" w:rsidRDefault="00C52DF4" w:rsidP="00C52DF4">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52DF4">
        <w:rPr>
          <w:rFonts w:ascii="Times New Roman" w:hAnsi="Times New Roman" w:cs="Times New Roman"/>
          <w:bCs/>
          <w:sz w:val="24"/>
          <w:szCs w:val="24"/>
        </w:rPr>
        <w:t>This chapter outlines the research design and methodology adopted for studying the impact of corporate governance and risk management on the performance of banks. It describes the research approach, data sources, sampling techniques, tools of analysis, and limitations related to the research methods.</w:t>
      </w:r>
    </w:p>
    <w:p w14:paraId="37276F94" w14:textId="77777777" w:rsidR="00C52DF4" w:rsidRPr="00C52DF4" w:rsidRDefault="00C52DF4" w:rsidP="00C52DF4">
      <w:pPr>
        <w:spacing w:line="360" w:lineRule="auto"/>
        <w:jc w:val="both"/>
        <w:rPr>
          <w:rFonts w:ascii="Times New Roman" w:hAnsi="Times New Roman" w:cs="Times New Roman"/>
          <w:b/>
          <w:sz w:val="24"/>
          <w:szCs w:val="24"/>
        </w:rPr>
      </w:pPr>
      <w:r w:rsidRPr="00C52DF4">
        <w:rPr>
          <w:rFonts w:ascii="Times New Roman" w:hAnsi="Times New Roman" w:cs="Times New Roman"/>
          <w:b/>
          <w:sz w:val="24"/>
          <w:szCs w:val="24"/>
        </w:rPr>
        <w:t>3.1 Research Design</w:t>
      </w:r>
    </w:p>
    <w:p w14:paraId="7EF06098" w14:textId="77777777" w:rsidR="00C52DF4" w:rsidRPr="00C52DF4" w:rsidRDefault="00C52DF4" w:rsidP="00C52DF4">
      <w:pPr>
        <w:spacing w:line="360" w:lineRule="auto"/>
        <w:jc w:val="both"/>
        <w:rPr>
          <w:rFonts w:ascii="Times New Roman" w:hAnsi="Times New Roman" w:cs="Times New Roman"/>
          <w:bCs/>
          <w:sz w:val="24"/>
          <w:szCs w:val="24"/>
        </w:rPr>
      </w:pPr>
      <w:r w:rsidRPr="00C52DF4">
        <w:rPr>
          <w:rFonts w:ascii="Times New Roman" w:hAnsi="Times New Roman" w:cs="Times New Roman"/>
          <w:bCs/>
          <w:sz w:val="24"/>
          <w:szCs w:val="24"/>
        </w:rPr>
        <w:t>The study employs a descriptive and analytical research design to examine the relationship between corporate governance, risk management, and bank performance. It involves the collection and analysis of both qualitative and quantitative data to provide a comprehensive understanding of the subject. The research is explanatory in nature as it seeks to explain how governance and risk factors affect financial outcomes in banks.</w:t>
      </w:r>
    </w:p>
    <w:p w14:paraId="0A1636FB" w14:textId="77777777" w:rsidR="00C52DF4" w:rsidRPr="00C52DF4" w:rsidRDefault="00C52DF4" w:rsidP="00C52DF4">
      <w:pPr>
        <w:spacing w:line="360" w:lineRule="auto"/>
        <w:jc w:val="both"/>
        <w:rPr>
          <w:rFonts w:ascii="Times New Roman" w:hAnsi="Times New Roman" w:cs="Times New Roman"/>
          <w:b/>
          <w:sz w:val="24"/>
          <w:szCs w:val="24"/>
        </w:rPr>
      </w:pPr>
      <w:r w:rsidRPr="00C52DF4">
        <w:rPr>
          <w:rFonts w:ascii="Times New Roman" w:hAnsi="Times New Roman" w:cs="Times New Roman"/>
          <w:b/>
          <w:sz w:val="24"/>
          <w:szCs w:val="24"/>
        </w:rPr>
        <w:t>3.2 Data Collection</w:t>
      </w:r>
    </w:p>
    <w:p w14:paraId="1147E898" w14:textId="77777777" w:rsidR="00C52DF4" w:rsidRPr="00C52DF4" w:rsidRDefault="00C52DF4" w:rsidP="00C52DF4">
      <w:pPr>
        <w:spacing w:line="360" w:lineRule="auto"/>
        <w:jc w:val="both"/>
        <w:rPr>
          <w:rFonts w:ascii="Times New Roman" w:hAnsi="Times New Roman" w:cs="Times New Roman"/>
          <w:bCs/>
          <w:sz w:val="24"/>
          <w:szCs w:val="24"/>
        </w:rPr>
      </w:pPr>
      <w:r w:rsidRPr="00C52DF4">
        <w:rPr>
          <w:rFonts w:ascii="Times New Roman" w:hAnsi="Times New Roman" w:cs="Times New Roman"/>
          <w:bCs/>
          <w:sz w:val="24"/>
          <w:szCs w:val="24"/>
        </w:rPr>
        <w:t>The study primarily relies on secondary data, which is collected from authentic sources including:</w:t>
      </w:r>
    </w:p>
    <w:p w14:paraId="0EB2C58C" w14:textId="77777777" w:rsidR="00C52DF4" w:rsidRPr="00C52DF4" w:rsidRDefault="00C52DF4" w:rsidP="00C52DF4">
      <w:pPr>
        <w:numPr>
          <w:ilvl w:val="0"/>
          <w:numId w:val="5"/>
        </w:numPr>
        <w:spacing w:line="360" w:lineRule="auto"/>
        <w:jc w:val="both"/>
        <w:rPr>
          <w:rFonts w:ascii="Times New Roman" w:hAnsi="Times New Roman" w:cs="Times New Roman"/>
          <w:bCs/>
          <w:sz w:val="24"/>
          <w:szCs w:val="24"/>
        </w:rPr>
      </w:pPr>
      <w:r w:rsidRPr="00C52DF4">
        <w:rPr>
          <w:rFonts w:ascii="Times New Roman" w:hAnsi="Times New Roman" w:cs="Times New Roman"/>
          <w:bCs/>
          <w:sz w:val="24"/>
          <w:szCs w:val="24"/>
        </w:rPr>
        <w:t>Annual reports of selected banks</w:t>
      </w:r>
    </w:p>
    <w:p w14:paraId="7B51336B" w14:textId="77777777" w:rsidR="00C52DF4" w:rsidRPr="00C52DF4" w:rsidRDefault="00C52DF4" w:rsidP="00C52DF4">
      <w:pPr>
        <w:numPr>
          <w:ilvl w:val="0"/>
          <w:numId w:val="5"/>
        </w:numPr>
        <w:spacing w:line="360" w:lineRule="auto"/>
        <w:jc w:val="both"/>
        <w:rPr>
          <w:rFonts w:ascii="Times New Roman" w:hAnsi="Times New Roman" w:cs="Times New Roman"/>
          <w:bCs/>
          <w:sz w:val="24"/>
          <w:szCs w:val="24"/>
        </w:rPr>
      </w:pPr>
      <w:r w:rsidRPr="00C52DF4">
        <w:rPr>
          <w:rFonts w:ascii="Times New Roman" w:hAnsi="Times New Roman" w:cs="Times New Roman"/>
          <w:bCs/>
          <w:sz w:val="24"/>
          <w:szCs w:val="24"/>
        </w:rPr>
        <w:t>Reserve Bank of India (RBI) publications and guidelines</w:t>
      </w:r>
    </w:p>
    <w:p w14:paraId="752E8C79" w14:textId="77777777" w:rsidR="00C52DF4" w:rsidRPr="00C52DF4" w:rsidRDefault="00C52DF4" w:rsidP="00C52DF4">
      <w:pPr>
        <w:numPr>
          <w:ilvl w:val="0"/>
          <w:numId w:val="5"/>
        </w:numPr>
        <w:spacing w:line="360" w:lineRule="auto"/>
        <w:jc w:val="both"/>
        <w:rPr>
          <w:rFonts w:ascii="Times New Roman" w:hAnsi="Times New Roman" w:cs="Times New Roman"/>
          <w:bCs/>
          <w:sz w:val="24"/>
          <w:szCs w:val="24"/>
        </w:rPr>
      </w:pPr>
      <w:r w:rsidRPr="00C52DF4">
        <w:rPr>
          <w:rFonts w:ascii="Times New Roman" w:hAnsi="Times New Roman" w:cs="Times New Roman"/>
          <w:bCs/>
          <w:sz w:val="24"/>
          <w:szCs w:val="24"/>
        </w:rPr>
        <w:t>Securities and Exchange Board of India (SEBI) reports</w:t>
      </w:r>
    </w:p>
    <w:p w14:paraId="15D000DC" w14:textId="77777777" w:rsidR="00C52DF4" w:rsidRPr="00C52DF4" w:rsidRDefault="00C52DF4" w:rsidP="00C52DF4">
      <w:pPr>
        <w:numPr>
          <w:ilvl w:val="0"/>
          <w:numId w:val="5"/>
        </w:numPr>
        <w:spacing w:line="360" w:lineRule="auto"/>
        <w:jc w:val="both"/>
        <w:rPr>
          <w:rFonts w:ascii="Times New Roman" w:hAnsi="Times New Roman" w:cs="Times New Roman"/>
          <w:bCs/>
          <w:sz w:val="24"/>
          <w:szCs w:val="24"/>
        </w:rPr>
      </w:pPr>
      <w:r w:rsidRPr="00C52DF4">
        <w:rPr>
          <w:rFonts w:ascii="Times New Roman" w:hAnsi="Times New Roman" w:cs="Times New Roman"/>
          <w:bCs/>
          <w:sz w:val="24"/>
          <w:szCs w:val="24"/>
        </w:rPr>
        <w:t>Research articles, journals, and previous studies</w:t>
      </w:r>
    </w:p>
    <w:p w14:paraId="67BDB7FC" w14:textId="77777777" w:rsidR="00C52DF4" w:rsidRPr="00C52DF4" w:rsidRDefault="00C52DF4" w:rsidP="00C52DF4">
      <w:pPr>
        <w:numPr>
          <w:ilvl w:val="0"/>
          <w:numId w:val="5"/>
        </w:numPr>
        <w:spacing w:line="360" w:lineRule="auto"/>
        <w:jc w:val="both"/>
        <w:rPr>
          <w:rFonts w:ascii="Times New Roman" w:hAnsi="Times New Roman" w:cs="Times New Roman"/>
          <w:bCs/>
          <w:sz w:val="24"/>
          <w:szCs w:val="24"/>
        </w:rPr>
      </w:pPr>
      <w:r w:rsidRPr="00C52DF4">
        <w:rPr>
          <w:rFonts w:ascii="Times New Roman" w:hAnsi="Times New Roman" w:cs="Times New Roman"/>
          <w:bCs/>
          <w:sz w:val="24"/>
          <w:szCs w:val="24"/>
        </w:rPr>
        <w:t>Official websites of banks and regulatory bodies</w:t>
      </w:r>
    </w:p>
    <w:p w14:paraId="744823FF" w14:textId="77777777" w:rsidR="00C52DF4" w:rsidRPr="00C52DF4" w:rsidRDefault="00C52DF4" w:rsidP="00C52DF4">
      <w:pPr>
        <w:spacing w:line="360" w:lineRule="auto"/>
        <w:jc w:val="both"/>
        <w:rPr>
          <w:rFonts w:ascii="Times New Roman" w:hAnsi="Times New Roman" w:cs="Times New Roman"/>
          <w:bCs/>
          <w:sz w:val="24"/>
          <w:szCs w:val="24"/>
        </w:rPr>
      </w:pPr>
      <w:r w:rsidRPr="00C52DF4">
        <w:rPr>
          <w:rFonts w:ascii="Times New Roman" w:hAnsi="Times New Roman" w:cs="Times New Roman"/>
          <w:bCs/>
          <w:sz w:val="24"/>
          <w:szCs w:val="24"/>
        </w:rPr>
        <w:t>Secondary data is preferred due to its reliability, availability, and cost-effectiveness. However, where necessary, primary data may also be collected through interviews or structured questionnaires administered to bank officials, risk managers, and governance experts to gain insights into internal governance and risk management practices.</w:t>
      </w:r>
    </w:p>
    <w:p w14:paraId="41EFE6BB" w14:textId="77777777" w:rsidR="00C52DF4" w:rsidRPr="00C52DF4" w:rsidRDefault="00C52DF4" w:rsidP="00C52DF4">
      <w:pPr>
        <w:spacing w:line="360" w:lineRule="auto"/>
        <w:jc w:val="both"/>
        <w:rPr>
          <w:rFonts w:ascii="Times New Roman" w:hAnsi="Times New Roman" w:cs="Times New Roman"/>
          <w:b/>
          <w:sz w:val="24"/>
          <w:szCs w:val="24"/>
        </w:rPr>
      </w:pPr>
      <w:r w:rsidRPr="00C52DF4">
        <w:rPr>
          <w:rFonts w:ascii="Times New Roman" w:hAnsi="Times New Roman" w:cs="Times New Roman"/>
          <w:b/>
          <w:sz w:val="24"/>
          <w:szCs w:val="24"/>
        </w:rPr>
        <w:t>3.3 Sample Selection</w:t>
      </w:r>
    </w:p>
    <w:p w14:paraId="2B737CD6" w14:textId="77777777" w:rsidR="00C52DF4" w:rsidRPr="00C52DF4" w:rsidRDefault="00C52DF4" w:rsidP="00C52DF4">
      <w:pPr>
        <w:spacing w:line="360" w:lineRule="auto"/>
        <w:jc w:val="both"/>
        <w:rPr>
          <w:rFonts w:ascii="Times New Roman" w:hAnsi="Times New Roman" w:cs="Times New Roman"/>
          <w:bCs/>
          <w:sz w:val="24"/>
          <w:szCs w:val="24"/>
        </w:rPr>
      </w:pPr>
      <w:r w:rsidRPr="00C52DF4">
        <w:rPr>
          <w:rFonts w:ascii="Times New Roman" w:hAnsi="Times New Roman" w:cs="Times New Roman"/>
          <w:bCs/>
          <w:sz w:val="24"/>
          <w:szCs w:val="24"/>
        </w:rPr>
        <w:t xml:space="preserve">The study focuses on a sample of banks operating in the country, including both public sector banks and private sector banks. The sample size is determined based on data availability, </w:t>
      </w:r>
      <w:r w:rsidRPr="00C52DF4">
        <w:rPr>
          <w:rFonts w:ascii="Times New Roman" w:hAnsi="Times New Roman" w:cs="Times New Roman"/>
          <w:bCs/>
          <w:sz w:val="24"/>
          <w:szCs w:val="24"/>
        </w:rPr>
        <w:lastRenderedPageBreak/>
        <w:t>relevance, and representativeness to ensure balanced analysis. Banks are selected to represent different ownership structures, sizes, and market presence.</w:t>
      </w:r>
    </w:p>
    <w:p w14:paraId="05840F5D" w14:textId="77777777" w:rsidR="00C52DF4" w:rsidRPr="00C52DF4" w:rsidRDefault="00C52DF4" w:rsidP="00C52DF4">
      <w:pPr>
        <w:spacing w:line="360" w:lineRule="auto"/>
        <w:jc w:val="both"/>
        <w:rPr>
          <w:rFonts w:ascii="Times New Roman" w:hAnsi="Times New Roman" w:cs="Times New Roman"/>
          <w:b/>
          <w:sz w:val="24"/>
          <w:szCs w:val="24"/>
        </w:rPr>
      </w:pPr>
      <w:r w:rsidRPr="00C52DF4">
        <w:rPr>
          <w:rFonts w:ascii="Times New Roman" w:hAnsi="Times New Roman" w:cs="Times New Roman"/>
          <w:b/>
          <w:sz w:val="24"/>
          <w:szCs w:val="24"/>
        </w:rPr>
        <w:t>3.4 Variables and Measurement</w:t>
      </w:r>
    </w:p>
    <w:p w14:paraId="364E0939" w14:textId="77777777" w:rsidR="00C52DF4" w:rsidRPr="00C52DF4" w:rsidRDefault="00C52DF4" w:rsidP="00C52DF4">
      <w:pPr>
        <w:numPr>
          <w:ilvl w:val="0"/>
          <w:numId w:val="6"/>
        </w:numPr>
        <w:spacing w:line="360" w:lineRule="auto"/>
        <w:jc w:val="both"/>
        <w:rPr>
          <w:rFonts w:ascii="Times New Roman" w:hAnsi="Times New Roman" w:cs="Times New Roman"/>
          <w:bCs/>
          <w:sz w:val="24"/>
          <w:szCs w:val="24"/>
        </w:rPr>
      </w:pPr>
      <w:r w:rsidRPr="00C52DF4">
        <w:rPr>
          <w:rFonts w:ascii="Times New Roman" w:hAnsi="Times New Roman" w:cs="Times New Roman"/>
          <w:b/>
          <w:sz w:val="24"/>
          <w:szCs w:val="24"/>
        </w:rPr>
        <w:t>Corporate Governance Variables:</w:t>
      </w:r>
      <w:r w:rsidRPr="00C52DF4">
        <w:rPr>
          <w:rFonts w:ascii="Times New Roman" w:hAnsi="Times New Roman" w:cs="Times New Roman"/>
          <w:bCs/>
          <w:sz w:val="24"/>
          <w:szCs w:val="24"/>
        </w:rPr>
        <w:t xml:space="preserve"> Board size, board independence, presence of audit and risk committees, frequency of board meetings, and disclosure practices.</w:t>
      </w:r>
    </w:p>
    <w:p w14:paraId="6AC4B083" w14:textId="77777777" w:rsidR="00C52DF4" w:rsidRPr="00C52DF4" w:rsidRDefault="00C52DF4" w:rsidP="00C52DF4">
      <w:pPr>
        <w:numPr>
          <w:ilvl w:val="0"/>
          <w:numId w:val="6"/>
        </w:numPr>
        <w:spacing w:line="360" w:lineRule="auto"/>
        <w:jc w:val="both"/>
        <w:rPr>
          <w:rFonts w:ascii="Times New Roman" w:hAnsi="Times New Roman" w:cs="Times New Roman"/>
          <w:bCs/>
          <w:sz w:val="24"/>
          <w:szCs w:val="24"/>
        </w:rPr>
      </w:pPr>
      <w:r w:rsidRPr="00C52DF4">
        <w:rPr>
          <w:rFonts w:ascii="Times New Roman" w:hAnsi="Times New Roman" w:cs="Times New Roman"/>
          <w:b/>
          <w:sz w:val="24"/>
          <w:szCs w:val="24"/>
        </w:rPr>
        <w:t>Risk Management Variables:</w:t>
      </w:r>
      <w:r w:rsidRPr="00C52DF4">
        <w:rPr>
          <w:rFonts w:ascii="Times New Roman" w:hAnsi="Times New Roman" w:cs="Times New Roman"/>
          <w:bCs/>
          <w:sz w:val="24"/>
          <w:szCs w:val="24"/>
        </w:rPr>
        <w:t xml:space="preserve"> Credit risk exposure, market risk measures, operational risk controls, capital adequacy ratio (CAR), and Non-Performing Assets (NPAs).</w:t>
      </w:r>
    </w:p>
    <w:p w14:paraId="16B48582" w14:textId="77777777" w:rsidR="00C52DF4" w:rsidRPr="00C52DF4" w:rsidRDefault="00C52DF4" w:rsidP="00C52DF4">
      <w:pPr>
        <w:numPr>
          <w:ilvl w:val="0"/>
          <w:numId w:val="6"/>
        </w:numPr>
        <w:spacing w:line="360" w:lineRule="auto"/>
        <w:jc w:val="both"/>
        <w:rPr>
          <w:rFonts w:ascii="Times New Roman" w:hAnsi="Times New Roman" w:cs="Times New Roman"/>
          <w:bCs/>
          <w:sz w:val="24"/>
          <w:szCs w:val="24"/>
        </w:rPr>
      </w:pPr>
      <w:r w:rsidRPr="00C52DF4">
        <w:rPr>
          <w:rFonts w:ascii="Times New Roman" w:hAnsi="Times New Roman" w:cs="Times New Roman"/>
          <w:b/>
          <w:sz w:val="24"/>
          <w:szCs w:val="24"/>
        </w:rPr>
        <w:t>Performance Variables:</w:t>
      </w:r>
      <w:r w:rsidRPr="00C52DF4">
        <w:rPr>
          <w:rFonts w:ascii="Times New Roman" w:hAnsi="Times New Roman" w:cs="Times New Roman"/>
          <w:bCs/>
          <w:sz w:val="24"/>
          <w:szCs w:val="24"/>
        </w:rPr>
        <w:t xml:space="preserve"> Return on Assets (ROA), Return on Equity (ROE), Net Interest Margin (NIM), and Profitability Ratios.</w:t>
      </w:r>
    </w:p>
    <w:p w14:paraId="26727FB4" w14:textId="77777777" w:rsidR="00C52DF4" w:rsidRPr="00C52DF4" w:rsidRDefault="00C52DF4" w:rsidP="00C52DF4">
      <w:pPr>
        <w:spacing w:line="360" w:lineRule="auto"/>
        <w:jc w:val="both"/>
        <w:rPr>
          <w:rFonts w:ascii="Times New Roman" w:hAnsi="Times New Roman" w:cs="Times New Roman"/>
          <w:bCs/>
          <w:sz w:val="24"/>
          <w:szCs w:val="24"/>
        </w:rPr>
      </w:pPr>
      <w:r w:rsidRPr="00C52DF4">
        <w:rPr>
          <w:rFonts w:ascii="Times New Roman" w:hAnsi="Times New Roman" w:cs="Times New Roman"/>
          <w:bCs/>
          <w:sz w:val="24"/>
          <w:szCs w:val="24"/>
        </w:rPr>
        <w:t>These variables are measured using data from bank reports and regulatory disclosures.</w:t>
      </w:r>
    </w:p>
    <w:p w14:paraId="594EB533" w14:textId="77777777" w:rsidR="00C52DF4" w:rsidRPr="00C52DF4" w:rsidRDefault="00C52DF4" w:rsidP="00C52DF4">
      <w:pPr>
        <w:spacing w:line="360" w:lineRule="auto"/>
        <w:jc w:val="both"/>
        <w:rPr>
          <w:rFonts w:ascii="Times New Roman" w:hAnsi="Times New Roman" w:cs="Times New Roman"/>
          <w:b/>
          <w:sz w:val="24"/>
          <w:szCs w:val="24"/>
        </w:rPr>
      </w:pPr>
      <w:r w:rsidRPr="00C52DF4">
        <w:rPr>
          <w:rFonts w:ascii="Times New Roman" w:hAnsi="Times New Roman" w:cs="Times New Roman"/>
          <w:b/>
          <w:sz w:val="24"/>
          <w:szCs w:val="24"/>
        </w:rPr>
        <w:t>3.5 Data Analysis Techniques</w:t>
      </w:r>
    </w:p>
    <w:p w14:paraId="3B8A5A1E" w14:textId="77777777" w:rsidR="00C52DF4" w:rsidRPr="00C52DF4" w:rsidRDefault="00C52DF4" w:rsidP="00C52DF4">
      <w:pPr>
        <w:spacing w:line="360" w:lineRule="auto"/>
        <w:jc w:val="both"/>
        <w:rPr>
          <w:rFonts w:ascii="Times New Roman" w:hAnsi="Times New Roman" w:cs="Times New Roman"/>
          <w:bCs/>
          <w:sz w:val="24"/>
          <w:szCs w:val="24"/>
        </w:rPr>
      </w:pPr>
      <w:r w:rsidRPr="00C52DF4">
        <w:rPr>
          <w:rFonts w:ascii="Times New Roman" w:hAnsi="Times New Roman" w:cs="Times New Roman"/>
          <w:bCs/>
          <w:sz w:val="24"/>
          <w:szCs w:val="24"/>
        </w:rPr>
        <w:t>The study employs both quantitative and qualitative analysis methods:</w:t>
      </w:r>
    </w:p>
    <w:p w14:paraId="45AFFCA7" w14:textId="77777777" w:rsidR="00C52DF4" w:rsidRPr="00C52DF4" w:rsidRDefault="00C52DF4" w:rsidP="00C52DF4">
      <w:pPr>
        <w:numPr>
          <w:ilvl w:val="0"/>
          <w:numId w:val="7"/>
        </w:numPr>
        <w:spacing w:line="360" w:lineRule="auto"/>
        <w:jc w:val="both"/>
        <w:rPr>
          <w:rFonts w:ascii="Times New Roman" w:hAnsi="Times New Roman" w:cs="Times New Roman"/>
          <w:bCs/>
          <w:sz w:val="24"/>
          <w:szCs w:val="24"/>
        </w:rPr>
      </w:pPr>
      <w:r w:rsidRPr="00C52DF4">
        <w:rPr>
          <w:rFonts w:ascii="Times New Roman" w:hAnsi="Times New Roman" w:cs="Times New Roman"/>
          <w:bCs/>
          <w:sz w:val="24"/>
          <w:szCs w:val="24"/>
        </w:rPr>
        <w:t>Descriptive statistics such as mean, median, and standard deviation to summarize data.</w:t>
      </w:r>
    </w:p>
    <w:p w14:paraId="0B7C5EA6" w14:textId="77777777" w:rsidR="00C52DF4" w:rsidRPr="00C52DF4" w:rsidRDefault="00C52DF4" w:rsidP="00C52DF4">
      <w:pPr>
        <w:numPr>
          <w:ilvl w:val="0"/>
          <w:numId w:val="7"/>
        </w:numPr>
        <w:spacing w:line="360" w:lineRule="auto"/>
        <w:jc w:val="both"/>
        <w:rPr>
          <w:rFonts w:ascii="Times New Roman" w:hAnsi="Times New Roman" w:cs="Times New Roman"/>
          <w:bCs/>
          <w:sz w:val="24"/>
          <w:szCs w:val="24"/>
        </w:rPr>
      </w:pPr>
      <w:r w:rsidRPr="00C52DF4">
        <w:rPr>
          <w:rFonts w:ascii="Times New Roman" w:hAnsi="Times New Roman" w:cs="Times New Roman"/>
          <w:bCs/>
          <w:sz w:val="24"/>
          <w:szCs w:val="24"/>
        </w:rPr>
        <w:t>Correlation analysis to explore relationships between governance, risk management, and performance indicators.</w:t>
      </w:r>
    </w:p>
    <w:p w14:paraId="3D47C0D3" w14:textId="77777777" w:rsidR="00C52DF4" w:rsidRPr="00C52DF4" w:rsidRDefault="00C52DF4" w:rsidP="00C52DF4">
      <w:pPr>
        <w:numPr>
          <w:ilvl w:val="0"/>
          <w:numId w:val="7"/>
        </w:numPr>
        <w:spacing w:line="360" w:lineRule="auto"/>
        <w:jc w:val="both"/>
        <w:rPr>
          <w:rFonts w:ascii="Times New Roman" w:hAnsi="Times New Roman" w:cs="Times New Roman"/>
          <w:bCs/>
          <w:sz w:val="24"/>
          <w:szCs w:val="24"/>
        </w:rPr>
      </w:pPr>
      <w:r w:rsidRPr="00C52DF4">
        <w:rPr>
          <w:rFonts w:ascii="Times New Roman" w:hAnsi="Times New Roman" w:cs="Times New Roman"/>
          <w:bCs/>
          <w:sz w:val="24"/>
          <w:szCs w:val="24"/>
        </w:rPr>
        <w:t>Regression analysis to determine the impact of independent variables (governance and risk factors) on dependent variables (bank performance).</w:t>
      </w:r>
    </w:p>
    <w:p w14:paraId="04BD332D" w14:textId="77777777" w:rsidR="00C52DF4" w:rsidRPr="00C52DF4" w:rsidRDefault="00C52DF4" w:rsidP="00C52DF4">
      <w:pPr>
        <w:numPr>
          <w:ilvl w:val="0"/>
          <w:numId w:val="7"/>
        </w:numPr>
        <w:spacing w:line="360" w:lineRule="auto"/>
        <w:jc w:val="both"/>
        <w:rPr>
          <w:rFonts w:ascii="Times New Roman" w:hAnsi="Times New Roman" w:cs="Times New Roman"/>
          <w:bCs/>
          <w:sz w:val="24"/>
          <w:szCs w:val="24"/>
        </w:rPr>
      </w:pPr>
      <w:r w:rsidRPr="00C52DF4">
        <w:rPr>
          <w:rFonts w:ascii="Times New Roman" w:hAnsi="Times New Roman" w:cs="Times New Roman"/>
          <w:bCs/>
          <w:sz w:val="24"/>
          <w:szCs w:val="24"/>
        </w:rPr>
        <w:t>Comparative analysis between public and private banks to identify sectoral differences.</w:t>
      </w:r>
    </w:p>
    <w:p w14:paraId="6960F4A0" w14:textId="77777777" w:rsidR="00C52DF4" w:rsidRPr="00C52DF4" w:rsidRDefault="00C52DF4" w:rsidP="00C52DF4">
      <w:pPr>
        <w:spacing w:line="360" w:lineRule="auto"/>
        <w:jc w:val="both"/>
        <w:rPr>
          <w:rFonts w:ascii="Times New Roman" w:hAnsi="Times New Roman" w:cs="Times New Roman"/>
          <w:bCs/>
          <w:sz w:val="24"/>
          <w:szCs w:val="24"/>
        </w:rPr>
      </w:pPr>
      <w:r w:rsidRPr="00C52DF4">
        <w:rPr>
          <w:rFonts w:ascii="Times New Roman" w:hAnsi="Times New Roman" w:cs="Times New Roman"/>
          <w:bCs/>
          <w:sz w:val="24"/>
          <w:szCs w:val="24"/>
        </w:rPr>
        <w:t>Software tools like SPSS, Excel, or Stata may be used to facilitate statistical analysis.</w:t>
      </w:r>
    </w:p>
    <w:p w14:paraId="4FB187AA" w14:textId="77777777" w:rsidR="00C52DF4" w:rsidRPr="00C52DF4" w:rsidRDefault="00C52DF4" w:rsidP="00C52DF4">
      <w:pPr>
        <w:spacing w:line="360" w:lineRule="auto"/>
        <w:jc w:val="both"/>
        <w:rPr>
          <w:rFonts w:ascii="Times New Roman" w:hAnsi="Times New Roman" w:cs="Times New Roman"/>
          <w:b/>
          <w:sz w:val="24"/>
          <w:szCs w:val="24"/>
        </w:rPr>
      </w:pPr>
      <w:r w:rsidRPr="00C52DF4">
        <w:rPr>
          <w:rFonts w:ascii="Times New Roman" w:hAnsi="Times New Roman" w:cs="Times New Roman"/>
          <w:b/>
          <w:sz w:val="24"/>
          <w:szCs w:val="24"/>
        </w:rPr>
        <w:t>3.6 Limitations of the Methodology</w:t>
      </w:r>
    </w:p>
    <w:p w14:paraId="68AE645D" w14:textId="77777777" w:rsidR="00C52DF4" w:rsidRPr="00C52DF4" w:rsidRDefault="00C52DF4" w:rsidP="00C52DF4">
      <w:pPr>
        <w:spacing w:line="360" w:lineRule="auto"/>
        <w:jc w:val="both"/>
        <w:rPr>
          <w:rFonts w:ascii="Times New Roman" w:hAnsi="Times New Roman" w:cs="Times New Roman"/>
          <w:bCs/>
          <w:sz w:val="24"/>
          <w:szCs w:val="24"/>
        </w:rPr>
      </w:pPr>
      <w:r w:rsidRPr="00C52DF4">
        <w:rPr>
          <w:rFonts w:ascii="Times New Roman" w:hAnsi="Times New Roman" w:cs="Times New Roman"/>
          <w:bCs/>
          <w:sz w:val="24"/>
          <w:szCs w:val="24"/>
        </w:rPr>
        <w:t>The research methodology is subject to certain limitations, including dependency on secondary data which may not fully capture internal governance dynamics. The sample size and geographical focus might limit the generalizability of findings. Additionally, qualitative aspects of governance and risk management may not be entirely quantifiable, potentially affecting the accuracy of the analysis.</w:t>
      </w:r>
    </w:p>
    <w:p w14:paraId="6139C34D" w14:textId="77777777" w:rsidR="00810C77" w:rsidRDefault="00810C77" w:rsidP="00810C77">
      <w:pPr>
        <w:rPr>
          <w:rFonts w:ascii="Times New Roman" w:hAnsi="Times New Roman" w:cs="Times New Roman"/>
          <w:b/>
          <w:sz w:val="24"/>
          <w:szCs w:val="24"/>
        </w:rPr>
      </w:pPr>
    </w:p>
    <w:p w14:paraId="41FF5F04" w14:textId="77777777" w:rsidR="00C52DF4" w:rsidRDefault="00C52DF4" w:rsidP="00810C77">
      <w:pPr>
        <w:rPr>
          <w:rFonts w:ascii="Times New Roman" w:hAnsi="Times New Roman" w:cs="Times New Roman"/>
          <w:b/>
          <w:sz w:val="24"/>
          <w:szCs w:val="24"/>
        </w:rPr>
      </w:pPr>
    </w:p>
    <w:p w14:paraId="2B271C1B" w14:textId="77777777" w:rsidR="00C52DF4" w:rsidRDefault="00C52DF4" w:rsidP="00810C77">
      <w:pPr>
        <w:rPr>
          <w:rFonts w:ascii="Times New Roman" w:hAnsi="Times New Roman" w:cs="Times New Roman"/>
          <w:b/>
          <w:sz w:val="24"/>
          <w:szCs w:val="24"/>
        </w:rPr>
      </w:pPr>
    </w:p>
    <w:p w14:paraId="3F4FF0F8" w14:textId="77777777" w:rsidR="00C52DF4" w:rsidRPr="0078607C" w:rsidRDefault="00C52DF4" w:rsidP="00C52DF4">
      <w:pPr>
        <w:spacing w:line="360" w:lineRule="auto"/>
        <w:jc w:val="center"/>
        <w:rPr>
          <w:rFonts w:ascii="Times New Roman" w:hAnsi="Times New Roman" w:cs="Times New Roman"/>
          <w:sz w:val="24"/>
          <w:szCs w:val="24"/>
        </w:rPr>
      </w:pPr>
      <w:bookmarkStart w:id="5" w:name="_Hlk203212469"/>
      <w:r w:rsidRPr="0078607C">
        <w:rPr>
          <w:rFonts w:ascii="Times New Roman" w:hAnsi="Times New Roman" w:cs="Times New Roman"/>
          <w:b/>
          <w:sz w:val="24"/>
          <w:szCs w:val="24"/>
          <w:lang w:val="en-US"/>
        </w:rPr>
        <w:lastRenderedPageBreak/>
        <w:t>CHAPTER – IV</w:t>
      </w:r>
    </w:p>
    <w:p w14:paraId="78DC2FA9" w14:textId="77777777" w:rsidR="00C52DF4" w:rsidRDefault="00C52DF4" w:rsidP="00C52DF4">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321D50DE" w14:textId="77777777" w:rsidR="00C52DF4" w:rsidRPr="004D7E4B" w:rsidRDefault="00C52DF4" w:rsidP="00C52DF4">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C52DF4" w:rsidRPr="004D7E4B" w14:paraId="5754F7CD" w14:textId="77777777" w:rsidTr="009067DA">
        <w:trPr>
          <w:trHeight w:val="506"/>
        </w:trPr>
        <w:tc>
          <w:tcPr>
            <w:tcW w:w="3077" w:type="dxa"/>
            <w:tcBorders>
              <w:top w:val="single" w:sz="4" w:space="0" w:color="auto"/>
              <w:left w:val="single" w:sz="4" w:space="0" w:color="auto"/>
              <w:bottom w:val="single" w:sz="4" w:space="0" w:color="auto"/>
              <w:right w:val="single" w:sz="4" w:space="0" w:color="auto"/>
            </w:tcBorders>
            <w:hideMark/>
          </w:tcPr>
          <w:p w14:paraId="29B432D6" w14:textId="77777777" w:rsidR="00C52DF4" w:rsidRPr="004D7E4B" w:rsidRDefault="00C52DF4"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010EFB96" w14:textId="77777777" w:rsidR="00C52DF4" w:rsidRPr="004D7E4B" w:rsidRDefault="00C52DF4"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36D653AD" w14:textId="77777777" w:rsidR="00C52DF4" w:rsidRPr="004D7E4B" w:rsidRDefault="00C52DF4"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C52DF4" w:rsidRPr="004D7E4B" w14:paraId="1DBC8D19" w14:textId="77777777" w:rsidTr="009067DA">
        <w:trPr>
          <w:trHeight w:val="506"/>
        </w:trPr>
        <w:tc>
          <w:tcPr>
            <w:tcW w:w="3077" w:type="dxa"/>
            <w:tcBorders>
              <w:top w:val="single" w:sz="4" w:space="0" w:color="auto"/>
              <w:left w:val="single" w:sz="4" w:space="0" w:color="auto"/>
              <w:bottom w:val="single" w:sz="4" w:space="0" w:color="auto"/>
              <w:right w:val="single" w:sz="4" w:space="0" w:color="auto"/>
            </w:tcBorders>
            <w:hideMark/>
          </w:tcPr>
          <w:p w14:paraId="71B3649D" w14:textId="5EBB123A" w:rsidR="00C52DF4" w:rsidRPr="004D7E4B" w:rsidRDefault="00C52DF4" w:rsidP="009067DA">
            <w:pPr>
              <w:spacing w:line="360" w:lineRule="auto"/>
              <w:jc w:val="center"/>
              <w:rPr>
                <w:rFonts w:ascii="Times New Roman" w:hAnsi="Times New Roman" w:cs="Times New Roman"/>
                <w:b/>
                <w:sz w:val="24"/>
                <w:szCs w:val="24"/>
                <w:lang w:val="en-US"/>
              </w:rPr>
            </w:pPr>
            <w:r w:rsidRPr="00C52DF4">
              <w:rPr>
                <w:rFonts w:ascii="Times New Roman" w:hAnsi="Times New Roman" w:cs="Times New Roman"/>
                <w:b/>
                <w:sz w:val="24"/>
                <w:szCs w:val="24"/>
              </w:rPr>
              <w:t>20 – 30</w:t>
            </w:r>
          </w:p>
        </w:tc>
        <w:tc>
          <w:tcPr>
            <w:tcW w:w="3185" w:type="dxa"/>
            <w:tcBorders>
              <w:top w:val="single" w:sz="4" w:space="0" w:color="auto"/>
              <w:left w:val="single" w:sz="4" w:space="0" w:color="auto"/>
              <w:bottom w:val="single" w:sz="4" w:space="0" w:color="auto"/>
              <w:right w:val="single" w:sz="4" w:space="0" w:color="auto"/>
            </w:tcBorders>
            <w:hideMark/>
          </w:tcPr>
          <w:p w14:paraId="0A27BF85" w14:textId="510BFB2F" w:rsidR="00C52DF4" w:rsidRPr="004D7E4B" w:rsidRDefault="00C52DF4"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p>
        </w:tc>
        <w:tc>
          <w:tcPr>
            <w:tcW w:w="3185" w:type="dxa"/>
            <w:tcBorders>
              <w:top w:val="single" w:sz="4" w:space="0" w:color="auto"/>
              <w:left w:val="single" w:sz="4" w:space="0" w:color="auto"/>
              <w:bottom w:val="single" w:sz="4" w:space="0" w:color="auto"/>
              <w:right w:val="single" w:sz="4" w:space="0" w:color="auto"/>
            </w:tcBorders>
            <w:hideMark/>
          </w:tcPr>
          <w:p w14:paraId="31EAF4C2" w14:textId="1244DCE4" w:rsidR="00C52DF4" w:rsidRPr="004D7E4B" w:rsidRDefault="00C52DF4"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31.25</w:t>
            </w:r>
            <w:r w:rsidRPr="004D7E4B">
              <w:rPr>
                <w:rFonts w:ascii="Times New Roman" w:hAnsi="Times New Roman" w:cs="Times New Roman"/>
                <w:b/>
                <w:sz w:val="24"/>
                <w:szCs w:val="24"/>
                <w:lang w:val="en-US"/>
              </w:rPr>
              <w:t>%</w:t>
            </w:r>
          </w:p>
        </w:tc>
      </w:tr>
      <w:tr w:rsidR="00C52DF4" w:rsidRPr="004D7E4B" w14:paraId="72F28AF5" w14:textId="77777777" w:rsidTr="009067DA">
        <w:trPr>
          <w:trHeight w:val="506"/>
        </w:trPr>
        <w:tc>
          <w:tcPr>
            <w:tcW w:w="3077" w:type="dxa"/>
            <w:tcBorders>
              <w:top w:val="single" w:sz="4" w:space="0" w:color="auto"/>
              <w:left w:val="single" w:sz="4" w:space="0" w:color="auto"/>
              <w:bottom w:val="single" w:sz="4" w:space="0" w:color="auto"/>
              <w:right w:val="single" w:sz="4" w:space="0" w:color="auto"/>
            </w:tcBorders>
            <w:hideMark/>
          </w:tcPr>
          <w:p w14:paraId="657DAAA8" w14:textId="4D7DF1DB" w:rsidR="00C52DF4" w:rsidRPr="004D7E4B" w:rsidRDefault="00C52DF4" w:rsidP="009067DA">
            <w:pPr>
              <w:spacing w:line="360" w:lineRule="auto"/>
              <w:jc w:val="center"/>
              <w:rPr>
                <w:rFonts w:ascii="Times New Roman" w:hAnsi="Times New Roman" w:cs="Times New Roman"/>
                <w:b/>
                <w:sz w:val="24"/>
                <w:szCs w:val="24"/>
                <w:lang w:val="en-US"/>
              </w:rPr>
            </w:pPr>
            <w:r w:rsidRPr="00C52DF4">
              <w:rPr>
                <w:rFonts w:ascii="Times New Roman" w:hAnsi="Times New Roman" w:cs="Times New Roman"/>
                <w:b/>
                <w:sz w:val="24"/>
                <w:szCs w:val="24"/>
              </w:rPr>
              <w:t>31 – 40</w:t>
            </w:r>
          </w:p>
        </w:tc>
        <w:tc>
          <w:tcPr>
            <w:tcW w:w="3185" w:type="dxa"/>
            <w:tcBorders>
              <w:top w:val="single" w:sz="4" w:space="0" w:color="auto"/>
              <w:left w:val="single" w:sz="4" w:space="0" w:color="auto"/>
              <w:bottom w:val="single" w:sz="4" w:space="0" w:color="auto"/>
              <w:right w:val="single" w:sz="4" w:space="0" w:color="auto"/>
            </w:tcBorders>
            <w:hideMark/>
          </w:tcPr>
          <w:p w14:paraId="2108E02D" w14:textId="07190917" w:rsidR="00C52DF4" w:rsidRPr="004D7E4B" w:rsidRDefault="00C52DF4"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p>
        </w:tc>
        <w:tc>
          <w:tcPr>
            <w:tcW w:w="3185" w:type="dxa"/>
            <w:tcBorders>
              <w:top w:val="single" w:sz="4" w:space="0" w:color="auto"/>
              <w:left w:val="single" w:sz="4" w:space="0" w:color="auto"/>
              <w:bottom w:val="single" w:sz="4" w:space="0" w:color="auto"/>
              <w:right w:val="single" w:sz="4" w:space="0" w:color="auto"/>
            </w:tcBorders>
            <w:hideMark/>
          </w:tcPr>
          <w:p w14:paraId="6C8CDC76" w14:textId="0F847EC6" w:rsidR="00C52DF4" w:rsidRPr="004D7E4B" w:rsidRDefault="00C52DF4"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37.</w:t>
            </w:r>
            <w:r>
              <w:rPr>
                <w:rFonts w:ascii="Times New Roman" w:hAnsi="Times New Roman" w:cs="Times New Roman"/>
                <w:b/>
                <w:sz w:val="24"/>
                <w:szCs w:val="24"/>
                <w:lang w:val="en-US"/>
              </w:rPr>
              <w:t>50</w:t>
            </w:r>
            <w:r w:rsidRPr="004D7E4B">
              <w:rPr>
                <w:rFonts w:ascii="Times New Roman" w:hAnsi="Times New Roman" w:cs="Times New Roman"/>
                <w:b/>
                <w:sz w:val="24"/>
                <w:szCs w:val="24"/>
                <w:lang w:val="en-US"/>
              </w:rPr>
              <w:t>%</w:t>
            </w:r>
          </w:p>
        </w:tc>
      </w:tr>
      <w:tr w:rsidR="00C52DF4" w:rsidRPr="004D7E4B" w14:paraId="0D3AAFF4" w14:textId="77777777" w:rsidTr="009067DA">
        <w:trPr>
          <w:trHeight w:val="496"/>
        </w:trPr>
        <w:tc>
          <w:tcPr>
            <w:tcW w:w="3077" w:type="dxa"/>
            <w:tcBorders>
              <w:top w:val="single" w:sz="4" w:space="0" w:color="auto"/>
              <w:left w:val="single" w:sz="4" w:space="0" w:color="auto"/>
              <w:bottom w:val="single" w:sz="4" w:space="0" w:color="auto"/>
              <w:right w:val="single" w:sz="4" w:space="0" w:color="auto"/>
            </w:tcBorders>
            <w:hideMark/>
          </w:tcPr>
          <w:p w14:paraId="5DC9CF04" w14:textId="68878DB5" w:rsidR="00C52DF4" w:rsidRPr="004D7E4B" w:rsidRDefault="00C52DF4" w:rsidP="009067DA">
            <w:pPr>
              <w:spacing w:line="360" w:lineRule="auto"/>
              <w:jc w:val="center"/>
              <w:rPr>
                <w:rFonts w:ascii="Times New Roman" w:hAnsi="Times New Roman" w:cs="Times New Roman"/>
                <w:b/>
                <w:sz w:val="24"/>
                <w:szCs w:val="24"/>
                <w:lang w:val="en-US"/>
              </w:rPr>
            </w:pPr>
            <w:r w:rsidRPr="00C52DF4">
              <w:rPr>
                <w:rFonts w:ascii="Times New Roman" w:hAnsi="Times New Roman" w:cs="Times New Roman"/>
                <w:b/>
                <w:sz w:val="24"/>
                <w:szCs w:val="24"/>
              </w:rPr>
              <w:t>41 – 50</w:t>
            </w:r>
          </w:p>
        </w:tc>
        <w:tc>
          <w:tcPr>
            <w:tcW w:w="3185" w:type="dxa"/>
            <w:tcBorders>
              <w:top w:val="single" w:sz="4" w:space="0" w:color="auto"/>
              <w:left w:val="single" w:sz="4" w:space="0" w:color="auto"/>
              <w:bottom w:val="single" w:sz="4" w:space="0" w:color="auto"/>
              <w:right w:val="single" w:sz="4" w:space="0" w:color="auto"/>
            </w:tcBorders>
            <w:hideMark/>
          </w:tcPr>
          <w:p w14:paraId="2217A997" w14:textId="30B0C1E9" w:rsidR="00C52DF4" w:rsidRPr="004D7E4B" w:rsidRDefault="00C52DF4"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hideMark/>
          </w:tcPr>
          <w:p w14:paraId="00D1D73B" w14:textId="11CA61A8" w:rsidR="00C52DF4" w:rsidRPr="004D7E4B" w:rsidRDefault="00C52DF4"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18.75</w:t>
            </w:r>
            <w:r w:rsidRPr="004D7E4B">
              <w:rPr>
                <w:rFonts w:ascii="Times New Roman" w:hAnsi="Times New Roman" w:cs="Times New Roman"/>
                <w:b/>
                <w:sz w:val="24"/>
                <w:szCs w:val="24"/>
                <w:lang w:val="en-US"/>
              </w:rPr>
              <w:t>%</w:t>
            </w:r>
          </w:p>
        </w:tc>
      </w:tr>
      <w:tr w:rsidR="00C52DF4" w14:paraId="26FFBA96" w14:textId="77777777" w:rsidTr="009067DA">
        <w:trPr>
          <w:trHeight w:val="496"/>
        </w:trPr>
        <w:tc>
          <w:tcPr>
            <w:tcW w:w="3077" w:type="dxa"/>
            <w:tcBorders>
              <w:top w:val="single" w:sz="4" w:space="0" w:color="auto"/>
              <w:left w:val="single" w:sz="4" w:space="0" w:color="auto"/>
              <w:bottom w:val="single" w:sz="4" w:space="0" w:color="auto"/>
              <w:right w:val="single" w:sz="4" w:space="0" w:color="auto"/>
            </w:tcBorders>
          </w:tcPr>
          <w:p w14:paraId="1F7CDBFD" w14:textId="4158D85A" w:rsidR="00C52DF4" w:rsidRPr="00EE3350" w:rsidRDefault="00C52DF4" w:rsidP="009067DA">
            <w:pPr>
              <w:spacing w:line="360" w:lineRule="auto"/>
              <w:jc w:val="center"/>
              <w:rPr>
                <w:rFonts w:ascii="Times New Roman" w:hAnsi="Times New Roman" w:cs="Times New Roman"/>
                <w:b/>
                <w:sz w:val="24"/>
                <w:szCs w:val="24"/>
              </w:rPr>
            </w:pPr>
            <w:r w:rsidRPr="00C52DF4">
              <w:rPr>
                <w:rFonts w:ascii="Times New Roman" w:hAnsi="Times New Roman" w:cs="Times New Roman"/>
                <w:b/>
                <w:sz w:val="24"/>
                <w:szCs w:val="24"/>
              </w:rPr>
              <w:t>51 and above</w:t>
            </w:r>
          </w:p>
        </w:tc>
        <w:tc>
          <w:tcPr>
            <w:tcW w:w="3185" w:type="dxa"/>
            <w:tcBorders>
              <w:top w:val="single" w:sz="4" w:space="0" w:color="auto"/>
              <w:left w:val="single" w:sz="4" w:space="0" w:color="auto"/>
              <w:bottom w:val="single" w:sz="4" w:space="0" w:color="auto"/>
              <w:right w:val="single" w:sz="4" w:space="0" w:color="auto"/>
            </w:tcBorders>
          </w:tcPr>
          <w:p w14:paraId="14104EAB" w14:textId="5AE66AA7" w:rsidR="00C52DF4" w:rsidRDefault="00C52DF4"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tcPr>
          <w:p w14:paraId="50A6B878" w14:textId="1C11181D" w:rsidR="00C52DF4" w:rsidRDefault="00C52DF4"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12.5</w:t>
            </w:r>
            <w:r>
              <w:rPr>
                <w:rFonts w:ascii="Times New Roman" w:hAnsi="Times New Roman" w:cs="Times New Roman"/>
                <w:b/>
                <w:sz w:val="24"/>
                <w:szCs w:val="24"/>
                <w:lang w:val="en-US"/>
              </w:rPr>
              <w:t>0</w:t>
            </w:r>
            <w:r>
              <w:rPr>
                <w:rFonts w:ascii="Times New Roman" w:hAnsi="Times New Roman" w:cs="Times New Roman"/>
                <w:b/>
                <w:sz w:val="24"/>
                <w:szCs w:val="24"/>
                <w:lang w:val="en-US"/>
              </w:rPr>
              <w:t>%</w:t>
            </w:r>
          </w:p>
        </w:tc>
      </w:tr>
      <w:tr w:rsidR="00C52DF4" w:rsidRPr="004D7E4B" w14:paraId="70225CAD" w14:textId="77777777" w:rsidTr="009067DA">
        <w:trPr>
          <w:trHeight w:val="516"/>
        </w:trPr>
        <w:tc>
          <w:tcPr>
            <w:tcW w:w="3077" w:type="dxa"/>
            <w:tcBorders>
              <w:top w:val="single" w:sz="4" w:space="0" w:color="auto"/>
              <w:left w:val="single" w:sz="4" w:space="0" w:color="auto"/>
              <w:bottom w:val="single" w:sz="4" w:space="0" w:color="auto"/>
              <w:right w:val="single" w:sz="4" w:space="0" w:color="auto"/>
            </w:tcBorders>
            <w:hideMark/>
          </w:tcPr>
          <w:p w14:paraId="3BA5C656" w14:textId="77777777" w:rsidR="00C52DF4" w:rsidRPr="004D7E4B" w:rsidRDefault="00C52DF4"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61B6B3C5" w14:textId="76FEA79C" w:rsidR="00C52DF4" w:rsidRPr="004D7E4B" w:rsidRDefault="00C52DF4"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80</w:t>
            </w:r>
          </w:p>
        </w:tc>
        <w:tc>
          <w:tcPr>
            <w:tcW w:w="3185" w:type="dxa"/>
            <w:tcBorders>
              <w:top w:val="single" w:sz="4" w:space="0" w:color="auto"/>
              <w:left w:val="single" w:sz="4" w:space="0" w:color="auto"/>
              <w:bottom w:val="single" w:sz="4" w:space="0" w:color="auto"/>
              <w:right w:val="single" w:sz="4" w:space="0" w:color="auto"/>
            </w:tcBorders>
            <w:hideMark/>
          </w:tcPr>
          <w:p w14:paraId="391B874D" w14:textId="77777777" w:rsidR="00C52DF4" w:rsidRPr="004D7E4B" w:rsidRDefault="00C52DF4"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714A5287" w14:textId="77777777" w:rsidR="00C52DF4" w:rsidRDefault="00C52DF4" w:rsidP="00C52DF4">
      <w:pPr>
        <w:spacing w:line="360" w:lineRule="auto"/>
        <w:rPr>
          <w:rFonts w:ascii="Times New Roman" w:hAnsi="Times New Roman" w:cs="Times New Roman"/>
          <w:b/>
          <w:sz w:val="24"/>
          <w:szCs w:val="24"/>
          <w:lang w:val="en-US"/>
        </w:rPr>
      </w:pPr>
    </w:p>
    <w:p w14:paraId="4B4D04A5" w14:textId="77777777" w:rsidR="00C52DF4" w:rsidRDefault="00C52DF4" w:rsidP="00C52DF4">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5"/>
    <w:p w14:paraId="51A65F2D" w14:textId="77777777" w:rsidR="00C52DF4" w:rsidRPr="00C52DF4" w:rsidRDefault="00C52DF4" w:rsidP="00C52DF4">
      <w:pPr>
        <w:spacing w:line="360" w:lineRule="auto"/>
        <w:jc w:val="both"/>
        <w:rPr>
          <w:rFonts w:ascii="Times New Roman" w:hAnsi="Times New Roman" w:cs="Times New Roman"/>
          <w:bCs/>
          <w:sz w:val="24"/>
          <w:szCs w:val="24"/>
        </w:rPr>
      </w:pPr>
      <w:r w:rsidRPr="00C52DF4">
        <w:rPr>
          <w:rFonts w:ascii="Times New Roman" w:hAnsi="Times New Roman" w:cs="Times New Roman"/>
          <w:bCs/>
          <w:sz w:val="24"/>
          <w:szCs w:val="24"/>
        </w:rPr>
        <w:t>From the data, it is evident that the majority of respondents (37.5%) belong to the age group of 31-40 years, followed by 31.25% in the 20-30 years bracket. This suggests that a significant portion of the respondents are young to middle-aged professionals, likely to be actively involved in the day-to-day governance and risk management activities of banks. The relatively smaller proportion of respondents above 50 years might represent senior management or long-serving staff who bring valuable experience.</w:t>
      </w:r>
    </w:p>
    <w:p w14:paraId="769E2154" w14:textId="77777777" w:rsidR="00C52DF4" w:rsidRPr="00C52DF4" w:rsidRDefault="00C52DF4" w:rsidP="00C52DF4">
      <w:pPr>
        <w:spacing w:line="360" w:lineRule="auto"/>
        <w:jc w:val="both"/>
        <w:rPr>
          <w:rFonts w:ascii="Times New Roman" w:hAnsi="Times New Roman" w:cs="Times New Roman"/>
          <w:bCs/>
          <w:sz w:val="24"/>
          <w:szCs w:val="24"/>
        </w:rPr>
      </w:pPr>
      <w:r w:rsidRPr="00C52DF4">
        <w:rPr>
          <w:rFonts w:ascii="Times New Roman" w:hAnsi="Times New Roman" w:cs="Times New Roman"/>
          <w:bCs/>
          <w:sz w:val="24"/>
          <w:szCs w:val="24"/>
        </w:rPr>
        <w:t>The distribution indicates a balanced mix of fresh perspectives and seasoned insights, which can enrich the study’s findings on corporate governance and risk management practices. Younger respondents may provide innovative views on risk mitigation using new technologies, while older respondents may highlight traditional governance challenges and solutions.</w:t>
      </w:r>
    </w:p>
    <w:p w14:paraId="17CA5D6D" w14:textId="77777777" w:rsidR="00C52DF4" w:rsidRDefault="00C52DF4" w:rsidP="00C52DF4">
      <w:pPr>
        <w:spacing w:line="360" w:lineRule="auto"/>
        <w:jc w:val="both"/>
        <w:rPr>
          <w:rFonts w:ascii="Times New Roman" w:hAnsi="Times New Roman" w:cs="Times New Roman"/>
          <w:bCs/>
          <w:sz w:val="24"/>
          <w:szCs w:val="24"/>
          <w:lang w:val="en-US"/>
        </w:rPr>
      </w:pPr>
    </w:p>
    <w:p w14:paraId="1237AFCF" w14:textId="77777777" w:rsidR="00C52DF4" w:rsidRDefault="00C52DF4" w:rsidP="00C52DF4">
      <w:pPr>
        <w:spacing w:line="360" w:lineRule="auto"/>
        <w:jc w:val="both"/>
        <w:rPr>
          <w:rFonts w:ascii="Times New Roman" w:hAnsi="Times New Roman" w:cs="Times New Roman"/>
          <w:bCs/>
          <w:sz w:val="24"/>
          <w:szCs w:val="24"/>
          <w:lang w:val="en-US"/>
        </w:rPr>
      </w:pPr>
    </w:p>
    <w:p w14:paraId="72BCB816" w14:textId="77777777" w:rsidR="00C52DF4" w:rsidRDefault="00C52DF4" w:rsidP="00C52DF4">
      <w:pPr>
        <w:spacing w:line="360" w:lineRule="auto"/>
        <w:jc w:val="both"/>
        <w:rPr>
          <w:rFonts w:ascii="Times New Roman" w:hAnsi="Times New Roman" w:cs="Times New Roman"/>
          <w:bCs/>
          <w:sz w:val="24"/>
          <w:szCs w:val="24"/>
          <w:lang w:val="en-US"/>
        </w:rPr>
      </w:pPr>
    </w:p>
    <w:p w14:paraId="0A4A0693" w14:textId="77777777" w:rsidR="00C52DF4" w:rsidRDefault="00C52DF4" w:rsidP="00C52DF4">
      <w:pPr>
        <w:spacing w:line="360" w:lineRule="auto"/>
        <w:jc w:val="both"/>
        <w:rPr>
          <w:rFonts w:ascii="Times New Roman" w:hAnsi="Times New Roman" w:cs="Times New Roman"/>
          <w:bCs/>
          <w:sz w:val="24"/>
          <w:szCs w:val="24"/>
          <w:lang w:val="en-US"/>
        </w:rPr>
      </w:pPr>
    </w:p>
    <w:p w14:paraId="77654C44" w14:textId="77777777" w:rsidR="00C52DF4" w:rsidRDefault="00C52DF4" w:rsidP="00C52DF4">
      <w:pPr>
        <w:spacing w:line="360" w:lineRule="auto"/>
        <w:jc w:val="both"/>
        <w:rPr>
          <w:rFonts w:ascii="Times New Roman" w:hAnsi="Times New Roman" w:cs="Times New Roman"/>
          <w:bCs/>
          <w:sz w:val="24"/>
          <w:szCs w:val="24"/>
          <w:lang w:val="en-US"/>
        </w:rPr>
      </w:pPr>
    </w:p>
    <w:p w14:paraId="58B80B65" w14:textId="77777777" w:rsidR="00C52DF4" w:rsidRPr="00967E78" w:rsidRDefault="00C52DF4" w:rsidP="00C52DF4">
      <w:pPr>
        <w:spacing w:line="360" w:lineRule="auto"/>
        <w:jc w:val="center"/>
        <w:rPr>
          <w:rFonts w:ascii="Times New Roman" w:hAnsi="Times New Roman" w:cs="Times New Roman"/>
          <w:b/>
          <w:bCs/>
          <w:sz w:val="24"/>
          <w:szCs w:val="24"/>
          <w:lang w:val="en-US"/>
        </w:rPr>
      </w:pPr>
      <w:bookmarkStart w:id="6" w:name="_Hlk203212624"/>
      <w:r w:rsidRPr="00967E78">
        <w:rPr>
          <w:rFonts w:ascii="Times New Roman" w:hAnsi="Times New Roman" w:cs="Times New Roman"/>
          <w:b/>
          <w:bCs/>
          <w:sz w:val="24"/>
          <w:szCs w:val="24"/>
          <w:lang w:val="en-US"/>
        </w:rPr>
        <w:lastRenderedPageBreak/>
        <w:t>TABLE – 4.2</w:t>
      </w:r>
    </w:p>
    <w:p w14:paraId="279A07BF" w14:textId="77777777" w:rsidR="00C52DF4" w:rsidRPr="004D7E4B" w:rsidRDefault="00C52DF4" w:rsidP="00C52DF4">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C52DF4" w:rsidRPr="004D7E4B" w14:paraId="16A781E1"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5B27ECFF" w14:textId="77777777" w:rsidR="00C52DF4" w:rsidRPr="004D7E4B" w:rsidRDefault="00C52DF4"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25BBDED6" w14:textId="77777777" w:rsidR="00C52DF4" w:rsidRPr="004D7E4B" w:rsidRDefault="00C52DF4"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3360764F" w14:textId="77777777" w:rsidR="00C52DF4" w:rsidRPr="004D7E4B" w:rsidRDefault="00C52DF4"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C52DF4" w:rsidRPr="004D7E4B" w14:paraId="2F8B0601"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332E4BA9" w14:textId="77777777" w:rsidR="00C52DF4" w:rsidRPr="004D7E4B" w:rsidRDefault="00C52DF4" w:rsidP="009067D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121971B5" w14:textId="363DBD33" w:rsidR="00C52DF4" w:rsidRPr="004D7E4B" w:rsidRDefault="00C52DF4"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50</w:t>
            </w:r>
          </w:p>
        </w:tc>
        <w:tc>
          <w:tcPr>
            <w:tcW w:w="2685" w:type="dxa"/>
            <w:tcBorders>
              <w:top w:val="single" w:sz="4" w:space="0" w:color="auto"/>
              <w:left w:val="single" w:sz="4" w:space="0" w:color="auto"/>
              <w:bottom w:val="single" w:sz="4" w:space="0" w:color="auto"/>
              <w:right w:val="single" w:sz="4" w:space="0" w:color="auto"/>
            </w:tcBorders>
            <w:hideMark/>
          </w:tcPr>
          <w:p w14:paraId="752BE206" w14:textId="77777777" w:rsidR="00C52DF4" w:rsidRPr="004D7E4B" w:rsidRDefault="00C52DF4"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62.5</w:t>
            </w:r>
            <w:r w:rsidRPr="004D7E4B">
              <w:rPr>
                <w:rFonts w:ascii="Times New Roman" w:hAnsi="Times New Roman" w:cs="Times New Roman"/>
                <w:bCs/>
                <w:sz w:val="24"/>
                <w:szCs w:val="24"/>
                <w:lang w:val="en-US"/>
              </w:rPr>
              <w:t>%</w:t>
            </w:r>
          </w:p>
        </w:tc>
      </w:tr>
      <w:tr w:rsidR="00C52DF4" w:rsidRPr="004D7E4B" w14:paraId="42EEC5C9"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037217BA" w14:textId="77777777" w:rsidR="00C52DF4" w:rsidRPr="004D7E4B" w:rsidRDefault="00C52DF4" w:rsidP="009067D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4B04F95C" w14:textId="22AB4768" w:rsidR="00C52DF4" w:rsidRPr="004D7E4B" w:rsidRDefault="00C52DF4"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30</w:t>
            </w:r>
          </w:p>
        </w:tc>
        <w:tc>
          <w:tcPr>
            <w:tcW w:w="2685" w:type="dxa"/>
            <w:tcBorders>
              <w:top w:val="single" w:sz="4" w:space="0" w:color="auto"/>
              <w:left w:val="single" w:sz="4" w:space="0" w:color="auto"/>
              <w:bottom w:val="single" w:sz="4" w:space="0" w:color="auto"/>
              <w:right w:val="single" w:sz="4" w:space="0" w:color="auto"/>
            </w:tcBorders>
            <w:hideMark/>
          </w:tcPr>
          <w:p w14:paraId="18DF2081" w14:textId="77777777" w:rsidR="00C52DF4" w:rsidRPr="004D7E4B" w:rsidRDefault="00C52DF4"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37.5%</w:t>
            </w:r>
          </w:p>
        </w:tc>
      </w:tr>
      <w:tr w:rsidR="00C52DF4" w:rsidRPr="004D7E4B" w14:paraId="56315EBD"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5D269073" w14:textId="77777777" w:rsidR="00C52DF4" w:rsidRPr="004D7E4B" w:rsidRDefault="00C52DF4"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2B808337" w14:textId="61305D33" w:rsidR="00C52DF4" w:rsidRPr="004D7E4B" w:rsidRDefault="00C52DF4" w:rsidP="009067DA">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8</w:t>
            </w:r>
            <w:r>
              <w:rPr>
                <w:rFonts w:ascii="Times New Roman" w:hAnsi="Times New Roman" w:cs="Times New Roman"/>
                <w:b/>
                <w:bCs/>
                <w:sz w:val="24"/>
                <w:szCs w:val="24"/>
                <w:lang w:val="en-US"/>
              </w:rPr>
              <w:t>0</w:t>
            </w:r>
          </w:p>
        </w:tc>
        <w:tc>
          <w:tcPr>
            <w:tcW w:w="2685" w:type="dxa"/>
            <w:tcBorders>
              <w:top w:val="single" w:sz="4" w:space="0" w:color="auto"/>
              <w:left w:val="single" w:sz="4" w:space="0" w:color="auto"/>
              <w:bottom w:val="single" w:sz="4" w:space="0" w:color="auto"/>
              <w:right w:val="single" w:sz="4" w:space="0" w:color="auto"/>
            </w:tcBorders>
            <w:hideMark/>
          </w:tcPr>
          <w:p w14:paraId="7C369CFC" w14:textId="77777777" w:rsidR="00C52DF4" w:rsidRPr="004D7E4B" w:rsidRDefault="00C52DF4"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3F0C67C7" w14:textId="77777777" w:rsidR="00C52DF4" w:rsidRDefault="00C52DF4" w:rsidP="00C52DF4">
      <w:pPr>
        <w:spacing w:line="360" w:lineRule="auto"/>
        <w:jc w:val="both"/>
        <w:rPr>
          <w:rFonts w:ascii="Times New Roman" w:hAnsi="Times New Roman" w:cs="Times New Roman"/>
          <w:bCs/>
          <w:sz w:val="24"/>
          <w:szCs w:val="24"/>
        </w:rPr>
      </w:pPr>
    </w:p>
    <w:p w14:paraId="59F62571" w14:textId="77777777" w:rsidR="00C52DF4" w:rsidRDefault="00C52DF4" w:rsidP="00C52DF4">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bookmarkEnd w:id="6"/>
    </w:p>
    <w:p w14:paraId="66EA4F13" w14:textId="77777777" w:rsidR="00553E70" w:rsidRPr="00553E70" w:rsidRDefault="00553E70" w:rsidP="00553E70">
      <w:pPr>
        <w:spacing w:line="360" w:lineRule="auto"/>
        <w:jc w:val="both"/>
        <w:rPr>
          <w:rFonts w:ascii="Times New Roman" w:hAnsi="Times New Roman" w:cs="Times New Roman"/>
          <w:sz w:val="24"/>
          <w:szCs w:val="24"/>
        </w:rPr>
      </w:pPr>
      <w:r w:rsidRPr="00553E70">
        <w:rPr>
          <w:rFonts w:ascii="Times New Roman" w:hAnsi="Times New Roman" w:cs="Times New Roman"/>
          <w:sz w:val="24"/>
          <w:szCs w:val="24"/>
        </w:rPr>
        <w:t>The data reveals that 62.5% of the respondents are male, while 37.5% are female. This gender distribution indicates a predominantly male representation in the sample, though a significant proportion of female respondents also contribute to the study. The presence of female participants reflects increasing gender diversity in banking roles, especially in governance and risk management functions.</w:t>
      </w:r>
    </w:p>
    <w:p w14:paraId="45E88A02" w14:textId="77777777" w:rsidR="00553E70" w:rsidRPr="00553E70" w:rsidRDefault="00553E70" w:rsidP="00553E70">
      <w:pPr>
        <w:spacing w:line="360" w:lineRule="auto"/>
        <w:jc w:val="both"/>
        <w:rPr>
          <w:rFonts w:ascii="Times New Roman" w:hAnsi="Times New Roman" w:cs="Times New Roman"/>
          <w:sz w:val="24"/>
          <w:szCs w:val="24"/>
        </w:rPr>
      </w:pPr>
      <w:r w:rsidRPr="00553E70">
        <w:rPr>
          <w:rFonts w:ascii="Times New Roman" w:hAnsi="Times New Roman" w:cs="Times New Roman"/>
          <w:sz w:val="24"/>
          <w:szCs w:val="24"/>
        </w:rPr>
        <w:t>Gender diversity in corporate governance is widely recognized as a factor that enhances decision-making quality and risk oversight. Studies have shown that banks with greater female representation on boards and risk committees tend to adopt more cautious and ethical approaches, which can reduce risk exposure and improve overall performance.</w:t>
      </w:r>
    </w:p>
    <w:p w14:paraId="05033D1B" w14:textId="77777777" w:rsidR="00553E70" w:rsidRPr="00553E70" w:rsidRDefault="00553E70" w:rsidP="00553E70">
      <w:pPr>
        <w:spacing w:line="360" w:lineRule="auto"/>
        <w:jc w:val="both"/>
        <w:rPr>
          <w:rFonts w:ascii="Times New Roman" w:hAnsi="Times New Roman" w:cs="Times New Roman"/>
          <w:sz w:val="24"/>
          <w:szCs w:val="24"/>
        </w:rPr>
      </w:pPr>
      <w:r w:rsidRPr="00553E70">
        <w:rPr>
          <w:rFonts w:ascii="Times New Roman" w:hAnsi="Times New Roman" w:cs="Times New Roman"/>
          <w:sz w:val="24"/>
          <w:szCs w:val="24"/>
        </w:rPr>
        <w:t>Respondents across both genders agreed that effective governance and risk management practices are essential for the sustainable growth of banks. However, some female respondents emphasized the importance of inclusive governance policies to leverage diverse perspectives, which can help banks anticipate emerging risks and innovate in risk mitigation.</w:t>
      </w:r>
    </w:p>
    <w:p w14:paraId="684BE822" w14:textId="77777777" w:rsidR="00553E70" w:rsidRPr="00553E70" w:rsidRDefault="00553E70" w:rsidP="00553E70">
      <w:pPr>
        <w:spacing w:line="360" w:lineRule="auto"/>
        <w:jc w:val="both"/>
        <w:rPr>
          <w:rFonts w:ascii="Times New Roman" w:hAnsi="Times New Roman" w:cs="Times New Roman"/>
          <w:sz w:val="24"/>
          <w:szCs w:val="24"/>
        </w:rPr>
      </w:pPr>
      <w:r w:rsidRPr="00553E70">
        <w:rPr>
          <w:rFonts w:ascii="Times New Roman" w:hAnsi="Times New Roman" w:cs="Times New Roman"/>
          <w:sz w:val="24"/>
          <w:szCs w:val="24"/>
        </w:rPr>
        <w:t>In conclusion, the gender diversity among respondents enriches the insights on governance and risk management, underscoring that inclusive leadership contributes positively to bank performance by fostering balanced, transparent, and accountable management.</w:t>
      </w:r>
    </w:p>
    <w:p w14:paraId="7BEF7993" w14:textId="77777777" w:rsidR="00553E70" w:rsidRDefault="00553E70" w:rsidP="00C52DF4">
      <w:pPr>
        <w:spacing w:line="360" w:lineRule="auto"/>
        <w:jc w:val="both"/>
        <w:rPr>
          <w:rFonts w:ascii="Times New Roman" w:hAnsi="Times New Roman" w:cs="Times New Roman"/>
          <w:b/>
          <w:bCs/>
          <w:sz w:val="24"/>
          <w:szCs w:val="24"/>
          <w:lang w:val="en-US"/>
        </w:rPr>
      </w:pPr>
    </w:p>
    <w:p w14:paraId="2049877B" w14:textId="77777777" w:rsidR="00C52DF4" w:rsidRDefault="00C52DF4" w:rsidP="00C52DF4">
      <w:pPr>
        <w:spacing w:line="360" w:lineRule="auto"/>
        <w:jc w:val="both"/>
        <w:rPr>
          <w:rFonts w:ascii="Times New Roman" w:hAnsi="Times New Roman" w:cs="Times New Roman"/>
          <w:bCs/>
          <w:sz w:val="24"/>
          <w:szCs w:val="24"/>
          <w:lang w:val="en-US"/>
        </w:rPr>
      </w:pPr>
    </w:p>
    <w:p w14:paraId="1254AA5B" w14:textId="77777777" w:rsidR="00553E70" w:rsidRDefault="00553E70" w:rsidP="00C52DF4">
      <w:pPr>
        <w:spacing w:line="360" w:lineRule="auto"/>
        <w:jc w:val="both"/>
        <w:rPr>
          <w:rFonts w:ascii="Times New Roman" w:hAnsi="Times New Roman" w:cs="Times New Roman"/>
          <w:bCs/>
          <w:sz w:val="24"/>
          <w:szCs w:val="24"/>
          <w:lang w:val="en-US"/>
        </w:rPr>
      </w:pPr>
    </w:p>
    <w:p w14:paraId="1B4950B9" w14:textId="77777777" w:rsidR="00553E70" w:rsidRDefault="00553E70" w:rsidP="00C52DF4">
      <w:pPr>
        <w:spacing w:line="360" w:lineRule="auto"/>
        <w:jc w:val="both"/>
        <w:rPr>
          <w:rFonts w:ascii="Times New Roman" w:hAnsi="Times New Roman" w:cs="Times New Roman"/>
          <w:bCs/>
          <w:sz w:val="24"/>
          <w:szCs w:val="24"/>
          <w:lang w:val="en-US"/>
        </w:rPr>
      </w:pPr>
    </w:p>
    <w:p w14:paraId="59DD672A" w14:textId="77777777" w:rsidR="00553E70" w:rsidRDefault="00553E70" w:rsidP="00553E70">
      <w:pPr>
        <w:spacing w:line="360" w:lineRule="auto"/>
        <w:jc w:val="both"/>
        <w:rPr>
          <w:rFonts w:ascii="Times New Roman" w:hAnsi="Times New Roman" w:cs="Times New Roman"/>
          <w:b/>
          <w:bCs/>
          <w:sz w:val="24"/>
          <w:szCs w:val="24"/>
        </w:rPr>
      </w:pPr>
      <w:bookmarkStart w:id="7" w:name="_Hlk202090519"/>
      <w:r w:rsidRPr="007B042D">
        <w:rPr>
          <w:rFonts w:ascii="Times New Roman" w:hAnsi="Times New Roman" w:cs="Times New Roman"/>
          <w:b/>
          <w:bCs/>
          <w:sz w:val="24"/>
          <w:szCs w:val="24"/>
        </w:rPr>
        <w:lastRenderedPageBreak/>
        <w:t>CONCLUSION</w:t>
      </w:r>
    </w:p>
    <w:bookmarkEnd w:id="7"/>
    <w:p w14:paraId="35A5ED31" w14:textId="1D538BA2" w:rsidR="00553E70" w:rsidRPr="00553E70" w:rsidRDefault="00553E70" w:rsidP="00553E7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53E70">
        <w:rPr>
          <w:rFonts w:ascii="Times New Roman" w:hAnsi="Times New Roman" w:cs="Times New Roman"/>
          <w:bCs/>
          <w:sz w:val="24"/>
          <w:szCs w:val="24"/>
        </w:rPr>
        <w:t>The study on the impact of corporate governance and risk management on bank performance reveals that these two elements are fundamentally intertwined and critical to the success and sustainability of banking institutions. Corporate governance provides the framework for oversight, accountability, and strategic direction, ensuring that banks operate transparently and ethically. Risk management, on the other hand, acts as a safeguard against financial uncertainties and operational failures, helping banks to identify, assess, and mitigate various risks effectively.</w:t>
      </w:r>
    </w:p>
    <w:p w14:paraId="39895069" w14:textId="64086706" w:rsidR="00553E70" w:rsidRPr="00553E70" w:rsidRDefault="00553E70" w:rsidP="00553E7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53E70">
        <w:rPr>
          <w:rFonts w:ascii="Times New Roman" w:hAnsi="Times New Roman" w:cs="Times New Roman"/>
          <w:bCs/>
          <w:sz w:val="24"/>
          <w:szCs w:val="24"/>
        </w:rPr>
        <w:t>The findings highlight that banks with robust corporate governance structures tend to perform better financially, as evidenced by higher returns on assets and equity, lower levels of non-performing assets, and stronger capital adequacy ratios. Good governance practices, such as having independent and skilled boards, active audit and risk committees, and clear disclosure norms, foster trust among stakeholders and promote disciplined decision-making. These factors collectively contribute to enhanced financial stability and profitability.</w:t>
      </w:r>
    </w:p>
    <w:p w14:paraId="63DE9D4A" w14:textId="1138C8EE" w:rsidR="00553E70" w:rsidRPr="00553E70" w:rsidRDefault="00553E70" w:rsidP="00553E7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53E70">
        <w:rPr>
          <w:rFonts w:ascii="Times New Roman" w:hAnsi="Times New Roman" w:cs="Times New Roman"/>
          <w:bCs/>
          <w:sz w:val="24"/>
          <w:szCs w:val="24"/>
        </w:rPr>
        <w:t>Effective risk management complements governance by ensuring that risks are proactively managed and that banks are prepared to face adverse conditions without significant disruption. The adoption of comprehensive risk assessment techniques and continuous monitoring systems reduces unexpected losses and improves asset quality. This not only protects shareholder value but also strengthens customer confidence and regulatory compliance.</w:t>
      </w:r>
    </w:p>
    <w:p w14:paraId="6E451538" w14:textId="63051B91" w:rsidR="00553E70" w:rsidRPr="00553E70" w:rsidRDefault="00553E70" w:rsidP="00553E7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53E70">
        <w:rPr>
          <w:rFonts w:ascii="Times New Roman" w:hAnsi="Times New Roman" w:cs="Times New Roman"/>
          <w:bCs/>
          <w:sz w:val="24"/>
          <w:szCs w:val="24"/>
        </w:rPr>
        <w:t>Moreover, the study underscores the importance of integrating governance and risk management frameworks rather than treating them as separate functions. When aligned, these systems reinforce each other, creating a resilient institution capable of adapting to regulatory changes and market volatility. The comparative analysis between public and private sector banks also reveals that ownership structure influences the extent and quality of governance and risk practices, with private banks often demonstrating more agility and innovation in these areas.</w:t>
      </w:r>
    </w:p>
    <w:p w14:paraId="6B4BF06A" w14:textId="0CDC7319" w:rsidR="00553E70" w:rsidRPr="00553E70" w:rsidRDefault="00553E70" w:rsidP="00553E7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53E70">
        <w:rPr>
          <w:rFonts w:ascii="Times New Roman" w:hAnsi="Times New Roman" w:cs="Times New Roman"/>
          <w:bCs/>
          <w:sz w:val="24"/>
          <w:szCs w:val="24"/>
        </w:rPr>
        <w:t xml:space="preserve">However, the research identifies challenges such as inadequate implementation of governance reforms, resistance to change, and gaps in risk management expertise. These issues highlight the need for ongoing training, regulatory support, and technology adoption to improve governance quality and risk controls. Additionally, fostering a culture of ethical </w:t>
      </w:r>
      <w:proofErr w:type="spellStart"/>
      <w:r w:rsidRPr="00553E70">
        <w:rPr>
          <w:rFonts w:ascii="Times New Roman" w:hAnsi="Times New Roman" w:cs="Times New Roman"/>
          <w:bCs/>
          <w:sz w:val="24"/>
          <w:szCs w:val="24"/>
        </w:rPr>
        <w:t>behavior</w:t>
      </w:r>
      <w:proofErr w:type="spellEnd"/>
      <w:r w:rsidRPr="00553E70">
        <w:rPr>
          <w:rFonts w:ascii="Times New Roman" w:hAnsi="Times New Roman" w:cs="Times New Roman"/>
          <w:bCs/>
          <w:sz w:val="24"/>
          <w:szCs w:val="24"/>
        </w:rPr>
        <w:t xml:space="preserve"> and transparency within banks is essential to sustain improvements in performance.</w:t>
      </w:r>
    </w:p>
    <w:p w14:paraId="4428F324" w14:textId="77777777" w:rsidR="00553E70" w:rsidRPr="007B042D" w:rsidRDefault="00553E70" w:rsidP="00553E70">
      <w:pPr>
        <w:spacing w:line="360" w:lineRule="auto"/>
        <w:jc w:val="center"/>
        <w:rPr>
          <w:rFonts w:ascii="Times New Roman" w:hAnsi="Times New Roman" w:cs="Times New Roman"/>
          <w:b/>
          <w:bCs/>
          <w:sz w:val="24"/>
          <w:szCs w:val="24"/>
          <w:lang w:val="en-US"/>
        </w:rPr>
      </w:pPr>
      <w:bookmarkStart w:id="8" w:name="_Hlk203474877"/>
      <w:bookmarkStart w:id="9" w:name="_Hlk203252345"/>
      <w:r w:rsidRPr="007B042D">
        <w:rPr>
          <w:rFonts w:ascii="Times New Roman" w:hAnsi="Times New Roman" w:cs="Times New Roman"/>
          <w:b/>
          <w:bCs/>
          <w:sz w:val="24"/>
          <w:szCs w:val="24"/>
          <w:lang w:val="en-US"/>
        </w:rPr>
        <w:lastRenderedPageBreak/>
        <w:t>BIBLIOGRAPHY</w:t>
      </w:r>
      <w:bookmarkEnd w:id="8"/>
    </w:p>
    <w:bookmarkEnd w:id="9"/>
    <w:p w14:paraId="5A9B788F" w14:textId="556EE5EB" w:rsidR="00553E70" w:rsidRPr="00553E70" w:rsidRDefault="00553E70" w:rsidP="00553E70">
      <w:pPr>
        <w:pStyle w:val="ListParagraph"/>
        <w:numPr>
          <w:ilvl w:val="0"/>
          <w:numId w:val="8"/>
        </w:numPr>
        <w:spacing w:line="360" w:lineRule="auto"/>
        <w:jc w:val="both"/>
        <w:rPr>
          <w:rFonts w:ascii="Times New Roman" w:hAnsi="Times New Roman" w:cs="Times New Roman"/>
          <w:bCs/>
          <w:sz w:val="24"/>
          <w:szCs w:val="24"/>
        </w:rPr>
      </w:pPr>
      <w:r w:rsidRPr="00553E70">
        <w:rPr>
          <w:rFonts w:ascii="Times New Roman" w:hAnsi="Times New Roman" w:cs="Times New Roman"/>
          <w:bCs/>
          <w:sz w:val="24"/>
          <w:szCs w:val="24"/>
        </w:rPr>
        <w:t>Adams, R. B., &amp; Mehran, H. (2012). Bank Board Structure and Performance: Evidence for Large Bank Holding Companies. Journal of Financial Intermediation, 21(2), 243-267.</w:t>
      </w:r>
    </w:p>
    <w:p w14:paraId="196CF3CC" w14:textId="77158675" w:rsidR="00553E70" w:rsidRPr="00553E70" w:rsidRDefault="00553E70" w:rsidP="00553E70">
      <w:pPr>
        <w:pStyle w:val="ListParagraph"/>
        <w:numPr>
          <w:ilvl w:val="0"/>
          <w:numId w:val="8"/>
        </w:numPr>
        <w:spacing w:line="360" w:lineRule="auto"/>
        <w:jc w:val="both"/>
        <w:rPr>
          <w:rFonts w:ascii="Times New Roman" w:hAnsi="Times New Roman" w:cs="Times New Roman"/>
          <w:bCs/>
          <w:sz w:val="24"/>
          <w:szCs w:val="24"/>
        </w:rPr>
      </w:pPr>
      <w:r w:rsidRPr="00553E70">
        <w:rPr>
          <w:rFonts w:ascii="Times New Roman" w:hAnsi="Times New Roman" w:cs="Times New Roman"/>
          <w:bCs/>
          <w:sz w:val="24"/>
          <w:szCs w:val="24"/>
        </w:rPr>
        <w:t>Al-Matari, E. M., Al-</w:t>
      </w:r>
      <w:proofErr w:type="spellStart"/>
      <w:r w:rsidRPr="00553E70">
        <w:rPr>
          <w:rFonts w:ascii="Times New Roman" w:hAnsi="Times New Roman" w:cs="Times New Roman"/>
          <w:bCs/>
          <w:sz w:val="24"/>
          <w:szCs w:val="24"/>
        </w:rPr>
        <w:t>Swidi</w:t>
      </w:r>
      <w:proofErr w:type="spellEnd"/>
      <w:r w:rsidRPr="00553E70">
        <w:rPr>
          <w:rFonts w:ascii="Times New Roman" w:hAnsi="Times New Roman" w:cs="Times New Roman"/>
          <w:bCs/>
          <w:sz w:val="24"/>
          <w:szCs w:val="24"/>
        </w:rPr>
        <w:t>, A. K., &amp; Fadzil, F. H. B. (2021). Audit Committee and Internal Control Effectiveness: Evidence from GCC Banks. Corporate Governance: The International Journal of Business in Society, 21(1), 125-144.</w:t>
      </w:r>
    </w:p>
    <w:p w14:paraId="03D19787" w14:textId="135270BC" w:rsidR="00553E70" w:rsidRPr="00553E70" w:rsidRDefault="00553E70" w:rsidP="00553E70">
      <w:pPr>
        <w:pStyle w:val="ListParagraph"/>
        <w:numPr>
          <w:ilvl w:val="0"/>
          <w:numId w:val="8"/>
        </w:numPr>
        <w:spacing w:line="360" w:lineRule="auto"/>
        <w:jc w:val="both"/>
        <w:rPr>
          <w:rFonts w:ascii="Times New Roman" w:hAnsi="Times New Roman" w:cs="Times New Roman"/>
          <w:bCs/>
          <w:sz w:val="24"/>
          <w:szCs w:val="24"/>
        </w:rPr>
      </w:pPr>
      <w:r w:rsidRPr="00553E70">
        <w:rPr>
          <w:rFonts w:ascii="Times New Roman" w:hAnsi="Times New Roman" w:cs="Times New Roman"/>
          <w:bCs/>
          <w:sz w:val="24"/>
          <w:szCs w:val="24"/>
        </w:rPr>
        <w:t>Arun, T., &amp; Turner, J. D. (2004). Corporate Governance of Banks in Developing Economies: Concepts and Issues. Corporate Governance: An International Review, 12(3), 371-378.</w:t>
      </w:r>
    </w:p>
    <w:p w14:paraId="1AAED549" w14:textId="724F8793" w:rsidR="00553E70" w:rsidRPr="00553E70" w:rsidRDefault="00553E70" w:rsidP="00553E70">
      <w:pPr>
        <w:pStyle w:val="ListParagraph"/>
        <w:numPr>
          <w:ilvl w:val="0"/>
          <w:numId w:val="8"/>
        </w:numPr>
        <w:spacing w:line="360" w:lineRule="auto"/>
        <w:jc w:val="both"/>
        <w:rPr>
          <w:rFonts w:ascii="Times New Roman" w:hAnsi="Times New Roman" w:cs="Times New Roman"/>
          <w:bCs/>
          <w:sz w:val="24"/>
          <w:szCs w:val="24"/>
        </w:rPr>
      </w:pPr>
      <w:r w:rsidRPr="00553E70">
        <w:rPr>
          <w:rFonts w:ascii="Times New Roman" w:hAnsi="Times New Roman" w:cs="Times New Roman"/>
          <w:bCs/>
          <w:sz w:val="24"/>
          <w:szCs w:val="24"/>
        </w:rPr>
        <w:t>Basel Committee on Banking Supervision. (2006). Enhancing Corporate Governance for Banking Organizations. Bank for International Settlements.</w:t>
      </w:r>
    </w:p>
    <w:p w14:paraId="403910AF" w14:textId="33B92278" w:rsidR="00553E70" w:rsidRPr="00553E70" w:rsidRDefault="00553E70" w:rsidP="00553E70">
      <w:pPr>
        <w:pStyle w:val="ListParagraph"/>
        <w:numPr>
          <w:ilvl w:val="0"/>
          <w:numId w:val="8"/>
        </w:numPr>
        <w:spacing w:line="360" w:lineRule="auto"/>
        <w:jc w:val="both"/>
        <w:rPr>
          <w:rFonts w:ascii="Times New Roman" w:hAnsi="Times New Roman" w:cs="Times New Roman"/>
          <w:bCs/>
          <w:sz w:val="24"/>
          <w:szCs w:val="24"/>
        </w:rPr>
      </w:pPr>
      <w:r w:rsidRPr="00553E70">
        <w:rPr>
          <w:rFonts w:ascii="Times New Roman" w:hAnsi="Times New Roman" w:cs="Times New Roman"/>
          <w:bCs/>
          <w:sz w:val="24"/>
          <w:szCs w:val="24"/>
        </w:rPr>
        <w:t>Bhagat, S., &amp; Bolton, B. (2022). Corporate Governance and Firm Performance: Recent Evidence and Future Directions. Journal of Corporate Finance, 75, 102175.</w:t>
      </w:r>
    </w:p>
    <w:p w14:paraId="6841E822" w14:textId="15A22550" w:rsidR="00553E70" w:rsidRPr="00553E70" w:rsidRDefault="00553E70" w:rsidP="00553E70">
      <w:pPr>
        <w:pStyle w:val="ListParagraph"/>
        <w:numPr>
          <w:ilvl w:val="0"/>
          <w:numId w:val="8"/>
        </w:numPr>
        <w:spacing w:line="360" w:lineRule="auto"/>
        <w:jc w:val="both"/>
        <w:rPr>
          <w:rFonts w:ascii="Times New Roman" w:hAnsi="Times New Roman" w:cs="Times New Roman"/>
          <w:bCs/>
          <w:sz w:val="24"/>
          <w:szCs w:val="24"/>
        </w:rPr>
      </w:pPr>
      <w:r w:rsidRPr="00553E70">
        <w:rPr>
          <w:rFonts w:ascii="Times New Roman" w:hAnsi="Times New Roman" w:cs="Times New Roman"/>
          <w:bCs/>
          <w:sz w:val="24"/>
          <w:szCs w:val="24"/>
        </w:rPr>
        <w:t>Ghosh, S. (2018). Corporate Governance and Non-Performing Assets: A Study of Indian Commercial Banks. International Journal of Banking and Finance, 15(3), 34-48.</w:t>
      </w:r>
    </w:p>
    <w:p w14:paraId="43734308" w14:textId="44A7FA8A" w:rsidR="00553E70" w:rsidRPr="00553E70" w:rsidRDefault="00553E70" w:rsidP="00553E70">
      <w:pPr>
        <w:pStyle w:val="ListParagraph"/>
        <w:numPr>
          <w:ilvl w:val="0"/>
          <w:numId w:val="8"/>
        </w:numPr>
        <w:spacing w:line="360" w:lineRule="auto"/>
        <w:jc w:val="both"/>
        <w:rPr>
          <w:rFonts w:ascii="Times New Roman" w:hAnsi="Times New Roman" w:cs="Times New Roman"/>
          <w:bCs/>
          <w:sz w:val="24"/>
          <w:szCs w:val="24"/>
        </w:rPr>
      </w:pPr>
      <w:r w:rsidRPr="00553E70">
        <w:rPr>
          <w:rFonts w:ascii="Times New Roman" w:hAnsi="Times New Roman" w:cs="Times New Roman"/>
          <w:bCs/>
          <w:sz w:val="24"/>
          <w:szCs w:val="24"/>
        </w:rPr>
        <w:t>Mollah, S., &amp; Zaman, M. (2015). Board of Directors, Audit Committee, and Risk Management Committee and Their Roles in Risk Management: Evidence from Banking Sector of Australia. Corporate Governance: The International Journal of Business in Society, 15(3), 348-363.</w:t>
      </w:r>
    </w:p>
    <w:p w14:paraId="37DF6C37" w14:textId="4FC3C992" w:rsidR="00553E70" w:rsidRPr="00553E70" w:rsidRDefault="00553E70" w:rsidP="00553E70">
      <w:pPr>
        <w:pStyle w:val="ListParagraph"/>
        <w:numPr>
          <w:ilvl w:val="0"/>
          <w:numId w:val="8"/>
        </w:numPr>
        <w:spacing w:line="360" w:lineRule="auto"/>
        <w:jc w:val="both"/>
        <w:rPr>
          <w:rFonts w:ascii="Times New Roman" w:hAnsi="Times New Roman" w:cs="Times New Roman"/>
          <w:bCs/>
          <w:sz w:val="24"/>
          <w:szCs w:val="24"/>
        </w:rPr>
      </w:pPr>
      <w:r w:rsidRPr="00553E70">
        <w:rPr>
          <w:rFonts w:ascii="Times New Roman" w:hAnsi="Times New Roman" w:cs="Times New Roman"/>
          <w:bCs/>
          <w:sz w:val="24"/>
          <w:szCs w:val="24"/>
        </w:rPr>
        <w:t>PricewaterhouseCoopers (PwC). (2017). Indian Banking Sector: Navigating Challenges through Better Governance. PwC India Report.</w:t>
      </w:r>
    </w:p>
    <w:p w14:paraId="11473973" w14:textId="51A189E8" w:rsidR="00553E70" w:rsidRPr="00553E70" w:rsidRDefault="00553E70" w:rsidP="00553E70">
      <w:pPr>
        <w:pStyle w:val="ListParagraph"/>
        <w:numPr>
          <w:ilvl w:val="0"/>
          <w:numId w:val="8"/>
        </w:numPr>
        <w:spacing w:line="360" w:lineRule="auto"/>
        <w:jc w:val="both"/>
        <w:rPr>
          <w:rFonts w:ascii="Times New Roman" w:hAnsi="Times New Roman" w:cs="Times New Roman"/>
          <w:bCs/>
          <w:sz w:val="24"/>
          <w:szCs w:val="24"/>
        </w:rPr>
      </w:pPr>
      <w:r w:rsidRPr="00553E70">
        <w:rPr>
          <w:rFonts w:ascii="Times New Roman" w:hAnsi="Times New Roman" w:cs="Times New Roman"/>
          <w:bCs/>
          <w:sz w:val="24"/>
          <w:szCs w:val="24"/>
        </w:rPr>
        <w:t>Reserve Bank of India (RBI). (2020). Discussion Paper on Governance in Commercial Banks in India. RBI Publications.</w:t>
      </w:r>
    </w:p>
    <w:p w14:paraId="74739E7B" w14:textId="762F730F" w:rsidR="00553E70" w:rsidRPr="00553E70" w:rsidRDefault="00553E70" w:rsidP="00553E70">
      <w:pPr>
        <w:pStyle w:val="ListParagraph"/>
        <w:numPr>
          <w:ilvl w:val="0"/>
          <w:numId w:val="8"/>
        </w:numPr>
        <w:spacing w:line="360" w:lineRule="auto"/>
        <w:jc w:val="both"/>
        <w:rPr>
          <w:rFonts w:ascii="Times New Roman" w:hAnsi="Times New Roman" w:cs="Times New Roman"/>
          <w:bCs/>
          <w:sz w:val="24"/>
          <w:szCs w:val="24"/>
        </w:rPr>
      </w:pPr>
      <w:r w:rsidRPr="00553E70">
        <w:rPr>
          <w:rFonts w:ascii="Times New Roman" w:hAnsi="Times New Roman" w:cs="Times New Roman"/>
          <w:bCs/>
          <w:sz w:val="24"/>
          <w:szCs w:val="24"/>
        </w:rPr>
        <w:t>Sufian, F., &amp; Kamarudin, F. (2019). Risk Management and Bank Profitability: Evidence from Southeast Asian Banks. Asian Journal of Finance &amp; Accounting, 11(2), 62-79.</w:t>
      </w:r>
    </w:p>
    <w:p w14:paraId="3A270194" w14:textId="77777777" w:rsidR="00553E70" w:rsidRPr="00C52DF4" w:rsidRDefault="00553E70" w:rsidP="00C52DF4">
      <w:pPr>
        <w:spacing w:line="360" w:lineRule="auto"/>
        <w:jc w:val="both"/>
        <w:rPr>
          <w:rFonts w:ascii="Times New Roman" w:hAnsi="Times New Roman" w:cs="Times New Roman"/>
          <w:bCs/>
          <w:sz w:val="24"/>
          <w:szCs w:val="24"/>
          <w:lang w:val="en-US"/>
        </w:rPr>
      </w:pPr>
    </w:p>
    <w:sectPr w:rsidR="00553E70" w:rsidRPr="00C52D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D67BD7"/>
    <w:multiLevelType w:val="hybridMultilevel"/>
    <w:tmpl w:val="A78C1BE4"/>
    <w:lvl w:ilvl="0" w:tplc="40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3EBA1EE0"/>
    <w:multiLevelType w:val="multilevel"/>
    <w:tmpl w:val="535448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428B7DFC"/>
    <w:multiLevelType w:val="multilevel"/>
    <w:tmpl w:val="35845AE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4AA7248F"/>
    <w:multiLevelType w:val="multilevel"/>
    <w:tmpl w:val="950C5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B47176"/>
    <w:multiLevelType w:val="multilevel"/>
    <w:tmpl w:val="39AAA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2643FF"/>
    <w:multiLevelType w:val="multilevel"/>
    <w:tmpl w:val="ABD0B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AFA14EE"/>
    <w:multiLevelType w:val="hybridMultilevel"/>
    <w:tmpl w:val="41BAE5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FDD0D5D"/>
    <w:multiLevelType w:val="hybridMultilevel"/>
    <w:tmpl w:val="2D5C97F8"/>
    <w:lvl w:ilvl="0" w:tplc="E0048192">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973898624">
    <w:abstractNumId w:val="1"/>
  </w:num>
  <w:num w:numId="2" w16cid:durableId="1364286439">
    <w:abstractNumId w:val="6"/>
  </w:num>
  <w:num w:numId="3" w16cid:durableId="878277959">
    <w:abstractNumId w:val="7"/>
  </w:num>
  <w:num w:numId="4" w16cid:durableId="1251236891">
    <w:abstractNumId w:val="0"/>
  </w:num>
  <w:num w:numId="5" w16cid:durableId="863203848">
    <w:abstractNumId w:val="3"/>
  </w:num>
  <w:num w:numId="6" w16cid:durableId="1881434995">
    <w:abstractNumId w:val="5"/>
  </w:num>
  <w:num w:numId="7" w16cid:durableId="1448700348">
    <w:abstractNumId w:val="4"/>
  </w:num>
  <w:num w:numId="8" w16cid:durableId="20883084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AEB"/>
    <w:rsid w:val="0020187E"/>
    <w:rsid w:val="00553E70"/>
    <w:rsid w:val="00810C77"/>
    <w:rsid w:val="008F7F7B"/>
    <w:rsid w:val="00B50AEB"/>
    <w:rsid w:val="00C52DF4"/>
    <w:rsid w:val="00CC79E7"/>
    <w:rsid w:val="00D60C6F"/>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FDB83"/>
  <w15:chartTrackingRefBased/>
  <w15:docId w15:val="{1764F661-30F9-480D-A02F-1A4498728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C77"/>
  </w:style>
  <w:style w:type="paragraph" w:styleId="Heading1">
    <w:name w:val="heading 1"/>
    <w:basedOn w:val="Normal"/>
    <w:next w:val="Normal"/>
    <w:link w:val="Heading1Char"/>
    <w:uiPriority w:val="9"/>
    <w:qFormat/>
    <w:rsid w:val="00B50AE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50AE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50AE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50AE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50AE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50A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0A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0A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0A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0AE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50AE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50AE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50AE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50AE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50A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0A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0A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0AEB"/>
    <w:rPr>
      <w:rFonts w:eastAsiaTheme="majorEastAsia" w:cstheme="majorBidi"/>
      <w:color w:val="272727" w:themeColor="text1" w:themeTint="D8"/>
    </w:rPr>
  </w:style>
  <w:style w:type="paragraph" w:styleId="Title">
    <w:name w:val="Title"/>
    <w:basedOn w:val="Normal"/>
    <w:next w:val="Normal"/>
    <w:link w:val="TitleChar"/>
    <w:uiPriority w:val="10"/>
    <w:qFormat/>
    <w:rsid w:val="00B50A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0A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0A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0A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0AEB"/>
    <w:pPr>
      <w:spacing w:before="160"/>
      <w:jc w:val="center"/>
    </w:pPr>
    <w:rPr>
      <w:i/>
      <w:iCs/>
      <w:color w:val="404040" w:themeColor="text1" w:themeTint="BF"/>
    </w:rPr>
  </w:style>
  <w:style w:type="character" w:customStyle="1" w:styleId="QuoteChar">
    <w:name w:val="Quote Char"/>
    <w:basedOn w:val="DefaultParagraphFont"/>
    <w:link w:val="Quote"/>
    <w:uiPriority w:val="29"/>
    <w:rsid w:val="00B50AEB"/>
    <w:rPr>
      <w:i/>
      <w:iCs/>
      <w:color w:val="404040" w:themeColor="text1" w:themeTint="BF"/>
    </w:rPr>
  </w:style>
  <w:style w:type="paragraph" w:styleId="ListParagraph">
    <w:name w:val="List Paragraph"/>
    <w:basedOn w:val="Normal"/>
    <w:uiPriority w:val="34"/>
    <w:qFormat/>
    <w:rsid w:val="00B50AEB"/>
    <w:pPr>
      <w:ind w:left="720"/>
      <w:contextualSpacing/>
    </w:pPr>
  </w:style>
  <w:style w:type="character" w:styleId="IntenseEmphasis">
    <w:name w:val="Intense Emphasis"/>
    <w:basedOn w:val="DefaultParagraphFont"/>
    <w:uiPriority w:val="21"/>
    <w:qFormat/>
    <w:rsid w:val="00B50AEB"/>
    <w:rPr>
      <w:i/>
      <w:iCs/>
      <w:color w:val="2F5496" w:themeColor="accent1" w:themeShade="BF"/>
    </w:rPr>
  </w:style>
  <w:style w:type="paragraph" w:styleId="IntenseQuote">
    <w:name w:val="Intense Quote"/>
    <w:basedOn w:val="Normal"/>
    <w:next w:val="Normal"/>
    <w:link w:val="IntenseQuoteChar"/>
    <w:uiPriority w:val="30"/>
    <w:qFormat/>
    <w:rsid w:val="00B50AE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50AEB"/>
    <w:rPr>
      <w:i/>
      <w:iCs/>
      <w:color w:val="2F5496" w:themeColor="accent1" w:themeShade="BF"/>
    </w:rPr>
  </w:style>
  <w:style w:type="character" w:styleId="IntenseReference">
    <w:name w:val="Intense Reference"/>
    <w:basedOn w:val="DefaultParagraphFont"/>
    <w:uiPriority w:val="32"/>
    <w:qFormat/>
    <w:rsid w:val="00B50AEB"/>
    <w:rPr>
      <w:b/>
      <w:bCs/>
      <w:smallCaps/>
      <w:color w:val="2F5496" w:themeColor="accent1" w:themeShade="BF"/>
      <w:spacing w:val="5"/>
    </w:rPr>
  </w:style>
  <w:style w:type="paragraph" w:styleId="NormalWeb">
    <w:name w:val="Normal (Web)"/>
    <w:basedOn w:val="Normal"/>
    <w:uiPriority w:val="99"/>
    <w:semiHidden/>
    <w:unhideWhenUsed/>
    <w:rsid w:val="00810C77"/>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customStyle="1" w:styleId="relative">
    <w:name w:val="relative"/>
    <w:basedOn w:val="DefaultParagraphFont"/>
    <w:rsid w:val="00810C77"/>
  </w:style>
  <w:style w:type="character" w:customStyle="1" w:styleId="ms-1">
    <w:name w:val="ms-1"/>
    <w:basedOn w:val="DefaultParagraphFont"/>
    <w:rsid w:val="00810C77"/>
  </w:style>
  <w:style w:type="character" w:customStyle="1" w:styleId="max-w-full">
    <w:name w:val="max-w-full"/>
    <w:basedOn w:val="DefaultParagraphFont"/>
    <w:rsid w:val="00810C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namj.tamn-ng.org/index.php/home/article/view/275?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jol.info/index.php/ifep/article/view/74703?utm_source=chatgpt.com" TargetMode="External"/><Relationship Id="rId5" Type="http://schemas.openxmlformats.org/officeDocument/2006/relationships/hyperlink" Target="https://www.reuters.com/world/africa/nigeria-central-bank-revokes-licence-heritage-bank-bank-rules-breached-2024-06-03/?utm_source=chatgpt.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387</TotalTime>
  <Pages>15</Pages>
  <Words>4523</Words>
  <Characters>25783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2025-08-02T09:53:00Z</dcterms:created>
  <dcterms:modified xsi:type="dcterms:W3CDTF">2025-08-02T16:26:00Z</dcterms:modified>
</cp:coreProperties>
</file>