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C10AC" w14:textId="77777777" w:rsidR="002658E6" w:rsidRPr="00DA2E13" w:rsidRDefault="002658E6" w:rsidP="002658E6">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4485A25" w14:textId="77777777" w:rsidR="002658E6" w:rsidRPr="00DA2E13" w:rsidRDefault="002658E6" w:rsidP="002658E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2BAE34E7" w14:textId="48C85A04" w:rsidR="002658E6" w:rsidRPr="002658E6" w:rsidRDefault="002658E6" w:rsidP="00265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58E6">
        <w:rPr>
          <w:rFonts w:ascii="Times New Roman" w:hAnsi="Times New Roman" w:cs="Times New Roman"/>
          <w:sz w:val="24"/>
          <w:szCs w:val="24"/>
        </w:rPr>
        <w:t>Enterprise Risk Management (ERM) is a structured and holistic approach used by organizations to identify, assess, and manage the multitude of risks they face across all levels of operation. In the pharmaceutical industry, where innovation, compliance, safety, and quality are paramount, ERM plays a particularly vital role. Pharmaceutical companies operate in a high-stakes environment marked by regulatory scrutiny, global competition, long product development cycles, and significant investment in research and development. Given the complex interplay between clinical research, regulatory approvals, supply chain management, intellectual property, and market dynamics, the industry is inherently exposed to various risks that can threaten business continuity, financial performance, and public health outcomes.</w:t>
      </w:r>
    </w:p>
    <w:p w14:paraId="5530589C" w14:textId="1A21536F" w:rsidR="002658E6" w:rsidRPr="002658E6" w:rsidRDefault="002658E6" w:rsidP="00265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58E6">
        <w:rPr>
          <w:rFonts w:ascii="Times New Roman" w:hAnsi="Times New Roman" w:cs="Times New Roman"/>
          <w:sz w:val="24"/>
          <w:szCs w:val="24"/>
        </w:rPr>
        <w:t>In a typical pharmaceutical company, ERM is designed to go beyond traditional risk management by integrating risk awareness into the corporate strategy, decision-making, and everyday operations. Risks are not viewed in isolation but are assessed in terms of their cumulative impact on the company’s ability to meet its goals. These include operational risks such as manufacturing failures, clinical trial delays, or product recalls; financial risks such as currency volatility or investment losses; compliance risks stemming from breaches of FDA or international regulatory guidelines; and strategic risks such as market shifts, mergers, and innovation lags. ERM ensures that such risks are not only identified but also prioritized, mitigated, and monitored through clearly defined governance structures, risk registers, and key risk indicators.</w:t>
      </w:r>
    </w:p>
    <w:p w14:paraId="3AC43895" w14:textId="2C76B619" w:rsidR="002658E6" w:rsidRPr="002658E6" w:rsidRDefault="002658E6" w:rsidP="00265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58E6">
        <w:rPr>
          <w:rFonts w:ascii="Times New Roman" w:hAnsi="Times New Roman" w:cs="Times New Roman"/>
          <w:sz w:val="24"/>
          <w:szCs w:val="24"/>
        </w:rPr>
        <w:t>The pharmaceutical sector also faces emerging risks including cybersecurity threats to sensitive clinical data, rising costs of drug development, supply chain disruptions due to geopolitical events or pandemics, and reputational risks tied to drug pricing or ethical concerns. Through ERM frameworks, companies strive to stay resilient by aligning risk appetite with business strategy, improving transparency, and fostering a risk-aware culture across departments—from R&amp;D and quality assurance to finance and marketing. Internal audit functions, compliance officers, and risk committees play central roles in assessing vulnerabilities and ensuring corrective actions are taken.</w:t>
      </w:r>
    </w:p>
    <w:p w14:paraId="14BB72CA" w14:textId="36F5E457" w:rsidR="002658E6" w:rsidRPr="002658E6" w:rsidRDefault="002658E6" w:rsidP="00265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58E6">
        <w:rPr>
          <w:rFonts w:ascii="Times New Roman" w:hAnsi="Times New Roman" w:cs="Times New Roman"/>
          <w:sz w:val="24"/>
          <w:szCs w:val="24"/>
        </w:rPr>
        <w:t xml:space="preserve">Furthermore, the role of technology in modern ERM systems cannot be understated. Many pharmaceutical firms now rely on digital risk dashboards, AI-based </w:t>
      </w:r>
      <w:proofErr w:type="spellStart"/>
      <w:r w:rsidRPr="002658E6">
        <w:rPr>
          <w:rFonts w:ascii="Times New Roman" w:hAnsi="Times New Roman" w:cs="Times New Roman"/>
          <w:sz w:val="24"/>
          <w:szCs w:val="24"/>
        </w:rPr>
        <w:t>modeling</w:t>
      </w:r>
      <w:proofErr w:type="spellEnd"/>
      <w:r w:rsidRPr="002658E6">
        <w:rPr>
          <w:rFonts w:ascii="Times New Roman" w:hAnsi="Times New Roman" w:cs="Times New Roman"/>
          <w:sz w:val="24"/>
          <w:szCs w:val="24"/>
        </w:rPr>
        <w:t xml:space="preserve">, and predictive analytics to detect potential threats early and respond proactively. This enables faster </w:t>
      </w:r>
      <w:r w:rsidRPr="002658E6">
        <w:rPr>
          <w:rFonts w:ascii="Times New Roman" w:hAnsi="Times New Roman" w:cs="Times New Roman"/>
          <w:sz w:val="24"/>
          <w:szCs w:val="24"/>
        </w:rPr>
        <w:lastRenderedPageBreak/>
        <w:t>decision-making and more agile risk mitigation. For global pharmaceutical giants, ERM also involves managing risk across international operations, considering variations in regulation, cultural practices, and local market dynamics. The complexity and scale of these risks make enterprise-wide coordination essential.</w:t>
      </w:r>
    </w:p>
    <w:p w14:paraId="762F6DDF" w14:textId="1A8DBB0D" w:rsidR="002658E6" w:rsidRPr="002658E6" w:rsidRDefault="002658E6" w:rsidP="00265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58E6">
        <w:rPr>
          <w:rFonts w:ascii="Times New Roman" w:hAnsi="Times New Roman" w:cs="Times New Roman"/>
          <w:sz w:val="24"/>
          <w:szCs w:val="24"/>
        </w:rPr>
        <w:t>ERM is not solely about risk aversion—it is also about identifying opportunities within risks. For instance, companies may invest in new drug pipelines or explore untapped markets based on ERM insights. It also helps in protecting shareholder value, ensuring patient safety, maintaining compliance, and strengthening investor confidence. As regulatory environments evolve and market demands shift, ERM helps pharmaceutical companies remain competitive and resilient.</w:t>
      </w:r>
    </w:p>
    <w:p w14:paraId="1496F096" w14:textId="74CC5FE1" w:rsidR="002658E6" w:rsidRDefault="002658E6" w:rsidP="002658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58E6">
        <w:rPr>
          <w:rFonts w:ascii="Times New Roman" w:hAnsi="Times New Roman" w:cs="Times New Roman"/>
          <w:sz w:val="24"/>
          <w:szCs w:val="24"/>
        </w:rPr>
        <w:t>In conclusion, enterprise risk management in a pharmaceutical company is a comprehensive, forward-looking function that touches every part of the organization. It ensures that the risks inherent in developing, producing, and distributing life-saving medicines are well-managed and aligned with long-term strategic goals. As the global healthcare landscape continues to evolve rapidly, effective ERM practices remain essential for pharmaceutical companies to navigate uncertainty, drive innovation, and maintain trust among regulators, partners, investors, and—most importantly—the patients they serve.</w:t>
      </w:r>
    </w:p>
    <w:p w14:paraId="625FFC1F" w14:textId="2211DBCB" w:rsidR="002658E6" w:rsidRDefault="002658E6" w:rsidP="002658E6">
      <w:pPr>
        <w:spacing w:line="360" w:lineRule="auto"/>
        <w:jc w:val="both"/>
        <w:rPr>
          <w:rFonts w:ascii="Times New Roman" w:hAnsi="Times New Roman" w:cs="Times New Roman"/>
          <w:b/>
          <w:sz w:val="24"/>
          <w:szCs w:val="24"/>
        </w:rPr>
      </w:pPr>
      <w:bookmarkStart w:id="1" w:name="_Hlk202099740"/>
      <w:bookmarkStart w:id="2" w:name="_Hlk203252668"/>
      <w:r w:rsidRPr="002658E6">
        <w:rPr>
          <w:rFonts w:ascii="Times New Roman" w:hAnsi="Times New Roman" w:cs="Times New Roman"/>
          <w:b/>
          <w:sz w:val="24"/>
          <w:szCs w:val="24"/>
          <w:lang w:val="en-US"/>
        </w:rPr>
        <w:t>What are the benefits of</w:t>
      </w:r>
      <w:bookmarkEnd w:id="1"/>
      <w:bookmarkEnd w:id="2"/>
      <w:r w:rsidRPr="002658E6">
        <w:rPr>
          <w:sz w:val="24"/>
          <w:szCs w:val="24"/>
        </w:rPr>
        <w:t xml:space="preserve"> </w:t>
      </w:r>
      <w:r w:rsidRPr="002658E6">
        <w:rPr>
          <w:rFonts w:ascii="Times New Roman" w:hAnsi="Times New Roman" w:cs="Times New Roman"/>
          <w:b/>
          <w:sz w:val="24"/>
          <w:szCs w:val="24"/>
        </w:rPr>
        <w:t>the enterprise risk management in pharmaceutical company?</w:t>
      </w:r>
    </w:p>
    <w:p w14:paraId="2CB5EA00" w14:textId="739B8AA1" w:rsidR="002658E6" w:rsidRPr="002658E6" w:rsidRDefault="002658E6" w:rsidP="002658E6">
      <w:pPr>
        <w:spacing w:line="360" w:lineRule="auto"/>
        <w:jc w:val="both"/>
        <w:rPr>
          <w:rFonts w:ascii="Times New Roman" w:hAnsi="Times New Roman" w:cs="Times New Roman"/>
          <w:sz w:val="24"/>
          <w:szCs w:val="24"/>
        </w:rPr>
      </w:pPr>
      <w:r w:rsidRPr="002658E6">
        <w:rPr>
          <w:rFonts w:ascii="Times New Roman" w:hAnsi="Times New Roman" w:cs="Times New Roman"/>
          <w:b/>
          <w:bCs/>
          <w:sz w:val="24"/>
          <w:szCs w:val="24"/>
        </w:rPr>
        <w:t>1. Improved Regulatory Compliance</w:t>
      </w:r>
      <w:r>
        <w:rPr>
          <w:rFonts w:ascii="Times New Roman" w:hAnsi="Times New Roman" w:cs="Times New Roman"/>
          <w:b/>
          <w:bCs/>
          <w:sz w:val="24"/>
          <w:szCs w:val="24"/>
        </w:rPr>
        <w:t>:</w:t>
      </w:r>
      <w:r>
        <w:rPr>
          <w:rFonts w:ascii="Times New Roman" w:hAnsi="Times New Roman" w:cs="Times New Roman"/>
          <w:sz w:val="24"/>
          <w:szCs w:val="24"/>
        </w:rPr>
        <w:t xml:space="preserve"> </w:t>
      </w:r>
      <w:r w:rsidRPr="002658E6">
        <w:rPr>
          <w:rFonts w:ascii="Times New Roman" w:hAnsi="Times New Roman" w:cs="Times New Roman"/>
          <w:sz w:val="24"/>
          <w:szCs w:val="24"/>
        </w:rPr>
        <w:t xml:space="preserve">Enterprise risk management ensures that the company remains aligned with complex and evolving global regulatory requirements. It helps identify compliance gaps in areas such as FDA, EMA, and WHO standards. </w:t>
      </w:r>
    </w:p>
    <w:p w14:paraId="59DECBF4" w14:textId="312235BB" w:rsidR="002658E6" w:rsidRPr="002658E6" w:rsidRDefault="002658E6" w:rsidP="002658E6">
      <w:pPr>
        <w:spacing w:line="360" w:lineRule="auto"/>
        <w:jc w:val="both"/>
        <w:rPr>
          <w:rFonts w:ascii="Times New Roman" w:hAnsi="Times New Roman" w:cs="Times New Roman"/>
          <w:sz w:val="24"/>
          <w:szCs w:val="24"/>
        </w:rPr>
      </w:pPr>
      <w:r w:rsidRPr="002658E6">
        <w:rPr>
          <w:rFonts w:ascii="Times New Roman" w:hAnsi="Times New Roman" w:cs="Times New Roman"/>
          <w:b/>
          <w:bCs/>
          <w:sz w:val="24"/>
          <w:szCs w:val="24"/>
        </w:rPr>
        <w:t>2. Enhanced Patient Safety and Product Quality</w:t>
      </w:r>
      <w:r>
        <w:rPr>
          <w:rFonts w:ascii="Times New Roman" w:hAnsi="Times New Roman" w:cs="Times New Roman"/>
          <w:b/>
          <w:bCs/>
          <w:sz w:val="24"/>
          <w:szCs w:val="24"/>
        </w:rPr>
        <w:t>:</w:t>
      </w:r>
      <w:r>
        <w:rPr>
          <w:rFonts w:ascii="Times New Roman" w:hAnsi="Times New Roman" w:cs="Times New Roman"/>
          <w:sz w:val="24"/>
          <w:szCs w:val="24"/>
        </w:rPr>
        <w:t xml:space="preserve"> </w:t>
      </w:r>
      <w:r w:rsidRPr="002658E6">
        <w:rPr>
          <w:rFonts w:ascii="Times New Roman" w:hAnsi="Times New Roman" w:cs="Times New Roman"/>
          <w:sz w:val="24"/>
          <w:szCs w:val="24"/>
        </w:rPr>
        <w:t xml:space="preserve">ERM enables early detection of risks in drug development, manufacturing, and distribution. By proactively managing these risks, pharmaceutical companies can maintain high standards of product quality and safety. </w:t>
      </w:r>
    </w:p>
    <w:p w14:paraId="53433432" w14:textId="08740880" w:rsidR="002658E6" w:rsidRPr="002658E6" w:rsidRDefault="002658E6" w:rsidP="002658E6">
      <w:pPr>
        <w:spacing w:line="360" w:lineRule="auto"/>
        <w:jc w:val="both"/>
        <w:rPr>
          <w:rFonts w:ascii="Times New Roman" w:hAnsi="Times New Roman" w:cs="Times New Roman"/>
          <w:sz w:val="24"/>
          <w:szCs w:val="24"/>
        </w:rPr>
      </w:pPr>
      <w:r w:rsidRPr="002658E6">
        <w:rPr>
          <w:rFonts w:ascii="Times New Roman" w:hAnsi="Times New Roman" w:cs="Times New Roman"/>
          <w:b/>
          <w:bCs/>
          <w:sz w:val="24"/>
          <w:szCs w:val="24"/>
        </w:rPr>
        <w:t>3. Better Decision-Making and Strategic Planning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2658E6">
        <w:rPr>
          <w:rFonts w:ascii="Times New Roman" w:hAnsi="Times New Roman" w:cs="Times New Roman"/>
          <w:sz w:val="24"/>
          <w:szCs w:val="24"/>
        </w:rPr>
        <w:t xml:space="preserve">ERM provides management with data-driven insights and a clear understanding of potential threats and opportunities. This supports more informed and confident decision-making at all organizational levels. </w:t>
      </w:r>
    </w:p>
    <w:p w14:paraId="543632DC" w14:textId="2DB375E6" w:rsidR="002658E6" w:rsidRPr="002658E6" w:rsidRDefault="002658E6" w:rsidP="002658E6">
      <w:pPr>
        <w:spacing w:line="360" w:lineRule="auto"/>
        <w:jc w:val="both"/>
        <w:rPr>
          <w:rFonts w:ascii="Times New Roman" w:hAnsi="Times New Roman" w:cs="Times New Roman"/>
          <w:sz w:val="24"/>
          <w:szCs w:val="24"/>
        </w:rPr>
      </w:pPr>
      <w:r w:rsidRPr="002658E6">
        <w:rPr>
          <w:rFonts w:ascii="Times New Roman" w:hAnsi="Times New Roman" w:cs="Times New Roman"/>
          <w:b/>
          <w:bCs/>
          <w:sz w:val="24"/>
          <w:szCs w:val="24"/>
        </w:rPr>
        <w:t>4. Financial Stability and Loss Prevention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2658E6">
        <w:rPr>
          <w:rFonts w:ascii="Times New Roman" w:hAnsi="Times New Roman" w:cs="Times New Roman"/>
          <w:sz w:val="24"/>
          <w:szCs w:val="24"/>
        </w:rPr>
        <w:t>Through identification and mitigation of financial risks such as investment losses or currency fluctuations, ERM helps safeguard the company’s financial health. It also prevents unexpected costs from recalls, lawsuits, or failed trials. This leads to more predictable earnings and improved investor confidence.</w:t>
      </w:r>
    </w:p>
    <w:p w14:paraId="3E4A13D0" w14:textId="38F2D0A6" w:rsidR="002658E6" w:rsidRPr="002658E6" w:rsidRDefault="002658E6" w:rsidP="002658E6">
      <w:pPr>
        <w:spacing w:line="360" w:lineRule="auto"/>
        <w:jc w:val="both"/>
        <w:rPr>
          <w:rFonts w:ascii="Times New Roman" w:hAnsi="Times New Roman" w:cs="Times New Roman"/>
          <w:sz w:val="24"/>
          <w:szCs w:val="24"/>
        </w:rPr>
      </w:pPr>
      <w:r w:rsidRPr="002658E6">
        <w:rPr>
          <w:rFonts w:ascii="Times New Roman" w:hAnsi="Times New Roman" w:cs="Times New Roman"/>
          <w:b/>
          <w:bCs/>
          <w:sz w:val="24"/>
          <w:szCs w:val="24"/>
        </w:rPr>
        <w:lastRenderedPageBreak/>
        <w:t>5. Stronger Corporate Reputation and Brand Value</w:t>
      </w:r>
      <w:r>
        <w:rPr>
          <w:rFonts w:ascii="Times New Roman" w:hAnsi="Times New Roman" w:cs="Times New Roman"/>
          <w:b/>
          <w:bCs/>
          <w:sz w:val="24"/>
          <w:szCs w:val="24"/>
        </w:rPr>
        <w:t>:</w:t>
      </w:r>
      <w:r>
        <w:rPr>
          <w:rFonts w:ascii="Times New Roman" w:hAnsi="Times New Roman" w:cs="Times New Roman"/>
          <w:sz w:val="24"/>
          <w:szCs w:val="24"/>
        </w:rPr>
        <w:t xml:space="preserve"> </w:t>
      </w:r>
      <w:r w:rsidRPr="002658E6">
        <w:rPr>
          <w:rFonts w:ascii="Times New Roman" w:hAnsi="Times New Roman" w:cs="Times New Roman"/>
          <w:sz w:val="24"/>
          <w:szCs w:val="24"/>
        </w:rPr>
        <w:t>By proactively managing reputational risks—including those tied to pricing, clinical ethics, or product failures—ERM protects the company’s image. A strong reputation is crucial in the pharmaceutical industry where public trust is essential. Consistent risk controls also reflect positively in media and market perception.</w:t>
      </w:r>
    </w:p>
    <w:p w14:paraId="3AE6F000" w14:textId="6676C780" w:rsidR="002658E6" w:rsidRDefault="002658E6" w:rsidP="002658E6">
      <w:pPr>
        <w:spacing w:line="360" w:lineRule="auto"/>
        <w:jc w:val="both"/>
        <w:rPr>
          <w:rFonts w:ascii="Times New Roman" w:hAnsi="Times New Roman" w:cs="Times New Roman"/>
          <w:sz w:val="24"/>
          <w:szCs w:val="24"/>
        </w:rPr>
      </w:pPr>
      <w:r w:rsidRPr="002658E6">
        <w:rPr>
          <w:rFonts w:ascii="Times New Roman" w:hAnsi="Times New Roman" w:cs="Times New Roman"/>
          <w:b/>
          <w:bCs/>
          <w:sz w:val="24"/>
          <w:szCs w:val="24"/>
        </w:rPr>
        <w:t>6. Efficient Crisis and Incident Management</w:t>
      </w:r>
      <w:r>
        <w:rPr>
          <w:rFonts w:ascii="Times New Roman" w:hAnsi="Times New Roman" w:cs="Times New Roman"/>
          <w:b/>
          <w:bCs/>
          <w:sz w:val="24"/>
          <w:szCs w:val="24"/>
        </w:rPr>
        <w:t>:</w:t>
      </w:r>
      <w:r>
        <w:rPr>
          <w:rFonts w:ascii="Times New Roman" w:hAnsi="Times New Roman" w:cs="Times New Roman"/>
          <w:sz w:val="24"/>
          <w:szCs w:val="24"/>
        </w:rPr>
        <w:t xml:space="preserve"> </w:t>
      </w:r>
      <w:r w:rsidRPr="002658E6">
        <w:rPr>
          <w:rFonts w:ascii="Times New Roman" w:hAnsi="Times New Roman" w:cs="Times New Roman"/>
          <w:sz w:val="24"/>
          <w:szCs w:val="24"/>
        </w:rPr>
        <w:t xml:space="preserve">ERM equips the organization with clear contingency plans and response protocols. This is especially valuable during crises such as product contamination, cyberattacks, or pandemic-related disruptions. </w:t>
      </w:r>
    </w:p>
    <w:p w14:paraId="6417069F" w14:textId="499A4708" w:rsidR="002658E6" w:rsidRDefault="002658E6" w:rsidP="002658E6">
      <w:pPr>
        <w:spacing w:line="360" w:lineRule="auto"/>
        <w:jc w:val="both"/>
        <w:rPr>
          <w:rFonts w:ascii="Times New Roman" w:hAnsi="Times New Roman" w:cs="Times New Roman"/>
          <w:b/>
          <w:sz w:val="24"/>
          <w:szCs w:val="24"/>
        </w:rPr>
      </w:pPr>
      <w:r w:rsidRPr="002658E6">
        <w:rPr>
          <w:rFonts w:ascii="Times New Roman" w:hAnsi="Times New Roman" w:cs="Times New Roman"/>
          <w:b/>
          <w:sz w:val="24"/>
          <w:szCs w:val="24"/>
        </w:rPr>
        <w:t>The enterprise risk management in pharmaceutical company</w:t>
      </w:r>
      <w:r w:rsidRPr="002058B4">
        <w:rPr>
          <w:rFonts w:ascii="Times New Roman" w:hAnsi="Times New Roman" w:cs="Times New Roman"/>
          <w:b/>
          <w:sz w:val="24"/>
          <w:szCs w:val="24"/>
        </w:rPr>
        <w:t xml:space="preserve"> </w:t>
      </w:r>
      <w:r w:rsidRPr="002058B4">
        <w:rPr>
          <w:rFonts w:ascii="Times New Roman" w:hAnsi="Times New Roman" w:cs="Times New Roman"/>
          <w:b/>
          <w:sz w:val="24"/>
          <w:szCs w:val="24"/>
        </w:rPr>
        <w:t>advantages</w:t>
      </w:r>
    </w:p>
    <w:p w14:paraId="7BB71211" w14:textId="0EE7F659" w:rsidR="002658E6" w:rsidRPr="002658E6" w:rsidRDefault="002658E6" w:rsidP="002658E6">
      <w:pPr>
        <w:spacing w:line="360" w:lineRule="auto"/>
        <w:jc w:val="both"/>
        <w:rPr>
          <w:rFonts w:ascii="Times New Roman" w:hAnsi="Times New Roman" w:cs="Times New Roman"/>
          <w:bCs/>
          <w:sz w:val="24"/>
          <w:szCs w:val="24"/>
        </w:rPr>
      </w:pPr>
      <w:r w:rsidRPr="002658E6">
        <w:rPr>
          <w:rFonts w:ascii="Times New Roman" w:hAnsi="Times New Roman" w:cs="Times New Roman"/>
          <w:b/>
          <w:bCs/>
          <w:sz w:val="24"/>
          <w:szCs w:val="24"/>
        </w:rPr>
        <w:t>1. Proactive Risk Identification</w:t>
      </w:r>
      <w:r>
        <w:rPr>
          <w:rFonts w:ascii="Times New Roman" w:hAnsi="Times New Roman" w:cs="Times New Roman"/>
          <w:b/>
          <w:sz w:val="24"/>
          <w:szCs w:val="24"/>
        </w:rPr>
        <w:t xml:space="preserve">: </w:t>
      </w:r>
      <w:r w:rsidRPr="002658E6">
        <w:rPr>
          <w:rFonts w:ascii="Times New Roman" w:hAnsi="Times New Roman" w:cs="Times New Roman"/>
          <w:bCs/>
          <w:sz w:val="24"/>
          <w:szCs w:val="24"/>
        </w:rPr>
        <w:t>ERM allows pharmaceutical companies to identify potential threats in advance, whether they relate to compliance, clinical trials, or manufacturing. Early recognition helps avoid crises and ensures smoother operations. It shifts the organization from reactive to proactive risk handling.</w:t>
      </w:r>
    </w:p>
    <w:p w14:paraId="393D0C57" w14:textId="66B9A1AA" w:rsidR="002658E6" w:rsidRPr="002658E6" w:rsidRDefault="002658E6" w:rsidP="002658E6">
      <w:pPr>
        <w:spacing w:line="360" w:lineRule="auto"/>
        <w:jc w:val="both"/>
        <w:rPr>
          <w:rFonts w:ascii="Times New Roman" w:hAnsi="Times New Roman" w:cs="Times New Roman"/>
          <w:bCs/>
          <w:sz w:val="24"/>
          <w:szCs w:val="24"/>
        </w:rPr>
      </w:pPr>
      <w:r w:rsidRPr="002658E6">
        <w:rPr>
          <w:rFonts w:ascii="Times New Roman" w:hAnsi="Times New Roman" w:cs="Times New Roman"/>
          <w:b/>
          <w:bCs/>
          <w:sz w:val="24"/>
          <w:szCs w:val="24"/>
        </w:rPr>
        <w:t>2. Increased Operational Efficiency</w:t>
      </w:r>
      <w:r>
        <w:rPr>
          <w:rFonts w:ascii="Times New Roman" w:hAnsi="Times New Roman" w:cs="Times New Roman"/>
          <w:b/>
          <w:sz w:val="24"/>
          <w:szCs w:val="24"/>
        </w:rPr>
        <w:t xml:space="preserve">: </w:t>
      </w:r>
      <w:r w:rsidRPr="002658E6">
        <w:rPr>
          <w:rFonts w:ascii="Times New Roman" w:hAnsi="Times New Roman" w:cs="Times New Roman"/>
          <w:bCs/>
          <w:sz w:val="24"/>
          <w:szCs w:val="24"/>
        </w:rPr>
        <w:t>By streamlining processes and reducing redundant risk checks, ERM enhances operational workflows. Resources are better allocated, and delays are minimized. This leads to faster decision-making and cost savings across departments.</w:t>
      </w:r>
    </w:p>
    <w:p w14:paraId="760F2A50" w14:textId="73E26C4D" w:rsidR="002658E6" w:rsidRPr="002658E6" w:rsidRDefault="002658E6" w:rsidP="002658E6">
      <w:pPr>
        <w:spacing w:line="360" w:lineRule="auto"/>
        <w:jc w:val="both"/>
        <w:rPr>
          <w:rFonts w:ascii="Times New Roman" w:hAnsi="Times New Roman" w:cs="Times New Roman"/>
          <w:b/>
          <w:sz w:val="24"/>
          <w:szCs w:val="24"/>
        </w:rPr>
      </w:pPr>
      <w:r w:rsidRPr="002658E6">
        <w:rPr>
          <w:rFonts w:ascii="Times New Roman" w:hAnsi="Times New Roman" w:cs="Times New Roman"/>
          <w:b/>
          <w:bCs/>
          <w:sz w:val="24"/>
          <w:szCs w:val="24"/>
        </w:rPr>
        <w:t>3. Competitive Market Position</w:t>
      </w:r>
      <w:r>
        <w:rPr>
          <w:rFonts w:ascii="Times New Roman" w:hAnsi="Times New Roman" w:cs="Times New Roman"/>
          <w:b/>
          <w:sz w:val="24"/>
          <w:szCs w:val="24"/>
        </w:rPr>
        <w:t xml:space="preserve">: </w:t>
      </w:r>
      <w:r w:rsidRPr="002658E6">
        <w:rPr>
          <w:rFonts w:ascii="Times New Roman" w:hAnsi="Times New Roman" w:cs="Times New Roman"/>
          <w:bCs/>
          <w:sz w:val="24"/>
          <w:szCs w:val="24"/>
        </w:rPr>
        <w:t xml:space="preserve">A pharmaceutical company with a strong ERM system can adapt quickly to changes in regulation, market demands, and global health trends. This agility offers a competitive edge over slower, risk-averse competitors. </w:t>
      </w:r>
    </w:p>
    <w:p w14:paraId="3ED72E8E" w14:textId="0773A238" w:rsidR="002658E6" w:rsidRPr="002658E6" w:rsidRDefault="002658E6" w:rsidP="002658E6">
      <w:pPr>
        <w:spacing w:line="360" w:lineRule="auto"/>
        <w:jc w:val="both"/>
        <w:rPr>
          <w:rFonts w:ascii="Times New Roman" w:hAnsi="Times New Roman" w:cs="Times New Roman"/>
          <w:b/>
          <w:sz w:val="24"/>
          <w:szCs w:val="24"/>
        </w:rPr>
      </w:pPr>
      <w:r w:rsidRPr="002658E6">
        <w:rPr>
          <w:rFonts w:ascii="Times New Roman" w:hAnsi="Times New Roman" w:cs="Times New Roman"/>
          <w:b/>
          <w:bCs/>
          <w:sz w:val="24"/>
          <w:szCs w:val="24"/>
        </w:rPr>
        <w:t>4. Safeguarding Intellectual Property (IP)</w:t>
      </w:r>
      <w:r>
        <w:rPr>
          <w:rFonts w:ascii="Times New Roman" w:hAnsi="Times New Roman" w:cs="Times New Roman"/>
          <w:b/>
          <w:sz w:val="24"/>
          <w:szCs w:val="24"/>
        </w:rPr>
        <w:t xml:space="preserve">: </w:t>
      </w:r>
      <w:r w:rsidRPr="002658E6">
        <w:rPr>
          <w:rFonts w:ascii="Times New Roman" w:hAnsi="Times New Roman" w:cs="Times New Roman"/>
          <w:bCs/>
          <w:sz w:val="24"/>
          <w:szCs w:val="24"/>
        </w:rPr>
        <w:t>Pharmaceutical companies invest heavily in research and innovation, making IP protection vital. ERM ensures risks related to patent loss, theft, or infringement are well managed. This secures long-term revenue and maintains innovation leadership.</w:t>
      </w:r>
    </w:p>
    <w:p w14:paraId="6021E237" w14:textId="453E66CC" w:rsidR="002658E6" w:rsidRPr="002658E6" w:rsidRDefault="002658E6" w:rsidP="002658E6">
      <w:pPr>
        <w:spacing w:line="360" w:lineRule="auto"/>
        <w:jc w:val="both"/>
        <w:rPr>
          <w:rFonts w:ascii="Times New Roman" w:hAnsi="Times New Roman" w:cs="Times New Roman"/>
          <w:b/>
          <w:sz w:val="24"/>
          <w:szCs w:val="24"/>
        </w:rPr>
      </w:pPr>
      <w:r w:rsidRPr="002658E6">
        <w:rPr>
          <w:rFonts w:ascii="Times New Roman" w:hAnsi="Times New Roman" w:cs="Times New Roman"/>
          <w:b/>
          <w:bCs/>
          <w:sz w:val="24"/>
          <w:szCs w:val="24"/>
        </w:rPr>
        <w:t>5. Strong Compliance Culture</w:t>
      </w:r>
      <w:r>
        <w:rPr>
          <w:rFonts w:ascii="Times New Roman" w:hAnsi="Times New Roman" w:cs="Times New Roman"/>
          <w:b/>
          <w:sz w:val="24"/>
          <w:szCs w:val="24"/>
        </w:rPr>
        <w:t xml:space="preserve">: </w:t>
      </w:r>
      <w:r w:rsidRPr="002658E6">
        <w:rPr>
          <w:rFonts w:ascii="Times New Roman" w:hAnsi="Times New Roman" w:cs="Times New Roman"/>
          <w:bCs/>
          <w:sz w:val="24"/>
          <w:szCs w:val="24"/>
        </w:rPr>
        <w:t>ERM fosters a culture of accountability and transparency across all levels of the organization. Employees become more aware of regulatory responsibilities and ethical standards. This reduces non-compliance risks and enhances audit readiness.</w:t>
      </w:r>
    </w:p>
    <w:p w14:paraId="0EF02FA6" w14:textId="3B1D5CEF" w:rsidR="002658E6" w:rsidRDefault="002658E6" w:rsidP="002658E6">
      <w:pPr>
        <w:spacing w:line="360" w:lineRule="auto"/>
        <w:jc w:val="both"/>
        <w:rPr>
          <w:rFonts w:ascii="Times New Roman" w:hAnsi="Times New Roman" w:cs="Times New Roman"/>
          <w:bCs/>
          <w:sz w:val="24"/>
          <w:szCs w:val="24"/>
        </w:rPr>
      </w:pPr>
      <w:r w:rsidRPr="002658E6">
        <w:rPr>
          <w:rFonts w:ascii="Times New Roman" w:hAnsi="Times New Roman" w:cs="Times New Roman"/>
          <w:b/>
          <w:bCs/>
          <w:sz w:val="24"/>
          <w:szCs w:val="24"/>
        </w:rPr>
        <w:t>6. Better Resource Allocation</w:t>
      </w:r>
      <w:r>
        <w:rPr>
          <w:rFonts w:ascii="Times New Roman" w:hAnsi="Times New Roman" w:cs="Times New Roman"/>
          <w:b/>
          <w:sz w:val="24"/>
          <w:szCs w:val="24"/>
        </w:rPr>
        <w:t xml:space="preserve">: </w:t>
      </w:r>
      <w:r w:rsidRPr="002658E6">
        <w:rPr>
          <w:rFonts w:ascii="Times New Roman" w:hAnsi="Times New Roman" w:cs="Times New Roman"/>
          <w:bCs/>
          <w:sz w:val="24"/>
          <w:szCs w:val="24"/>
        </w:rPr>
        <w:t>By understanding which areas pose the greatest risk, companies can direct time, capital, and personnel more effectively. ERM helps prioritize critical functions and reduce unnecessary expenditures. This leads to more strategic use of company resources.</w:t>
      </w:r>
    </w:p>
    <w:p w14:paraId="078EA59E" w14:textId="77777777" w:rsidR="002658E6" w:rsidRDefault="002658E6" w:rsidP="002658E6">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079D8669" w14:textId="69F76278" w:rsidR="002658E6" w:rsidRP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The pharmaceutical industry is a highly dynamic and innovation-driven sector that plays a critical role in global health by researching, developing, manufacturing, and distributing drugs and medical therapies. Operating in one of the most regulated environments in the world, pharmaceutical companies face a wide array of risks—ranging from regulatory compliance and clinical trial failures to intellectual property disputes, supply chain disruptions, and product liability claims. With these complexities in mind, Enterprise Risk Management (ERM) has emerged as a fundamental practice within the industry to systematically identify, assess, manage, and monitor risks across all business functions.</w:t>
      </w:r>
    </w:p>
    <w:p w14:paraId="413A208B" w14:textId="3DDD966A" w:rsidR="002658E6" w:rsidRP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ERM in the pharmaceutical industry goes far beyond traditional risk controls. It involves integrating risk management into strategic planning, product development, regulatory compliance, marketing, and operations. The industry is heavily influenced by strict regulations from authorities such as the U.S. Food and Drug Administration (FDA), European Medicines Agency (EMA), and World Health Organization (WHO). Any non-compliance or failure in quality assurance can lead to severe financial penalties, damaged reputations, or the withdrawal of market authorization. As such, risk management is no longer seen as an isolated compliance function but as a strategic enabler of business resilience and value creation.</w:t>
      </w:r>
    </w:p>
    <w:p w14:paraId="6DFF4963" w14:textId="49274787" w:rsidR="002658E6" w:rsidRP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The complexity of drug development, which includes lengthy research cycles, uncertain clinical outcomes, and the need for substantial financial investment, increases exposure to strategic and operational risks. Moreover, the industry must constantly navigate risks associated with patent expirations, generic competition, fluctuating market access rules, and emerging global health threats. In recent years, the COVID-19 pandemic further emphasized the need for agile and proactive risk management systems that support business continuity, especially in managing global supply chains and maintaining regulatory obligations under pressure.</w:t>
      </w:r>
    </w:p>
    <w:p w14:paraId="75AF5372" w14:textId="7D7693BD" w:rsidR="002658E6" w:rsidRP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 xml:space="preserve">In response to these challenges, pharmaceutical companies have increasingly adopted formal ERM frameworks that are aligned with standards such as COSO ERM and ISO 31000. These frameworks help organizations create a structured process for assessing internal and external risks, defining risk appetites, implementing control measures, and reporting risks to senior leadership. Many companies now use advanced tools like predictive analytics, AI-driven risk </w:t>
      </w:r>
      <w:proofErr w:type="spellStart"/>
      <w:r w:rsidRPr="002658E6">
        <w:rPr>
          <w:rFonts w:ascii="Times New Roman" w:hAnsi="Times New Roman" w:cs="Times New Roman"/>
          <w:bCs/>
          <w:sz w:val="24"/>
          <w:szCs w:val="24"/>
        </w:rPr>
        <w:t>modeling</w:t>
      </w:r>
      <w:proofErr w:type="spellEnd"/>
      <w:r w:rsidRPr="002658E6">
        <w:rPr>
          <w:rFonts w:ascii="Times New Roman" w:hAnsi="Times New Roman" w:cs="Times New Roman"/>
          <w:bCs/>
          <w:sz w:val="24"/>
          <w:szCs w:val="24"/>
        </w:rPr>
        <w:t>, and digital risk dashboards to monitor risk exposure in real time.</w:t>
      </w:r>
    </w:p>
    <w:p w14:paraId="502DB2FD" w14:textId="77777777" w:rsidR="002658E6" w:rsidRDefault="002658E6" w:rsidP="002658E6">
      <w:pPr>
        <w:spacing w:line="360" w:lineRule="auto"/>
        <w:jc w:val="both"/>
        <w:rPr>
          <w:rFonts w:ascii="Times New Roman" w:hAnsi="Times New Roman" w:cs="Times New Roman"/>
          <w:bCs/>
          <w:sz w:val="24"/>
          <w:szCs w:val="24"/>
        </w:rPr>
      </w:pPr>
    </w:p>
    <w:p w14:paraId="2B0A330E" w14:textId="77777777" w:rsidR="002658E6" w:rsidRPr="00643432" w:rsidRDefault="002658E6" w:rsidP="002658E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394A4303" w14:textId="3F4CA559" w:rsidR="002658E6" w:rsidRP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The pharmaceutical industry operates in an environment of high uncertainty, strict regulations, and rapid innovation, where the margin for error is extremely narrow. Companies in this sector face numerous risks, including regulatory non-compliance, clinical trial failures, product recalls, intellectual property disputes, supply chain disruptions, cybersecurity threats, and reputational damage. These risks, if not effectively identified and managed, can lead to severe financial losses, operational breakdowns, delayed product launches, and erosion of public trust.</w:t>
      </w:r>
    </w:p>
    <w:p w14:paraId="70F9A7D3" w14:textId="2E377EAE" w:rsidR="002658E6" w:rsidRP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Despite the increasing adoption of Enterprise Risk Management (ERM) frameworks in global pharmaceutical companies, many organizations still struggle with inconsistent implementation, poor risk visibility across departments, and limited integration of risk insights into strategic decision-making. In some cases, ERM is treated merely as a compliance requirement rather than a value-driven management tool. This fragmented approach reduces the effectiveness of risk mitigation and fails to support proactive decision-making.</w:t>
      </w:r>
    </w:p>
    <w:p w14:paraId="34A82C69" w14:textId="14967D79" w:rsidR="002658E6" w:rsidRDefault="002658E6" w:rsidP="002658E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658E6">
        <w:rPr>
          <w:rFonts w:ascii="Times New Roman" w:hAnsi="Times New Roman" w:cs="Times New Roman"/>
          <w:bCs/>
          <w:sz w:val="24"/>
          <w:szCs w:val="24"/>
        </w:rPr>
        <w:t>Moreover, the COVID-19 pandemic, regulatory reforms, digital transformation, and rising public scrutiny have further exposed the vulnerabilities in traditional risk management models. Pharmaceutical companies must now manage both traditional operational risks and emerging risks related to ESG (Environmental, Social, and Governance), global health trends, and digital innovation.</w:t>
      </w:r>
    </w:p>
    <w:p w14:paraId="19731C8C" w14:textId="77777777" w:rsidR="002658E6" w:rsidRDefault="002658E6" w:rsidP="002658E6">
      <w:pPr>
        <w:spacing w:line="360" w:lineRule="auto"/>
        <w:jc w:val="both"/>
        <w:rPr>
          <w:rFonts w:ascii="Times New Roman" w:hAnsi="Times New Roman" w:cs="Times New Roman"/>
          <w:b/>
          <w:bCs/>
          <w:sz w:val="24"/>
          <w:szCs w:val="24"/>
        </w:rPr>
      </w:pPr>
      <w:r w:rsidRPr="002658E6">
        <w:rPr>
          <w:rFonts w:ascii="Times New Roman" w:hAnsi="Times New Roman" w:cs="Times New Roman"/>
          <w:b/>
          <w:bCs/>
          <w:sz w:val="24"/>
          <w:szCs w:val="24"/>
        </w:rPr>
        <w:t>1.5 OBJECTIVES OF THE STUDY</w:t>
      </w:r>
    </w:p>
    <w:p w14:paraId="5E6A8E7A" w14:textId="388737BD"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To assess the effectiveness of enterprise risk management practices in a pharmaceutical company.</w:t>
      </w:r>
    </w:p>
    <w:p w14:paraId="38E8C92B" w14:textId="63AA3414"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To identify the key risks commonly faced by pharmaceutical companies.</w:t>
      </w:r>
    </w:p>
    <w:p w14:paraId="557A5135" w14:textId="4B6CACF8"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To evaluate the integration of ERM into the company’s strategic and operational decision-making.</w:t>
      </w:r>
    </w:p>
    <w:p w14:paraId="508A4F3F" w14:textId="7D623587"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To examine the role of regulatory compliance in enterprise risk management.</w:t>
      </w:r>
    </w:p>
    <w:p w14:paraId="650EFA6D" w14:textId="69AA5908"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 xml:space="preserve">To </w:t>
      </w:r>
      <w:proofErr w:type="spellStart"/>
      <w:r w:rsidRPr="00251E86">
        <w:rPr>
          <w:rFonts w:ascii="Times New Roman" w:hAnsi="Times New Roman" w:cs="Times New Roman"/>
          <w:sz w:val="24"/>
          <w:szCs w:val="24"/>
        </w:rPr>
        <w:t>analyze</w:t>
      </w:r>
      <w:proofErr w:type="spellEnd"/>
      <w:r w:rsidRPr="00251E86">
        <w:rPr>
          <w:rFonts w:ascii="Times New Roman" w:hAnsi="Times New Roman" w:cs="Times New Roman"/>
          <w:sz w:val="24"/>
          <w:szCs w:val="24"/>
        </w:rPr>
        <w:t xml:space="preserve"> how ERM contributes to product quality, safety, and innovation.</w:t>
      </w:r>
    </w:p>
    <w:p w14:paraId="0AAA1FF0" w14:textId="67FB0738"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To determine the awareness and involvement of employees in the ERM process.</w:t>
      </w:r>
    </w:p>
    <w:p w14:paraId="3B97E2B9" w14:textId="42014AC6" w:rsidR="00251E86" w:rsidRPr="00251E86" w:rsidRDefault="00251E86" w:rsidP="00251E86">
      <w:pPr>
        <w:pStyle w:val="ListParagraph"/>
        <w:numPr>
          <w:ilvl w:val="0"/>
          <w:numId w:val="3"/>
        </w:num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To explore the impact of ERM on financial stability and business continuity.</w:t>
      </w:r>
    </w:p>
    <w:p w14:paraId="0D81F598" w14:textId="77777777" w:rsidR="00251E86" w:rsidRDefault="00251E86" w:rsidP="002658E6">
      <w:pPr>
        <w:spacing w:line="360" w:lineRule="auto"/>
        <w:jc w:val="both"/>
        <w:rPr>
          <w:rFonts w:ascii="Times New Roman" w:hAnsi="Times New Roman" w:cs="Times New Roman"/>
          <w:b/>
          <w:bCs/>
          <w:sz w:val="24"/>
          <w:szCs w:val="24"/>
        </w:rPr>
      </w:pPr>
    </w:p>
    <w:p w14:paraId="619310A7" w14:textId="77777777" w:rsidR="00251E86" w:rsidRDefault="00251E86" w:rsidP="002658E6">
      <w:pPr>
        <w:spacing w:line="360" w:lineRule="auto"/>
        <w:jc w:val="both"/>
        <w:rPr>
          <w:rFonts w:ascii="Times New Roman" w:hAnsi="Times New Roman" w:cs="Times New Roman"/>
          <w:b/>
          <w:bCs/>
          <w:sz w:val="24"/>
          <w:szCs w:val="24"/>
        </w:rPr>
      </w:pPr>
    </w:p>
    <w:p w14:paraId="6A93EC6C" w14:textId="77777777" w:rsidR="00251E86" w:rsidRDefault="00251E86" w:rsidP="00251E86">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51996FC2" w14:textId="13DE299F"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The scope of this study focuses on understanding and evaluating the implementation and effectiveness of Enterprise Risk Management (ERM) within a pharmaceutical company. This research covers a comprehensive analysis of how pharmaceutical companies identify, assess, manage, and monitor various risks associated with their operations. The study includes strategic, operational, financial, compliance, reputational, and emerging risks, considering the highly regulated and innovation-intensive nature of the pharmaceutical industry. It investigates the role of ERM in aligning risk management practices with business strategy, ensuring regulatory compliance, maintaining product quality, and protecting intellectual property.</w:t>
      </w:r>
    </w:p>
    <w:p w14:paraId="06613EF2" w14:textId="5C6689E3"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The study explores the internal structure and risk governance mechanisms of the company, including the responsibilities of risk officers, compliance teams, and top management in embedding ERM practices across departments. It considers how risk assessments are conducted, how risk priorities are set, and what tools and frameworks are used to monitor risk exposure in real time. Additionally, the scope includes examining the integration of ERM with quality assurance systems, clinical trial processes, research and development activities, and supply chain management.</w:t>
      </w:r>
    </w:p>
    <w:p w14:paraId="5BB878BE" w14:textId="06869AD6" w:rsid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The research also looks into the use of digital technologies, such as predictive analytics, AI, and data dashboards, in enhancing ERM efficiency. This is particularly relevant given the increasing digitalization of pharmaceutical processes and the growing concern over cyber threats, data breaches, and technology-related operational risks. Furthermore, the study extends to assessing how the company responds to global disruptions, such as pandemics or geopolitical instability, using ERM-driven strategies.</w:t>
      </w:r>
      <w:r>
        <w:rPr>
          <w:rFonts w:ascii="Times New Roman" w:hAnsi="Times New Roman" w:cs="Times New Roman"/>
          <w:sz w:val="24"/>
          <w:szCs w:val="24"/>
        </w:rPr>
        <w:t xml:space="preserve">           </w:t>
      </w:r>
    </w:p>
    <w:p w14:paraId="0311E6E0" w14:textId="571A7C77"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Geographically, the study is confined to the operations of the selected pharmaceutical company, with insights that may be applicable to similar firms in the global context. The research includes inputs from employees at various levels, including risk managers, compliance officers, R&amp;D personnel, and quality assurance staff. However, the focus remains within the organizational boundaries and does not extend to external stakeholders like regulators or healthcare institutions.</w:t>
      </w:r>
    </w:p>
    <w:p w14:paraId="15A7ED7C" w14:textId="77777777" w:rsidR="00251E86" w:rsidRDefault="00251E86" w:rsidP="00251E86">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t>1.7 LIMITATIONS OF THE STUDY</w:t>
      </w:r>
    </w:p>
    <w:p w14:paraId="7DAF21A1" w14:textId="3F0FB1AF"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 xml:space="preserve">While this study aims to provide a comprehensive understanding of enterprise risk management (ERM) practices within a pharmaceutical company, it is subject to several </w:t>
      </w:r>
      <w:r w:rsidRPr="00251E86">
        <w:rPr>
          <w:rFonts w:ascii="Times New Roman" w:hAnsi="Times New Roman" w:cs="Times New Roman"/>
          <w:sz w:val="24"/>
          <w:szCs w:val="24"/>
        </w:rPr>
        <w:lastRenderedPageBreak/>
        <w:t>limitations. Firstly, the scope of the research is limited to a single or select few pharmaceutical companies, which may not fully represent the broader industry practices or global standards. The findings, therefore, may not be universally generalizable across different firms or geographical regions. Secondly, due to the confidentiality and sensitivity of internal risk-related data, access to complete and detailed information was restricted. This may have limited the depth of analysis, particularly in areas related to financial risk exposure, intellectual property strategies, and specific compliance incidents.</w:t>
      </w:r>
    </w:p>
    <w:p w14:paraId="42AA2017" w14:textId="2A334440"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Another limitation lies in the reliance on self-reported data from interviews and questionnaires, which may be subject to personal biases or a lack of full disclosure by the respondents. Additionally, the study primarily focuses on formal risk management structures and documented processes, potentially overlooking informal risk responses or undocumented practices that also influence outcomes. The time frame of the research also presents a constraint, as it captures a snapshot of ERM at a particular point in time and may not reflect future changes, adaptations, or evolving risk environments.</w:t>
      </w:r>
    </w:p>
    <w:p w14:paraId="139DDCEA" w14:textId="151A6641"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Furthermore, the study does not extensively address the external stakeholder perspective, such as that of regulators, healthcare providers, or patients, which could provide a broader understanding of risk impact. The availability and reliability of secondary data sources, such as company reports and industry publications, also vary and could affect the consistency of findings. Lastly, while emerging risks such as cybersecurity, ESG concerns, and digital transformation are mentioned, the dynamic nature of these risks may evolve rapidly, making some findings time-bound.</w:t>
      </w:r>
    </w:p>
    <w:p w14:paraId="2A30A638" w14:textId="54796109" w:rsid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Despite these limitations, the study provides valuable insights into the current state of ERM in a pharmaceutical setting and serves as a foundation for further research and practical improvements in risk management practices.</w:t>
      </w:r>
    </w:p>
    <w:p w14:paraId="59905586" w14:textId="77777777" w:rsidR="00251E86" w:rsidRDefault="00251E86" w:rsidP="00251E86">
      <w:pPr>
        <w:spacing w:line="360" w:lineRule="auto"/>
        <w:jc w:val="both"/>
        <w:rPr>
          <w:rFonts w:ascii="Times New Roman" w:hAnsi="Times New Roman" w:cs="Times New Roman"/>
          <w:sz w:val="24"/>
          <w:szCs w:val="24"/>
        </w:rPr>
      </w:pPr>
    </w:p>
    <w:p w14:paraId="27B53983" w14:textId="77777777" w:rsidR="00251E86" w:rsidRDefault="00251E86" w:rsidP="00251E86">
      <w:pPr>
        <w:spacing w:line="360" w:lineRule="auto"/>
        <w:jc w:val="both"/>
        <w:rPr>
          <w:rFonts w:ascii="Times New Roman" w:hAnsi="Times New Roman" w:cs="Times New Roman"/>
          <w:sz w:val="24"/>
          <w:szCs w:val="24"/>
        </w:rPr>
      </w:pPr>
    </w:p>
    <w:p w14:paraId="468AE925" w14:textId="77777777" w:rsidR="00251E86" w:rsidRDefault="00251E86" w:rsidP="00251E86">
      <w:pPr>
        <w:spacing w:line="360" w:lineRule="auto"/>
        <w:jc w:val="both"/>
        <w:rPr>
          <w:rFonts w:ascii="Times New Roman" w:hAnsi="Times New Roman" w:cs="Times New Roman"/>
          <w:sz w:val="24"/>
          <w:szCs w:val="24"/>
        </w:rPr>
      </w:pPr>
    </w:p>
    <w:p w14:paraId="71451B92" w14:textId="77777777" w:rsidR="00251E86" w:rsidRDefault="00251E86" w:rsidP="00251E86">
      <w:pPr>
        <w:spacing w:line="360" w:lineRule="auto"/>
        <w:jc w:val="both"/>
        <w:rPr>
          <w:rFonts w:ascii="Times New Roman" w:hAnsi="Times New Roman" w:cs="Times New Roman"/>
          <w:sz w:val="24"/>
          <w:szCs w:val="24"/>
        </w:rPr>
      </w:pPr>
    </w:p>
    <w:p w14:paraId="3B98A072" w14:textId="77777777" w:rsidR="00251E86" w:rsidRDefault="00251E86" w:rsidP="00251E86">
      <w:pPr>
        <w:spacing w:line="360" w:lineRule="auto"/>
        <w:jc w:val="both"/>
        <w:rPr>
          <w:rFonts w:ascii="Times New Roman" w:hAnsi="Times New Roman" w:cs="Times New Roman"/>
          <w:sz w:val="24"/>
          <w:szCs w:val="24"/>
        </w:rPr>
      </w:pPr>
    </w:p>
    <w:p w14:paraId="3EFBBE13" w14:textId="77777777" w:rsidR="00251E86" w:rsidRDefault="00251E86" w:rsidP="00251E86">
      <w:pPr>
        <w:spacing w:line="360" w:lineRule="auto"/>
        <w:jc w:val="both"/>
        <w:rPr>
          <w:rFonts w:ascii="Times New Roman" w:hAnsi="Times New Roman" w:cs="Times New Roman"/>
          <w:sz w:val="24"/>
          <w:szCs w:val="24"/>
        </w:rPr>
      </w:pPr>
    </w:p>
    <w:p w14:paraId="7C54EE00" w14:textId="77777777" w:rsidR="00251E86" w:rsidRPr="00AD7255" w:rsidRDefault="00251E86" w:rsidP="00251E86">
      <w:pPr>
        <w:spacing w:line="360" w:lineRule="auto"/>
        <w:jc w:val="center"/>
        <w:rPr>
          <w:rFonts w:ascii="Times New Roman" w:hAnsi="Times New Roman" w:cs="Times New Roman"/>
          <w:b/>
          <w:bCs/>
          <w:sz w:val="24"/>
          <w:szCs w:val="24"/>
          <w:lang w:val="en-US"/>
        </w:rPr>
      </w:pPr>
      <w:bookmarkStart w:id="3" w:name="_Hlk202089904"/>
      <w:r w:rsidRPr="00AD7255">
        <w:rPr>
          <w:rFonts w:ascii="Times New Roman" w:hAnsi="Times New Roman" w:cs="Times New Roman"/>
          <w:b/>
          <w:bCs/>
          <w:sz w:val="24"/>
          <w:szCs w:val="24"/>
          <w:lang w:val="en-US"/>
        </w:rPr>
        <w:lastRenderedPageBreak/>
        <w:t>CHAPTER – II</w:t>
      </w:r>
    </w:p>
    <w:p w14:paraId="613B742D" w14:textId="77777777" w:rsidR="00251E86" w:rsidRDefault="00251E86" w:rsidP="00251E8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3"/>
    <w:p w14:paraId="23CF033B" w14:textId="1ED273AE"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Enterprise Risk Management (ERM) has evolved significantly over the past two decades as organizations have faced increasingly complex and interconnected risks. In the pharmaceutical industry, the role of ERM is especially critical due to the highly regulated environment, long research and development cycles, and substantial investments required in drug discovery and commercialization. Several studies have explored the theoretical and practical implications of ERM in sectors where compliance, innovation, and quality are of paramount importance.</w:t>
      </w:r>
    </w:p>
    <w:p w14:paraId="57BBB1F1" w14:textId="64BDF861"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According to the Committee of Sponsoring Organizations of the Treadway Commission (COSO), ERM is a structured and continuous process used by organizations to identify potential events that may affect the entity, manage risks within the risk appetite, and provide reasonable assurance regarding the achievement of objectives. Scholars such as Lam (2003) emphasize that ERM is not just about risk avoidance but about optimizing risk to enhance value. This aligns with the pharmaceutical industry’s need to balance innovation with patient safety and regulatory compliance.</w:t>
      </w:r>
    </w:p>
    <w:p w14:paraId="56A65DA4" w14:textId="5C9EB91A"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Studies by KPMG (2014) and Deloitte (2016) highlight the rising adoption of integrated risk management frameworks in pharmaceutical companies as a response to increased regulatory scrutiny, especially following high-profile compliance failures and product recalls. They argue that ERM helps in breaking down organizational silos, aligning risk with strategic objectives, and improving risk culture across departments. Risk governance, particularly the role of boards and audit committees, has also been found to be a key driver of effective ERM in pharma firms.</w:t>
      </w:r>
    </w:p>
    <w:p w14:paraId="4763366B" w14:textId="004DAB12"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 xml:space="preserve">A study by McShane, Nair, and </w:t>
      </w:r>
      <w:proofErr w:type="spellStart"/>
      <w:r w:rsidRPr="00251E86">
        <w:rPr>
          <w:rFonts w:ascii="Times New Roman" w:hAnsi="Times New Roman" w:cs="Times New Roman"/>
          <w:sz w:val="24"/>
          <w:szCs w:val="24"/>
        </w:rPr>
        <w:t>Rustambekov</w:t>
      </w:r>
      <w:proofErr w:type="spellEnd"/>
      <w:r w:rsidRPr="00251E86">
        <w:rPr>
          <w:rFonts w:ascii="Times New Roman" w:hAnsi="Times New Roman" w:cs="Times New Roman"/>
          <w:sz w:val="24"/>
          <w:szCs w:val="24"/>
        </w:rPr>
        <w:t xml:space="preserve"> (2011) found a positive correlation between the maturity of ERM processes and financial performance, particularly in industries such as pharmaceuticals where risks are systemic and difficult to isolate. This is supported by more recent literature emphasizing the importance of real-time risk monitoring and predictive analytics in preventing disruptions in supply chains, regulatory compliance lapses, and R&amp;D failures.</w:t>
      </w:r>
    </w:p>
    <w:p w14:paraId="442B788B" w14:textId="02F8D04E"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 xml:space="preserve">Furthermore, articles by authors such as Arena et al. (2010) stress that while ERM frameworks are in place in many large pharmaceutical companies, the implementation often </w:t>
      </w:r>
      <w:r w:rsidRPr="00251E86">
        <w:rPr>
          <w:rFonts w:ascii="Times New Roman" w:hAnsi="Times New Roman" w:cs="Times New Roman"/>
          <w:sz w:val="24"/>
          <w:szCs w:val="24"/>
        </w:rPr>
        <w:lastRenderedPageBreak/>
        <w:t>remains superficial unless supported by top-level commitment and continuous training. Lack of integration between ERM systems and operational departments has been cited as a major barrier to success. Another significant contribution comes from Fraser and Simkins (2010), who argue that ERM can be a strategic tool to drive innovation, provided companies are willing to take informed risks rather than avoid them altogether.</w:t>
      </w:r>
    </w:p>
    <w:p w14:paraId="52BC45E2" w14:textId="6D3CA690"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The role of ERM in managing emerging risks such as cybersecurity, data breaches, and ESG (Environmental, Social, and Governance) factors has also gained prominence in recent literature. According to PwC (2021), pharmaceutical companies are increasingly adopting digital risk dashboards and AI-based risk prediction tools to stay ahead of these evolving threats. These tools not only help in real-time detection but also in shaping agile risk responses.</w:t>
      </w:r>
    </w:p>
    <w:p w14:paraId="1BD1E3B1" w14:textId="2011D453"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In conclusion, the literature suggests that ERM, when implemented effectively, serves as a powerful framework for identifying, evaluating, and responding to both traditional and emerging risks in the pharmaceutical industry. However, its effectiveness is contingent upon leadership support, cross-functional integration, technological capability, and continuous improvement. This review of literature forms the foundation for assessing ERM practices in a real-world pharmaceutical company context, and it sets the stage for identifying both the strengths and challenges within existing systems.</w:t>
      </w:r>
    </w:p>
    <w:p w14:paraId="53A4B4CD" w14:textId="77777777" w:rsidR="00251E86" w:rsidRPr="00251E86" w:rsidRDefault="00251E86" w:rsidP="00251E86">
      <w:pPr>
        <w:spacing w:line="360" w:lineRule="auto"/>
        <w:jc w:val="both"/>
        <w:rPr>
          <w:rFonts w:ascii="Times New Roman" w:hAnsi="Times New Roman" w:cs="Times New Roman"/>
          <w:sz w:val="24"/>
          <w:szCs w:val="24"/>
        </w:rPr>
      </w:pPr>
    </w:p>
    <w:p w14:paraId="3BA2E0C3" w14:textId="77777777" w:rsidR="00251E86" w:rsidRPr="002658E6" w:rsidRDefault="00251E86" w:rsidP="002658E6">
      <w:pPr>
        <w:spacing w:line="360" w:lineRule="auto"/>
        <w:jc w:val="both"/>
        <w:rPr>
          <w:rFonts w:ascii="Times New Roman" w:hAnsi="Times New Roman" w:cs="Times New Roman"/>
          <w:b/>
          <w:bCs/>
          <w:sz w:val="24"/>
          <w:szCs w:val="24"/>
        </w:rPr>
      </w:pPr>
    </w:p>
    <w:p w14:paraId="11686E1A" w14:textId="77777777" w:rsidR="002658E6" w:rsidRDefault="002658E6" w:rsidP="002658E6">
      <w:pPr>
        <w:spacing w:line="360" w:lineRule="auto"/>
        <w:jc w:val="both"/>
        <w:rPr>
          <w:rFonts w:ascii="Times New Roman" w:hAnsi="Times New Roman" w:cs="Times New Roman"/>
          <w:bCs/>
          <w:sz w:val="24"/>
          <w:szCs w:val="24"/>
        </w:rPr>
      </w:pPr>
    </w:p>
    <w:p w14:paraId="00E0E53F" w14:textId="77777777" w:rsidR="00251E86" w:rsidRPr="002658E6" w:rsidRDefault="00251E86" w:rsidP="002658E6">
      <w:pPr>
        <w:spacing w:line="360" w:lineRule="auto"/>
        <w:jc w:val="both"/>
        <w:rPr>
          <w:rFonts w:ascii="Times New Roman" w:hAnsi="Times New Roman" w:cs="Times New Roman"/>
          <w:bCs/>
          <w:sz w:val="24"/>
          <w:szCs w:val="24"/>
        </w:rPr>
      </w:pPr>
    </w:p>
    <w:p w14:paraId="531D1A8E" w14:textId="77777777" w:rsidR="002658E6" w:rsidRPr="002658E6" w:rsidRDefault="002658E6" w:rsidP="002658E6">
      <w:pPr>
        <w:spacing w:line="360" w:lineRule="auto"/>
        <w:jc w:val="both"/>
        <w:rPr>
          <w:rFonts w:ascii="Times New Roman" w:hAnsi="Times New Roman" w:cs="Times New Roman"/>
          <w:bCs/>
          <w:sz w:val="24"/>
          <w:szCs w:val="24"/>
        </w:rPr>
      </w:pPr>
    </w:p>
    <w:p w14:paraId="30B213E0" w14:textId="77777777" w:rsidR="002658E6" w:rsidRPr="002058B4" w:rsidRDefault="002658E6" w:rsidP="002658E6">
      <w:pPr>
        <w:spacing w:line="360" w:lineRule="auto"/>
        <w:jc w:val="both"/>
        <w:rPr>
          <w:rFonts w:ascii="Times New Roman" w:hAnsi="Times New Roman" w:cs="Times New Roman"/>
          <w:b/>
          <w:sz w:val="24"/>
          <w:szCs w:val="24"/>
        </w:rPr>
      </w:pPr>
    </w:p>
    <w:p w14:paraId="58A90DC5" w14:textId="77777777" w:rsidR="002658E6" w:rsidRPr="002658E6" w:rsidRDefault="002658E6" w:rsidP="002658E6">
      <w:pPr>
        <w:spacing w:line="360" w:lineRule="auto"/>
        <w:jc w:val="both"/>
        <w:rPr>
          <w:rFonts w:ascii="Times New Roman" w:hAnsi="Times New Roman" w:cs="Times New Roman"/>
          <w:sz w:val="24"/>
          <w:szCs w:val="24"/>
        </w:rPr>
      </w:pPr>
    </w:p>
    <w:p w14:paraId="36FBD0A0" w14:textId="77777777" w:rsidR="002658E6" w:rsidRPr="002658E6" w:rsidRDefault="002658E6" w:rsidP="002658E6">
      <w:pPr>
        <w:spacing w:line="360" w:lineRule="auto"/>
        <w:jc w:val="both"/>
        <w:rPr>
          <w:rFonts w:ascii="Times New Roman" w:hAnsi="Times New Roman" w:cs="Times New Roman"/>
          <w:sz w:val="24"/>
          <w:szCs w:val="24"/>
        </w:rPr>
      </w:pPr>
    </w:p>
    <w:p w14:paraId="59E57186" w14:textId="77777777" w:rsidR="00E75FD5" w:rsidRDefault="00E75FD5">
      <w:pPr>
        <w:rPr>
          <w:sz w:val="24"/>
          <w:szCs w:val="24"/>
        </w:rPr>
      </w:pPr>
    </w:p>
    <w:p w14:paraId="1A317A30" w14:textId="77777777" w:rsidR="00251E86" w:rsidRDefault="00251E86">
      <w:pPr>
        <w:rPr>
          <w:sz w:val="24"/>
          <w:szCs w:val="24"/>
        </w:rPr>
      </w:pPr>
    </w:p>
    <w:p w14:paraId="052949CB" w14:textId="77777777" w:rsidR="00251E86" w:rsidRDefault="00251E86">
      <w:pPr>
        <w:rPr>
          <w:sz w:val="24"/>
          <w:szCs w:val="24"/>
        </w:rPr>
      </w:pPr>
    </w:p>
    <w:p w14:paraId="5F8671EE" w14:textId="77777777" w:rsidR="00251E86" w:rsidRDefault="00251E86">
      <w:pPr>
        <w:rPr>
          <w:sz w:val="24"/>
          <w:szCs w:val="24"/>
        </w:rPr>
      </w:pPr>
    </w:p>
    <w:p w14:paraId="65F5601B" w14:textId="77777777" w:rsidR="00251E86" w:rsidRPr="0078607C" w:rsidRDefault="00251E86" w:rsidP="00251E86">
      <w:pPr>
        <w:spacing w:line="360" w:lineRule="auto"/>
        <w:jc w:val="center"/>
        <w:rPr>
          <w:rFonts w:ascii="Times New Roman" w:hAnsi="Times New Roman" w:cs="Times New Roman"/>
          <w:b/>
          <w:bCs/>
          <w:sz w:val="24"/>
          <w:szCs w:val="24"/>
          <w:lang w:val="en-US"/>
        </w:rPr>
      </w:pPr>
      <w:bookmarkStart w:id="4" w:name="_Hlk202090009"/>
      <w:r w:rsidRPr="0078607C">
        <w:rPr>
          <w:rFonts w:ascii="Times New Roman" w:hAnsi="Times New Roman" w:cs="Times New Roman"/>
          <w:b/>
          <w:bCs/>
          <w:sz w:val="24"/>
          <w:szCs w:val="24"/>
          <w:lang w:val="en-US"/>
        </w:rPr>
        <w:lastRenderedPageBreak/>
        <w:t>CHAPTER – III</w:t>
      </w:r>
    </w:p>
    <w:p w14:paraId="1174E1D3" w14:textId="77777777" w:rsidR="00251E86" w:rsidRPr="0078607C" w:rsidRDefault="00251E86" w:rsidP="00251E8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4"/>
    <w:p w14:paraId="02A85DB1" w14:textId="7E613B58" w:rsidR="00251E86" w:rsidRPr="00251E86" w:rsidRDefault="00251E86" w:rsidP="00251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1E86">
        <w:rPr>
          <w:rFonts w:ascii="Times New Roman" w:hAnsi="Times New Roman" w:cs="Times New Roman"/>
          <w:sz w:val="24"/>
          <w:szCs w:val="24"/>
        </w:rPr>
        <w:t xml:space="preserve">Research methodology is the foundation of any academic investigation. It outlines the framework and approach used to collect, </w:t>
      </w:r>
      <w:proofErr w:type="spellStart"/>
      <w:r w:rsidRPr="00251E86">
        <w:rPr>
          <w:rFonts w:ascii="Times New Roman" w:hAnsi="Times New Roman" w:cs="Times New Roman"/>
          <w:sz w:val="24"/>
          <w:szCs w:val="24"/>
        </w:rPr>
        <w:t>analyze</w:t>
      </w:r>
      <w:proofErr w:type="spellEnd"/>
      <w:r w:rsidRPr="00251E86">
        <w:rPr>
          <w:rFonts w:ascii="Times New Roman" w:hAnsi="Times New Roman" w:cs="Times New Roman"/>
          <w:sz w:val="24"/>
          <w:szCs w:val="24"/>
        </w:rPr>
        <w:t>, and interpret data in order to meet the objectives of the study. In this research, the methodology adopted focuses on assessing the implementation, effectiveness, and challenges of Enterprise Risk Management (ERM) within a pharmaceutical company. Given the complexity and interdisciplinary nature of ERM, a well-defined research approach is essential to generate valid and reliable findings.</w:t>
      </w:r>
    </w:p>
    <w:p w14:paraId="101F0D6B"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3.1 Research Design</w:t>
      </w:r>
    </w:p>
    <w:p w14:paraId="12528B9B"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This study adopts a descriptive and analytical research design. The descriptive aspect helps to understand the current ERM practices, while the analytical approach assists in evaluating the effectiveness and integration of ERM in strategic decision-making. The research design is structured to provide both qualitative insights and quantitative data related to risk management procedures, policies, and performance.</w:t>
      </w:r>
    </w:p>
    <w:p w14:paraId="03C2799A"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3.2 Research Approach</w:t>
      </w:r>
    </w:p>
    <w:p w14:paraId="56BFB693"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A mixed-methods approach was employed, combining both primary and secondary data sources. Primary data were collected through structured questionnaires and semi-structured interviews with key personnel involved in risk management, including compliance officers, risk managers, quality assurance staff, and executives. Secondary data were gathered from annual reports, industry publications, internal policy documents, and prior research studies on ERM in the pharmaceutical industry.</w:t>
      </w:r>
    </w:p>
    <w:p w14:paraId="13CC16FF"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3.3 Sampling Method</w:t>
      </w:r>
    </w:p>
    <w:p w14:paraId="179AF634"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A purposive sampling method was used to select participants who have direct involvement with risk management functions in the company. This non-probability sampling technique ensures that the data collected is relevant and reliable for the study's objectives. A sample size of 50 respondents was targeted, covering various departments such as R&amp;D, regulatory affairs, manufacturing, finance, and corporate governance.</w:t>
      </w:r>
    </w:p>
    <w:p w14:paraId="2EE3D9E5"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3.4 Data Collection Tools</w:t>
      </w:r>
    </w:p>
    <w:p w14:paraId="762AF816"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The primary data collection tools included:</w:t>
      </w:r>
    </w:p>
    <w:p w14:paraId="697C5249" w14:textId="77777777" w:rsidR="00251E86" w:rsidRPr="00251E86" w:rsidRDefault="00251E86" w:rsidP="00251E86">
      <w:pPr>
        <w:numPr>
          <w:ilvl w:val="0"/>
          <w:numId w:val="4"/>
        </w:numPr>
        <w:spacing w:line="360" w:lineRule="auto"/>
        <w:jc w:val="both"/>
        <w:rPr>
          <w:rFonts w:ascii="Times New Roman" w:hAnsi="Times New Roman" w:cs="Times New Roman"/>
          <w:sz w:val="24"/>
          <w:szCs w:val="24"/>
        </w:rPr>
      </w:pPr>
      <w:r w:rsidRPr="00251E86">
        <w:rPr>
          <w:rFonts w:ascii="Times New Roman" w:hAnsi="Times New Roman" w:cs="Times New Roman"/>
          <w:b/>
          <w:bCs/>
          <w:sz w:val="24"/>
          <w:szCs w:val="24"/>
        </w:rPr>
        <w:lastRenderedPageBreak/>
        <w:t>Structured Questionnaire</w:t>
      </w:r>
      <w:r w:rsidRPr="00251E86">
        <w:rPr>
          <w:rFonts w:ascii="Times New Roman" w:hAnsi="Times New Roman" w:cs="Times New Roman"/>
          <w:sz w:val="24"/>
          <w:szCs w:val="24"/>
        </w:rPr>
        <w:t>: Designed to collect quantitative data regarding awareness, implementation, challenges, and perceptions of ERM.</w:t>
      </w:r>
    </w:p>
    <w:p w14:paraId="616DA2BE" w14:textId="77777777" w:rsidR="00251E86" w:rsidRPr="00251E86" w:rsidRDefault="00251E86" w:rsidP="00251E86">
      <w:pPr>
        <w:numPr>
          <w:ilvl w:val="0"/>
          <w:numId w:val="4"/>
        </w:numPr>
        <w:spacing w:line="360" w:lineRule="auto"/>
        <w:jc w:val="both"/>
        <w:rPr>
          <w:rFonts w:ascii="Times New Roman" w:hAnsi="Times New Roman" w:cs="Times New Roman"/>
          <w:sz w:val="24"/>
          <w:szCs w:val="24"/>
        </w:rPr>
      </w:pPr>
      <w:r w:rsidRPr="00251E86">
        <w:rPr>
          <w:rFonts w:ascii="Times New Roman" w:hAnsi="Times New Roman" w:cs="Times New Roman"/>
          <w:b/>
          <w:bCs/>
          <w:sz w:val="24"/>
          <w:szCs w:val="24"/>
        </w:rPr>
        <w:t>Interviews</w:t>
      </w:r>
      <w:r w:rsidRPr="00251E86">
        <w:rPr>
          <w:rFonts w:ascii="Times New Roman" w:hAnsi="Times New Roman" w:cs="Times New Roman"/>
          <w:sz w:val="24"/>
          <w:szCs w:val="24"/>
        </w:rPr>
        <w:t>: Conducted to gain deeper insights into how ERM is integrated into the organization’s day-to-day activities and strategic planning.</w:t>
      </w:r>
    </w:p>
    <w:p w14:paraId="46094643"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3.5 Data Analysis Techniques</w:t>
      </w:r>
    </w:p>
    <w:p w14:paraId="6CD9601D"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 xml:space="preserve">The data collected was </w:t>
      </w:r>
      <w:proofErr w:type="spellStart"/>
      <w:r w:rsidRPr="00251E86">
        <w:rPr>
          <w:rFonts w:ascii="Times New Roman" w:hAnsi="Times New Roman" w:cs="Times New Roman"/>
          <w:sz w:val="24"/>
          <w:szCs w:val="24"/>
        </w:rPr>
        <w:t>analyzed</w:t>
      </w:r>
      <w:proofErr w:type="spellEnd"/>
      <w:r w:rsidRPr="00251E86">
        <w:rPr>
          <w:rFonts w:ascii="Times New Roman" w:hAnsi="Times New Roman" w:cs="Times New Roman"/>
          <w:sz w:val="24"/>
          <w:szCs w:val="24"/>
        </w:rPr>
        <w:t xml:space="preserve"> using both qualitative and quantitative techniques. Quantitative data from the questionnaire were processed using percentages and tabulations, and presented in the form of tables and charts for clarity. Qualitative data from interviews were </w:t>
      </w:r>
      <w:proofErr w:type="spellStart"/>
      <w:r w:rsidRPr="00251E86">
        <w:rPr>
          <w:rFonts w:ascii="Times New Roman" w:hAnsi="Times New Roman" w:cs="Times New Roman"/>
          <w:sz w:val="24"/>
          <w:szCs w:val="24"/>
        </w:rPr>
        <w:t>analyzed</w:t>
      </w:r>
      <w:proofErr w:type="spellEnd"/>
      <w:r w:rsidRPr="00251E86">
        <w:rPr>
          <w:rFonts w:ascii="Times New Roman" w:hAnsi="Times New Roman" w:cs="Times New Roman"/>
          <w:sz w:val="24"/>
          <w:szCs w:val="24"/>
        </w:rPr>
        <w:t xml:space="preserve"> thematically to identify recurring patterns, key themes, and challenges related to ERM practices. Interpretation was done in alignment with the objectives of the study.</w:t>
      </w:r>
    </w:p>
    <w:p w14:paraId="6A492853"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3.6 Limitations of the Methodology</w:t>
      </w:r>
    </w:p>
    <w:p w14:paraId="139CF8A8"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Due to confidentiality concerns, some departments were reluctant to share complete information about internal risk incidents. The small sample size and single-company focus may limit the generalizability of the findings. Additionally, time constraints and availability of key personnel also posed some limitations in conducting in-depth interviews.</w:t>
      </w:r>
    </w:p>
    <w:p w14:paraId="07FC0C38" w14:textId="77777777" w:rsidR="00251E86" w:rsidRPr="00251E86" w:rsidRDefault="00251E86" w:rsidP="00251E86">
      <w:pPr>
        <w:spacing w:line="360" w:lineRule="auto"/>
        <w:jc w:val="both"/>
        <w:rPr>
          <w:rFonts w:ascii="Times New Roman" w:hAnsi="Times New Roman" w:cs="Times New Roman"/>
          <w:b/>
          <w:bCs/>
          <w:sz w:val="24"/>
          <w:szCs w:val="24"/>
        </w:rPr>
      </w:pPr>
      <w:r w:rsidRPr="00251E86">
        <w:rPr>
          <w:rFonts w:ascii="Times New Roman" w:hAnsi="Times New Roman" w:cs="Times New Roman"/>
          <w:b/>
          <w:bCs/>
          <w:sz w:val="24"/>
          <w:szCs w:val="24"/>
        </w:rPr>
        <w:t>3.7 Ethical Considerations</w:t>
      </w:r>
    </w:p>
    <w:p w14:paraId="6B6D62E2" w14:textId="77777777" w:rsidR="00251E86" w:rsidRPr="00251E86" w:rsidRDefault="00251E86" w:rsidP="00251E86">
      <w:pPr>
        <w:spacing w:line="360" w:lineRule="auto"/>
        <w:jc w:val="both"/>
        <w:rPr>
          <w:rFonts w:ascii="Times New Roman" w:hAnsi="Times New Roman" w:cs="Times New Roman"/>
          <w:sz w:val="24"/>
          <w:szCs w:val="24"/>
        </w:rPr>
      </w:pPr>
      <w:r w:rsidRPr="00251E86">
        <w:rPr>
          <w:rFonts w:ascii="Times New Roman" w:hAnsi="Times New Roman" w:cs="Times New Roman"/>
          <w:sz w:val="24"/>
          <w:szCs w:val="24"/>
        </w:rPr>
        <w:t>All respondents were informed about the purpose of the study and assured that their responses would remain confidential and used strictly for academic purposes. Informed consent was obtained prior to participation, and all research activities were conducted in accordance with ethical research standards.</w:t>
      </w:r>
    </w:p>
    <w:p w14:paraId="41E43648" w14:textId="77777777" w:rsidR="00251E86" w:rsidRDefault="00251E86">
      <w:pPr>
        <w:rPr>
          <w:sz w:val="24"/>
          <w:szCs w:val="24"/>
        </w:rPr>
      </w:pPr>
    </w:p>
    <w:p w14:paraId="5EF088E7" w14:textId="77777777" w:rsidR="00251E86" w:rsidRDefault="00251E86">
      <w:pPr>
        <w:rPr>
          <w:sz w:val="24"/>
          <w:szCs w:val="24"/>
        </w:rPr>
      </w:pPr>
    </w:p>
    <w:p w14:paraId="235CAD36" w14:textId="77777777" w:rsidR="00251E86" w:rsidRDefault="00251E86">
      <w:pPr>
        <w:rPr>
          <w:sz w:val="24"/>
          <w:szCs w:val="24"/>
        </w:rPr>
      </w:pPr>
    </w:p>
    <w:p w14:paraId="4F33853A" w14:textId="77777777" w:rsidR="00251E86" w:rsidRDefault="00251E86">
      <w:pPr>
        <w:rPr>
          <w:sz w:val="24"/>
          <w:szCs w:val="24"/>
        </w:rPr>
      </w:pPr>
    </w:p>
    <w:p w14:paraId="1B0EA9B2" w14:textId="77777777" w:rsidR="00251E86" w:rsidRDefault="00251E86">
      <w:pPr>
        <w:rPr>
          <w:sz w:val="24"/>
          <w:szCs w:val="24"/>
        </w:rPr>
      </w:pPr>
    </w:p>
    <w:p w14:paraId="793E03DE" w14:textId="77777777" w:rsidR="00251E86" w:rsidRDefault="00251E86">
      <w:pPr>
        <w:rPr>
          <w:sz w:val="24"/>
          <w:szCs w:val="24"/>
        </w:rPr>
      </w:pPr>
    </w:p>
    <w:p w14:paraId="0EA29B77" w14:textId="77777777" w:rsidR="00251E86" w:rsidRDefault="00251E86">
      <w:pPr>
        <w:rPr>
          <w:sz w:val="24"/>
          <w:szCs w:val="24"/>
        </w:rPr>
      </w:pPr>
    </w:p>
    <w:p w14:paraId="2CE3286B" w14:textId="77777777" w:rsidR="00251E86" w:rsidRDefault="00251E86">
      <w:pPr>
        <w:rPr>
          <w:sz w:val="24"/>
          <w:szCs w:val="24"/>
        </w:rPr>
      </w:pPr>
    </w:p>
    <w:p w14:paraId="3812AADF" w14:textId="77777777" w:rsidR="00251E86" w:rsidRDefault="00251E86">
      <w:pPr>
        <w:rPr>
          <w:sz w:val="24"/>
          <w:szCs w:val="24"/>
        </w:rPr>
      </w:pPr>
    </w:p>
    <w:p w14:paraId="6840CEC5" w14:textId="77777777" w:rsidR="00251E86" w:rsidRPr="0078607C" w:rsidRDefault="00251E86" w:rsidP="00251E86">
      <w:pPr>
        <w:spacing w:line="360" w:lineRule="auto"/>
        <w:jc w:val="center"/>
        <w:rPr>
          <w:rFonts w:ascii="Times New Roman" w:hAnsi="Times New Roman" w:cs="Times New Roman"/>
          <w:sz w:val="24"/>
          <w:szCs w:val="24"/>
        </w:rPr>
      </w:pPr>
      <w:bookmarkStart w:id="5" w:name="_Hlk203212469"/>
      <w:r w:rsidRPr="0078607C">
        <w:rPr>
          <w:rFonts w:ascii="Times New Roman" w:hAnsi="Times New Roman" w:cs="Times New Roman"/>
          <w:b/>
          <w:sz w:val="24"/>
          <w:szCs w:val="24"/>
          <w:lang w:val="en-US"/>
        </w:rPr>
        <w:lastRenderedPageBreak/>
        <w:t>CHAPTER – IV</w:t>
      </w:r>
    </w:p>
    <w:p w14:paraId="19495AA6" w14:textId="77777777" w:rsidR="00251E86" w:rsidRDefault="00251E86" w:rsidP="00251E8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E27482E" w14:textId="77777777" w:rsidR="00251E86" w:rsidRPr="004D7E4B" w:rsidRDefault="00251E86" w:rsidP="00251E8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51E86" w:rsidRPr="004D7E4B" w14:paraId="4C92AAC9"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408D731" w14:textId="77777777" w:rsidR="00251E86" w:rsidRPr="004D7E4B" w:rsidRDefault="00251E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2343B68" w14:textId="77777777" w:rsidR="00251E86" w:rsidRPr="004D7E4B" w:rsidRDefault="00251E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8D7DEFF" w14:textId="77777777" w:rsidR="00251E86" w:rsidRPr="004D7E4B" w:rsidRDefault="00251E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51E86" w:rsidRPr="004D7E4B" w14:paraId="1DC320BD"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1AECC2B" w14:textId="79EB0510" w:rsidR="00251E86" w:rsidRPr="004D7E4B" w:rsidRDefault="00251E86" w:rsidP="009067DA">
            <w:pPr>
              <w:spacing w:line="360" w:lineRule="auto"/>
              <w:jc w:val="center"/>
              <w:rPr>
                <w:rFonts w:ascii="Times New Roman" w:hAnsi="Times New Roman" w:cs="Times New Roman"/>
                <w:b/>
                <w:sz w:val="24"/>
                <w:szCs w:val="24"/>
                <w:lang w:val="en-US"/>
              </w:rPr>
            </w:pPr>
            <w:r w:rsidRPr="00251E86">
              <w:rPr>
                <w:rFonts w:ascii="Times New Roman" w:hAnsi="Times New Roman" w:cs="Times New Roman"/>
                <w:b/>
                <w:sz w:val="24"/>
                <w:szCs w:val="24"/>
              </w:rPr>
              <w:t>21 – 30</w:t>
            </w:r>
          </w:p>
        </w:tc>
        <w:tc>
          <w:tcPr>
            <w:tcW w:w="3185" w:type="dxa"/>
            <w:tcBorders>
              <w:top w:val="single" w:sz="4" w:space="0" w:color="auto"/>
              <w:left w:val="single" w:sz="4" w:space="0" w:color="auto"/>
              <w:bottom w:val="single" w:sz="4" w:space="0" w:color="auto"/>
              <w:right w:val="single" w:sz="4" w:space="0" w:color="auto"/>
            </w:tcBorders>
            <w:hideMark/>
          </w:tcPr>
          <w:p w14:paraId="19DB5DB9" w14:textId="3B185BF0"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0FA73C5B" w14:textId="01651C21"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24</w:t>
            </w:r>
            <w:r w:rsidRPr="004D7E4B">
              <w:rPr>
                <w:rFonts w:ascii="Times New Roman" w:hAnsi="Times New Roman" w:cs="Times New Roman"/>
                <w:b/>
                <w:sz w:val="24"/>
                <w:szCs w:val="24"/>
                <w:lang w:val="en-US"/>
              </w:rPr>
              <w:t>%</w:t>
            </w:r>
          </w:p>
        </w:tc>
      </w:tr>
      <w:tr w:rsidR="00251E86" w:rsidRPr="004D7E4B" w14:paraId="3E146EB1"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1CBB68B" w14:textId="5E1B2EA9" w:rsidR="00251E86" w:rsidRPr="004D7E4B" w:rsidRDefault="00251E86" w:rsidP="009067DA">
            <w:pPr>
              <w:spacing w:line="360" w:lineRule="auto"/>
              <w:jc w:val="center"/>
              <w:rPr>
                <w:rFonts w:ascii="Times New Roman" w:hAnsi="Times New Roman" w:cs="Times New Roman"/>
                <w:b/>
                <w:sz w:val="24"/>
                <w:szCs w:val="24"/>
                <w:lang w:val="en-US"/>
              </w:rPr>
            </w:pPr>
            <w:r w:rsidRPr="00251E86">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5F26E210" w14:textId="6F239E64"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71BB6B68" w14:textId="5C80F1A8"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251E86" w:rsidRPr="004D7E4B" w14:paraId="1E1ED9A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0E74429" w14:textId="0EE625DE" w:rsidR="00251E86" w:rsidRPr="004D7E4B" w:rsidRDefault="00251E86" w:rsidP="009067DA">
            <w:pPr>
              <w:spacing w:line="360" w:lineRule="auto"/>
              <w:jc w:val="center"/>
              <w:rPr>
                <w:rFonts w:ascii="Times New Roman" w:hAnsi="Times New Roman" w:cs="Times New Roman"/>
                <w:b/>
                <w:sz w:val="24"/>
                <w:szCs w:val="24"/>
                <w:lang w:val="en-US"/>
              </w:rPr>
            </w:pPr>
            <w:r w:rsidRPr="00251E86">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332E93CA" w14:textId="29DA234D"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w:t>
            </w:r>
          </w:p>
        </w:tc>
        <w:tc>
          <w:tcPr>
            <w:tcW w:w="3185" w:type="dxa"/>
            <w:tcBorders>
              <w:top w:val="single" w:sz="4" w:space="0" w:color="auto"/>
              <w:left w:val="single" w:sz="4" w:space="0" w:color="auto"/>
              <w:bottom w:val="single" w:sz="4" w:space="0" w:color="auto"/>
              <w:right w:val="single" w:sz="4" w:space="0" w:color="auto"/>
            </w:tcBorders>
            <w:hideMark/>
          </w:tcPr>
          <w:p w14:paraId="1CE87D62" w14:textId="411AAC04"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6</w:t>
            </w:r>
            <w:r w:rsidRPr="004D7E4B">
              <w:rPr>
                <w:rFonts w:ascii="Times New Roman" w:hAnsi="Times New Roman" w:cs="Times New Roman"/>
                <w:b/>
                <w:sz w:val="24"/>
                <w:szCs w:val="24"/>
                <w:lang w:val="en-US"/>
              </w:rPr>
              <w:t>%</w:t>
            </w:r>
          </w:p>
        </w:tc>
      </w:tr>
      <w:tr w:rsidR="00251E86" w14:paraId="37CD3CD1"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20903588" w14:textId="5294FF99" w:rsidR="00251E86" w:rsidRPr="00EE3350" w:rsidRDefault="00251E86" w:rsidP="009067DA">
            <w:pPr>
              <w:spacing w:line="360" w:lineRule="auto"/>
              <w:jc w:val="center"/>
              <w:rPr>
                <w:rFonts w:ascii="Times New Roman" w:hAnsi="Times New Roman" w:cs="Times New Roman"/>
                <w:b/>
                <w:sz w:val="24"/>
                <w:szCs w:val="24"/>
              </w:rPr>
            </w:pPr>
            <w:r w:rsidRPr="00251E86">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57626AC9" w14:textId="4A1CA6CF" w:rsidR="00251E86"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75A78CB0" w14:textId="79AF7254" w:rsidR="00251E86"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251E86" w:rsidRPr="004D7E4B" w14:paraId="743C7668"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57A2E196" w14:textId="77777777" w:rsidR="00251E86" w:rsidRPr="004D7E4B" w:rsidRDefault="00251E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EB51228" w14:textId="146785E3" w:rsidR="00251E86" w:rsidRPr="004D7E4B" w:rsidRDefault="00251E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23865A21" w14:textId="77777777" w:rsidR="00251E86" w:rsidRPr="004D7E4B" w:rsidRDefault="00251E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E976C7D" w14:textId="77777777" w:rsidR="00251E86" w:rsidRDefault="00251E86" w:rsidP="00251E86">
      <w:pPr>
        <w:spacing w:line="360" w:lineRule="auto"/>
        <w:rPr>
          <w:rFonts w:ascii="Times New Roman" w:hAnsi="Times New Roman" w:cs="Times New Roman"/>
          <w:b/>
          <w:sz w:val="24"/>
          <w:szCs w:val="24"/>
          <w:lang w:val="en-US"/>
        </w:rPr>
      </w:pPr>
    </w:p>
    <w:p w14:paraId="2229E93A" w14:textId="77777777" w:rsidR="00251E86" w:rsidRDefault="00251E86" w:rsidP="00251E8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57D6EF7" w14:textId="77777777" w:rsidR="00251E86" w:rsidRP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The data reveals that the majority of respondents (40%) fall within the 31 to 40-year age group, indicating that mid-career professionals predominantly manage or engage with ERM activities in the pharmaceutical company. This age bracket generally possesses significant work experience and is likely to have a balanced understanding of both operational and strategic risk concerns.</w:t>
      </w:r>
    </w:p>
    <w:p w14:paraId="0816C50A" w14:textId="77777777" w:rsidR="00251E86" w:rsidRP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The second-largest group, comprising 26% of respondents, is aged between 41 and 50 years. These senior professionals often occupy managerial or decision-making roles and are critical for embedding ERM into corporate governance and strategic planning. The presence of experienced staff in this age group supports stronger risk oversight and leadership.</w:t>
      </w:r>
    </w:p>
    <w:p w14:paraId="6C91B2CC" w14:textId="77777777" w:rsidR="00251E86" w:rsidRP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The 21 to 30 age group accounts for 24% of respondents, representing younger employees who may be in operational roles or early stages of their careers. Their involvement is important as they bring fresh perspectives and are often responsible for implementing risk controls and monitoring daily compliance.</w:t>
      </w:r>
    </w:p>
    <w:p w14:paraId="4BA4D5AD" w14:textId="0DA63900" w:rsid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Respondents above 50 years form the smallest segment (10%), reflecting a lower representation of senior or retired personnel in ERM functions. This might suggest a generational shift in risk management responsibilities toward younger cohorts, or it could be due to organizational demographics.</w:t>
      </w:r>
    </w:p>
    <w:p w14:paraId="2034C040" w14:textId="77777777" w:rsidR="00251E86" w:rsidRPr="00967E78" w:rsidRDefault="00251E86" w:rsidP="00251E86">
      <w:pPr>
        <w:spacing w:line="360" w:lineRule="auto"/>
        <w:jc w:val="center"/>
        <w:rPr>
          <w:rFonts w:ascii="Times New Roman" w:hAnsi="Times New Roman" w:cs="Times New Roman"/>
          <w:b/>
          <w:bCs/>
          <w:sz w:val="24"/>
          <w:szCs w:val="24"/>
          <w:lang w:val="en-US"/>
        </w:rPr>
      </w:pPr>
      <w:bookmarkStart w:id="6" w:name="_Hlk203212624"/>
      <w:r w:rsidRPr="00967E78">
        <w:rPr>
          <w:rFonts w:ascii="Times New Roman" w:hAnsi="Times New Roman" w:cs="Times New Roman"/>
          <w:b/>
          <w:bCs/>
          <w:sz w:val="24"/>
          <w:szCs w:val="24"/>
          <w:lang w:val="en-US"/>
        </w:rPr>
        <w:lastRenderedPageBreak/>
        <w:t>TABLE – 4.2</w:t>
      </w:r>
    </w:p>
    <w:p w14:paraId="22C009FB" w14:textId="77777777" w:rsidR="00251E86" w:rsidRPr="004D7E4B" w:rsidRDefault="00251E86" w:rsidP="00251E8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51E86" w:rsidRPr="004D7E4B" w14:paraId="25657CDD"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C4B9489" w14:textId="77777777" w:rsidR="00251E86" w:rsidRPr="004D7E4B" w:rsidRDefault="00251E86"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A8E2802" w14:textId="77777777" w:rsidR="00251E86" w:rsidRPr="004D7E4B" w:rsidRDefault="00251E86"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AA19F34" w14:textId="77777777" w:rsidR="00251E86" w:rsidRPr="004D7E4B" w:rsidRDefault="00251E86"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51E86" w:rsidRPr="004D7E4B" w14:paraId="2233C9A1"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4173DE36" w14:textId="77777777" w:rsidR="00251E86" w:rsidRPr="004D7E4B" w:rsidRDefault="00251E86"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52092BD" w14:textId="2A181294" w:rsidR="00251E86" w:rsidRPr="004D7E4B" w:rsidRDefault="00251E86"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1DAA1D53" w14:textId="753F8890" w:rsidR="00251E86" w:rsidRPr="004D7E4B" w:rsidRDefault="00251E86"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251E86" w:rsidRPr="004D7E4B" w14:paraId="58BE9904"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7CADC1D" w14:textId="77777777" w:rsidR="00251E86" w:rsidRPr="004D7E4B" w:rsidRDefault="00251E86"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C6B07F8" w14:textId="37292635" w:rsidR="00251E86" w:rsidRPr="004D7E4B" w:rsidRDefault="00251E86"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311DA137" w14:textId="2E805BB8" w:rsidR="00251E86" w:rsidRPr="004D7E4B" w:rsidRDefault="00251E86"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r>
              <w:rPr>
                <w:rFonts w:ascii="Times New Roman" w:hAnsi="Times New Roman" w:cs="Times New Roman"/>
                <w:bCs/>
                <w:sz w:val="24"/>
                <w:szCs w:val="24"/>
                <w:lang w:val="en-US"/>
              </w:rPr>
              <w:t>%</w:t>
            </w:r>
          </w:p>
        </w:tc>
      </w:tr>
      <w:tr w:rsidR="00251E86" w:rsidRPr="004D7E4B" w14:paraId="683B68CE"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230106B9" w14:textId="77777777" w:rsidR="00251E86" w:rsidRPr="004D7E4B" w:rsidRDefault="00251E86"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96B99A1" w14:textId="2C993789" w:rsidR="00251E86" w:rsidRPr="004D7E4B" w:rsidRDefault="00251E86"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FF1BF0F" w14:textId="77777777" w:rsidR="00251E86" w:rsidRPr="004D7E4B" w:rsidRDefault="00251E86"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A30962E" w14:textId="77777777" w:rsidR="00251E86" w:rsidRDefault="00251E86" w:rsidP="00251E86">
      <w:pPr>
        <w:spacing w:line="360" w:lineRule="auto"/>
        <w:jc w:val="both"/>
        <w:rPr>
          <w:rFonts w:ascii="Times New Roman" w:hAnsi="Times New Roman" w:cs="Times New Roman"/>
          <w:bCs/>
          <w:sz w:val="24"/>
          <w:szCs w:val="24"/>
        </w:rPr>
      </w:pPr>
    </w:p>
    <w:p w14:paraId="44FE3967" w14:textId="77777777" w:rsidR="00251E86" w:rsidRDefault="00251E86" w:rsidP="00251E8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6"/>
    </w:p>
    <w:p w14:paraId="4FE138B0" w14:textId="77777777" w:rsidR="00251E86" w:rsidRP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The gender distribution of respondents indicates a predominant male representation in the Enterprise Risk Management (ERM) functions within the pharmaceutical company, with 60% identifying as male and 40% as female. This aligns with broader industry trends where women are underrepresented in leadership and decision-making roles, despite comprising a significant portion of the workforce in entry-level positions.</w:t>
      </w:r>
    </w:p>
    <w:p w14:paraId="0E489F0B" w14:textId="77777777" w:rsidR="00251E86" w:rsidRP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In the pharmaceutical sector, women often encounter barriers to advancement, particularly in senior roles such as Chief Risk Officers or members of the Board of Directors. These challenges are attributed to factors like the "glass ceiling," where women find it more difficult to ascend to higher levels of management, and occupational gender segregation, with women concentrated in roles like human resources and men in strategic areas like research and development or operations.</w:t>
      </w:r>
    </w:p>
    <w:p w14:paraId="130A1A14" w14:textId="77777777" w:rsidR="00251E86" w:rsidRP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However, the increasing recognition of gender diversity's importance is leading to positive changes. Companies are beginning to understand that diverse teams bring varied perspectives, enhancing decision-making processes and fostering innovation. In the context of ERM, this diversity can lead to more comprehensive risk assessments and strategies that consider a broader range of potential impacts.</w:t>
      </w:r>
    </w:p>
    <w:p w14:paraId="467032CE" w14:textId="72D81FC8" w:rsidR="00251E86" w:rsidRDefault="00251E86" w:rsidP="00251E86">
      <w:pPr>
        <w:spacing w:line="360" w:lineRule="auto"/>
        <w:jc w:val="both"/>
        <w:rPr>
          <w:rFonts w:ascii="Times New Roman" w:hAnsi="Times New Roman" w:cs="Times New Roman"/>
          <w:bCs/>
          <w:sz w:val="24"/>
          <w:szCs w:val="24"/>
        </w:rPr>
      </w:pPr>
      <w:r w:rsidRPr="00251E86">
        <w:rPr>
          <w:rFonts w:ascii="Times New Roman" w:hAnsi="Times New Roman" w:cs="Times New Roman"/>
          <w:bCs/>
          <w:sz w:val="24"/>
          <w:szCs w:val="24"/>
        </w:rPr>
        <w:t>To further improve gender balance in ERM roles, pharmaceutical companies can implement inclusive hiring practices, provide mentorship and leadership development opportunities for women, and create organizational cultures that support work-life balance and equal advancement opportunities. Such initiatives not only promote gender equity but also strengthen the organization's overall risk management capabilities.</w:t>
      </w:r>
    </w:p>
    <w:p w14:paraId="379F9EE8" w14:textId="77777777" w:rsidR="00251E86" w:rsidRDefault="00251E86" w:rsidP="00251E86">
      <w:pPr>
        <w:spacing w:line="360" w:lineRule="auto"/>
        <w:jc w:val="both"/>
        <w:rPr>
          <w:rFonts w:ascii="Times New Roman" w:hAnsi="Times New Roman" w:cs="Times New Roman"/>
          <w:b/>
          <w:bCs/>
          <w:sz w:val="24"/>
          <w:szCs w:val="24"/>
        </w:rPr>
      </w:pPr>
      <w:bookmarkStart w:id="7" w:name="_Hlk202090519"/>
      <w:r w:rsidRPr="007B042D">
        <w:rPr>
          <w:rFonts w:ascii="Times New Roman" w:hAnsi="Times New Roman" w:cs="Times New Roman"/>
          <w:b/>
          <w:bCs/>
          <w:sz w:val="24"/>
          <w:szCs w:val="24"/>
        </w:rPr>
        <w:lastRenderedPageBreak/>
        <w:t>CONCLUSION</w:t>
      </w:r>
    </w:p>
    <w:bookmarkEnd w:id="7"/>
    <w:p w14:paraId="602FAC93" w14:textId="704C745D" w:rsidR="00251E86" w:rsidRPr="00251E86" w:rsidRDefault="00251E86" w:rsidP="00251E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1E86">
        <w:rPr>
          <w:rFonts w:ascii="Times New Roman" w:hAnsi="Times New Roman" w:cs="Times New Roman"/>
          <w:bCs/>
          <w:sz w:val="24"/>
          <w:szCs w:val="24"/>
        </w:rPr>
        <w:t>The study on Enterprise Risk Management (ERM) in a pharmaceutical company underscores the critical role that structured and proactive risk management plays in ensuring the sustainability and success of organizations within this highly regulated and complex industry. Through a detailed examination of ERM practices, the research highlights how pharmaceutical companies can effectively identify, assess, and mitigate a wide array of risks, ranging from regulatory compliance and financial uncertainties to operational challenges and reputational threats.</w:t>
      </w:r>
    </w:p>
    <w:p w14:paraId="1FFC75AC" w14:textId="620FA010" w:rsidR="00251E86" w:rsidRPr="00251E86" w:rsidRDefault="00251E86" w:rsidP="00251E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1E86">
        <w:rPr>
          <w:rFonts w:ascii="Times New Roman" w:hAnsi="Times New Roman" w:cs="Times New Roman"/>
          <w:bCs/>
          <w:sz w:val="24"/>
          <w:szCs w:val="24"/>
        </w:rPr>
        <w:t>One of the key findings of the study is the increasing adoption of integrated ERM frameworks, such as the COSO ERM Framework, which provides a comprehensive approach to managing risks across all levels of the organization. These frameworks enable companies to align their risk management strategies with their business objectives, thereby enhancing decision-making processes and fostering a culture of risk awareness throughout the organization.</w:t>
      </w:r>
    </w:p>
    <w:p w14:paraId="333AFB09" w14:textId="2E248A6F" w:rsidR="00251E86" w:rsidRPr="00251E86" w:rsidRDefault="00251E86" w:rsidP="00251E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1E86">
        <w:rPr>
          <w:rFonts w:ascii="Times New Roman" w:hAnsi="Times New Roman" w:cs="Times New Roman"/>
          <w:bCs/>
          <w:sz w:val="24"/>
          <w:szCs w:val="24"/>
        </w:rPr>
        <w:t>The research also emphasizes the importance of leadership commitment in the successful implementation of ERM. The establishment of dedicated roles, such as Chief Risk Officers (CROs), and the integration of risk management into the corporate governance structure are pivotal in driving the ERM agenda. Moreover, the study identifies the necessity for continuous training and development to equip employees with the skills and knowledge required to navigate the evolving risk landscape.</w:t>
      </w:r>
    </w:p>
    <w:p w14:paraId="78BD60E8" w14:textId="1EB3C77B" w:rsidR="00251E86" w:rsidRPr="00251E86" w:rsidRDefault="00251E86" w:rsidP="00251E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1E86">
        <w:rPr>
          <w:rFonts w:ascii="Times New Roman" w:hAnsi="Times New Roman" w:cs="Times New Roman"/>
          <w:bCs/>
          <w:sz w:val="24"/>
          <w:szCs w:val="24"/>
        </w:rPr>
        <w:t>Furthermore, the study explores the challenges faced by pharmaceutical companies in implementing ERM, including resource constraints, resistance to change, and the complexity of managing emerging risks like cybersecurity threats and global supply chain disruptions. Addressing these challenges requires a strategic approach that encompasses not only the adoption of appropriate risk management tools and techniques but also the fostering of a risk-aware organizational culture.</w:t>
      </w:r>
    </w:p>
    <w:p w14:paraId="143B9FEA" w14:textId="57FD0524" w:rsidR="00251E86" w:rsidRPr="00251E86" w:rsidRDefault="00251E86" w:rsidP="00251E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1E86">
        <w:rPr>
          <w:rFonts w:ascii="Times New Roman" w:hAnsi="Times New Roman" w:cs="Times New Roman"/>
          <w:bCs/>
          <w:sz w:val="24"/>
          <w:szCs w:val="24"/>
        </w:rPr>
        <w:t>In conclusion, the research affirms that ERM is not merely a compliance requirement but a strategic asset that can significantly enhance a pharmaceutical company's ability to achieve its objectives, safeguard its assets, and maintain stakeholder trust. By embracing a holistic and integrated approach to risk management, pharmaceutical companies can better position themselves to navigate the complexities of the industry and achieve long-term success.</w:t>
      </w:r>
    </w:p>
    <w:p w14:paraId="190D3188" w14:textId="77777777" w:rsidR="00251E86" w:rsidRPr="007B042D" w:rsidRDefault="00251E86" w:rsidP="00251E86">
      <w:pPr>
        <w:spacing w:line="360" w:lineRule="auto"/>
        <w:jc w:val="center"/>
        <w:rPr>
          <w:rFonts w:ascii="Times New Roman" w:hAnsi="Times New Roman" w:cs="Times New Roman"/>
          <w:b/>
          <w:bCs/>
          <w:sz w:val="24"/>
          <w:szCs w:val="24"/>
          <w:lang w:val="en-US"/>
        </w:rPr>
      </w:pPr>
      <w:bookmarkStart w:id="8" w:name="_Hlk203474877"/>
      <w:bookmarkStart w:id="9" w:name="_Hlk203252345"/>
      <w:r w:rsidRPr="007B042D">
        <w:rPr>
          <w:rFonts w:ascii="Times New Roman" w:hAnsi="Times New Roman" w:cs="Times New Roman"/>
          <w:b/>
          <w:bCs/>
          <w:sz w:val="24"/>
          <w:szCs w:val="24"/>
          <w:lang w:val="en-US"/>
        </w:rPr>
        <w:lastRenderedPageBreak/>
        <w:t>BIBLIOGRAPHY</w:t>
      </w:r>
      <w:bookmarkEnd w:id="8"/>
    </w:p>
    <w:bookmarkEnd w:id="9"/>
    <w:p w14:paraId="6E308A8E" w14:textId="77777777" w:rsidR="00901A0B" w:rsidRPr="00901A0B" w:rsidRDefault="00901A0B" w:rsidP="00901A0B">
      <w:pPr>
        <w:spacing w:line="360" w:lineRule="auto"/>
        <w:jc w:val="both"/>
        <w:rPr>
          <w:rFonts w:ascii="Times New Roman" w:hAnsi="Times New Roman" w:cs="Times New Roman"/>
          <w:bCs/>
          <w:sz w:val="24"/>
          <w:szCs w:val="24"/>
        </w:rPr>
      </w:pPr>
      <w:r w:rsidRPr="00901A0B">
        <w:rPr>
          <w:rFonts w:ascii="Times New Roman" w:hAnsi="Times New Roman" w:cs="Times New Roman"/>
          <w:b/>
          <w:bCs/>
          <w:sz w:val="24"/>
          <w:szCs w:val="24"/>
        </w:rPr>
        <w:t>Books &amp; Book Chapters:</w:t>
      </w:r>
    </w:p>
    <w:p w14:paraId="574069B6" w14:textId="77777777" w:rsidR="00901A0B" w:rsidRPr="00901A0B" w:rsidRDefault="00901A0B" w:rsidP="00901A0B">
      <w:pPr>
        <w:numPr>
          <w:ilvl w:val="0"/>
          <w:numId w:val="5"/>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Stair, G. A. (2011). </w:t>
      </w:r>
      <w:r w:rsidRPr="00901A0B">
        <w:rPr>
          <w:rFonts w:ascii="Times New Roman" w:hAnsi="Times New Roman" w:cs="Times New Roman"/>
          <w:bCs/>
          <w:i/>
          <w:iCs/>
          <w:sz w:val="24"/>
          <w:szCs w:val="24"/>
        </w:rPr>
        <w:t>Enterprise Risk Management: A Case Study in the Pharmaceutical Industry</w:t>
      </w:r>
      <w:r w:rsidRPr="00901A0B">
        <w:rPr>
          <w:rFonts w:ascii="Times New Roman" w:hAnsi="Times New Roman" w:cs="Times New Roman"/>
          <w:bCs/>
          <w:sz w:val="24"/>
          <w:szCs w:val="24"/>
        </w:rPr>
        <w:t xml:space="preserve">. In O. Bak &amp; N. Stair (Eds.), </w:t>
      </w:r>
      <w:r w:rsidRPr="00901A0B">
        <w:rPr>
          <w:rFonts w:ascii="Times New Roman" w:hAnsi="Times New Roman" w:cs="Times New Roman"/>
          <w:bCs/>
          <w:i/>
          <w:iCs/>
          <w:sz w:val="24"/>
          <w:szCs w:val="24"/>
        </w:rPr>
        <w:t>Impact of E-Business Technologies on Public and Private Organizations: Industry Comparisons and Perspectives</w:t>
      </w:r>
      <w:r w:rsidRPr="00901A0B">
        <w:rPr>
          <w:rFonts w:ascii="Times New Roman" w:hAnsi="Times New Roman" w:cs="Times New Roman"/>
          <w:bCs/>
          <w:sz w:val="24"/>
          <w:szCs w:val="24"/>
        </w:rPr>
        <w:t xml:space="preserve"> (pp. 118–135). IGI Global. </w:t>
      </w:r>
      <w:hyperlink r:id="rId6" w:tgtFrame="_new" w:history="1">
        <w:r w:rsidRPr="00901A0B">
          <w:rPr>
            <w:rStyle w:val="Hyperlink"/>
            <w:rFonts w:ascii="Times New Roman" w:hAnsi="Times New Roman" w:cs="Times New Roman"/>
            <w:bCs/>
            <w:sz w:val="24"/>
            <w:szCs w:val="24"/>
          </w:rPr>
          <w:t>https://doi.org/10.4018/978-1-60960-501-8.ch008</w:t>
        </w:r>
      </w:hyperlink>
      <w:hyperlink r:id="rId7" w:tgtFrame="_blank" w:history="1">
        <w:r w:rsidRPr="00901A0B">
          <w:rPr>
            <w:rStyle w:val="Hyperlink"/>
            <w:rFonts w:ascii="Times New Roman" w:hAnsi="Times New Roman" w:cs="Times New Roman"/>
            <w:bCs/>
            <w:sz w:val="24"/>
            <w:szCs w:val="24"/>
          </w:rPr>
          <w:t>irma-international.org+1IGI Global+1</w:t>
        </w:r>
      </w:hyperlink>
    </w:p>
    <w:p w14:paraId="5D245C55" w14:textId="77777777" w:rsidR="00901A0B" w:rsidRPr="00901A0B" w:rsidRDefault="00901A0B" w:rsidP="00901A0B">
      <w:pPr>
        <w:numPr>
          <w:ilvl w:val="0"/>
          <w:numId w:val="5"/>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Gupta, A., &amp; Jain, R. (2017). </w:t>
      </w:r>
      <w:r w:rsidRPr="00901A0B">
        <w:rPr>
          <w:rFonts w:ascii="Times New Roman" w:hAnsi="Times New Roman" w:cs="Times New Roman"/>
          <w:bCs/>
          <w:i/>
          <w:iCs/>
          <w:sz w:val="24"/>
          <w:szCs w:val="24"/>
        </w:rPr>
        <w:t>Strategic Risk Management in Global Pharmaceuticals</w:t>
      </w:r>
      <w:r w:rsidRPr="00901A0B">
        <w:rPr>
          <w:rFonts w:ascii="Times New Roman" w:hAnsi="Times New Roman" w:cs="Times New Roman"/>
          <w:bCs/>
          <w:sz w:val="24"/>
          <w:szCs w:val="24"/>
        </w:rPr>
        <w:t>. Wiley India.</w:t>
      </w:r>
      <w:hyperlink r:id="rId8" w:tgtFrame="_blank" w:history="1">
        <w:r w:rsidRPr="00901A0B">
          <w:rPr>
            <w:rStyle w:val="Hyperlink"/>
            <w:rFonts w:ascii="Times New Roman" w:hAnsi="Times New Roman" w:cs="Times New Roman"/>
            <w:bCs/>
            <w:sz w:val="24"/>
            <w:szCs w:val="24"/>
          </w:rPr>
          <w:t>jneonatalsurg.com</w:t>
        </w:r>
      </w:hyperlink>
    </w:p>
    <w:p w14:paraId="56F71453" w14:textId="77777777" w:rsidR="00901A0B" w:rsidRPr="00901A0B" w:rsidRDefault="00901A0B" w:rsidP="00901A0B">
      <w:pPr>
        <w:numPr>
          <w:ilvl w:val="0"/>
          <w:numId w:val="5"/>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Sharma, R. (2019). </w:t>
      </w:r>
      <w:r w:rsidRPr="00901A0B">
        <w:rPr>
          <w:rFonts w:ascii="Times New Roman" w:hAnsi="Times New Roman" w:cs="Times New Roman"/>
          <w:bCs/>
          <w:i/>
          <w:iCs/>
          <w:sz w:val="24"/>
          <w:szCs w:val="24"/>
        </w:rPr>
        <w:t>Financial Risk Management in the Pharmaceutical Industry</w:t>
      </w:r>
      <w:r w:rsidRPr="00901A0B">
        <w:rPr>
          <w:rFonts w:ascii="Times New Roman" w:hAnsi="Times New Roman" w:cs="Times New Roman"/>
          <w:bCs/>
          <w:sz w:val="24"/>
          <w:szCs w:val="24"/>
        </w:rPr>
        <w:t>. Pearson Education.</w:t>
      </w:r>
      <w:hyperlink r:id="rId9" w:tgtFrame="_blank" w:history="1">
        <w:r w:rsidRPr="00901A0B">
          <w:rPr>
            <w:rStyle w:val="Hyperlink"/>
            <w:rFonts w:ascii="Times New Roman" w:hAnsi="Times New Roman" w:cs="Times New Roman"/>
            <w:bCs/>
            <w:sz w:val="24"/>
            <w:szCs w:val="24"/>
          </w:rPr>
          <w:t>jneonatalsurg.com</w:t>
        </w:r>
      </w:hyperlink>
    </w:p>
    <w:p w14:paraId="5FD3A01F" w14:textId="77777777" w:rsidR="00901A0B" w:rsidRPr="00901A0B" w:rsidRDefault="00901A0B" w:rsidP="00901A0B">
      <w:pPr>
        <w:spacing w:line="360" w:lineRule="auto"/>
        <w:jc w:val="both"/>
        <w:rPr>
          <w:rFonts w:ascii="Times New Roman" w:hAnsi="Times New Roman" w:cs="Times New Roman"/>
          <w:bCs/>
          <w:sz w:val="24"/>
          <w:szCs w:val="24"/>
        </w:rPr>
      </w:pPr>
      <w:r w:rsidRPr="00901A0B">
        <w:rPr>
          <w:rFonts w:ascii="Times New Roman" w:hAnsi="Times New Roman" w:cs="Times New Roman"/>
          <w:b/>
          <w:bCs/>
          <w:sz w:val="24"/>
          <w:szCs w:val="24"/>
        </w:rPr>
        <w:t>Journal Articles:</w:t>
      </w:r>
    </w:p>
    <w:p w14:paraId="54B2BBA6" w14:textId="77777777" w:rsidR="00901A0B" w:rsidRPr="00901A0B" w:rsidRDefault="00901A0B" w:rsidP="00901A0B">
      <w:pPr>
        <w:numPr>
          <w:ilvl w:val="0"/>
          <w:numId w:val="6"/>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Dandekar, M. D., &amp; Khaire, M. (2023). A study on financial risk management in pharmaceutical product launches at ZIM Laboratories Limited. </w:t>
      </w:r>
      <w:r w:rsidRPr="00901A0B">
        <w:rPr>
          <w:rFonts w:ascii="Times New Roman" w:hAnsi="Times New Roman" w:cs="Times New Roman"/>
          <w:bCs/>
          <w:i/>
          <w:iCs/>
          <w:sz w:val="24"/>
          <w:szCs w:val="24"/>
        </w:rPr>
        <w:t>Journal of Neonatal Surgery</w:t>
      </w:r>
      <w:r w:rsidRPr="00901A0B">
        <w:rPr>
          <w:rFonts w:ascii="Times New Roman" w:hAnsi="Times New Roman" w:cs="Times New Roman"/>
          <w:bCs/>
          <w:sz w:val="24"/>
          <w:szCs w:val="24"/>
        </w:rPr>
        <w:t xml:space="preserve">, 12(1), 1–10. </w:t>
      </w:r>
      <w:hyperlink r:id="rId10" w:tgtFrame="_new" w:history="1">
        <w:r w:rsidRPr="00901A0B">
          <w:rPr>
            <w:rStyle w:val="Hyperlink"/>
            <w:rFonts w:ascii="Times New Roman" w:hAnsi="Times New Roman" w:cs="Times New Roman"/>
            <w:bCs/>
            <w:sz w:val="24"/>
            <w:szCs w:val="24"/>
          </w:rPr>
          <w:t>https://doi.org/10.1055/s-0043-1762314</w:t>
        </w:r>
      </w:hyperlink>
      <w:hyperlink r:id="rId11" w:tgtFrame="_blank" w:history="1">
        <w:r w:rsidRPr="00901A0B">
          <w:rPr>
            <w:rStyle w:val="Hyperlink"/>
            <w:rFonts w:ascii="Times New Roman" w:hAnsi="Times New Roman" w:cs="Times New Roman"/>
            <w:bCs/>
            <w:sz w:val="24"/>
            <w:szCs w:val="24"/>
          </w:rPr>
          <w:t>jneonatalsurg.com</w:t>
        </w:r>
      </w:hyperlink>
    </w:p>
    <w:p w14:paraId="67D5A8D8" w14:textId="77777777" w:rsidR="00901A0B" w:rsidRPr="00901A0B" w:rsidRDefault="00901A0B" w:rsidP="00901A0B">
      <w:pPr>
        <w:numPr>
          <w:ilvl w:val="0"/>
          <w:numId w:val="6"/>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Sharma, A., Kumar, D., &amp; Arora, N. (2023). Risk assessment for pharmaceutical industry in uncertain environment: An integrated multi-criteria decision-making approach. </w:t>
      </w:r>
      <w:r w:rsidRPr="00901A0B">
        <w:rPr>
          <w:rFonts w:ascii="Times New Roman" w:hAnsi="Times New Roman" w:cs="Times New Roman"/>
          <w:bCs/>
          <w:i/>
          <w:iCs/>
          <w:sz w:val="24"/>
          <w:szCs w:val="24"/>
        </w:rPr>
        <w:t>Decision Making: Applications in Management and Engineering</w:t>
      </w:r>
      <w:r w:rsidRPr="00901A0B">
        <w:rPr>
          <w:rFonts w:ascii="Times New Roman" w:hAnsi="Times New Roman" w:cs="Times New Roman"/>
          <w:bCs/>
          <w:sz w:val="24"/>
          <w:szCs w:val="24"/>
        </w:rPr>
        <w:t xml:space="preserve">, 6(2), 1–15. </w:t>
      </w:r>
      <w:hyperlink r:id="rId12" w:tgtFrame="_new" w:history="1">
        <w:r w:rsidRPr="00901A0B">
          <w:rPr>
            <w:rStyle w:val="Hyperlink"/>
            <w:rFonts w:ascii="Times New Roman" w:hAnsi="Times New Roman" w:cs="Times New Roman"/>
            <w:bCs/>
            <w:sz w:val="24"/>
            <w:szCs w:val="24"/>
          </w:rPr>
          <w:t>https://doi.org/10.31181/dmame622023688</w:t>
        </w:r>
      </w:hyperlink>
      <w:hyperlink r:id="rId13" w:tgtFrame="_blank" w:history="1">
        <w:r w:rsidRPr="00901A0B">
          <w:rPr>
            <w:rStyle w:val="Hyperlink"/>
            <w:rFonts w:ascii="Times New Roman" w:hAnsi="Times New Roman" w:cs="Times New Roman"/>
            <w:bCs/>
            <w:sz w:val="24"/>
            <w:szCs w:val="24"/>
          </w:rPr>
          <w:t>dmame-journal.org</w:t>
        </w:r>
      </w:hyperlink>
    </w:p>
    <w:p w14:paraId="0ABB42A2" w14:textId="77777777" w:rsidR="00901A0B" w:rsidRPr="00901A0B" w:rsidRDefault="00901A0B" w:rsidP="00901A0B">
      <w:pPr>
        <w:numPr>
          <w:ilvl w:val="0"/>
          <w:numId w:val="6"/>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Kwak, Y. H., &amp; Dixon, C. K. (2008). Risk management framework for pharmaceutical research and development projects. </w:t>
      </w:r>
      <w:r w:rsidRPr="00901A0B">
        <w:rPr>
          <w:rFonts w:ascii="Times New Roman" w:hAnsi="Times New Roman" w:cs="Times New Roman"/>
          <w:bCs/>
          <w:i/>
          <w:iCs/>
          <w:sz w:val="24"/>
          <w:szCs w:val="24"/>
        </w:rPr>
        <w:t>International Journal of Managing Projects in Business</w:t>
      </w:r>
      <w:r w:rsidRPr="00901A0B">
        <w:rPr>
          <w:rFonts w:ascii="Times New Roman" w:hAnsi="Times New Roman" w:cs="Times New Roman"/>
          <w:bCs/>
          <w:sz w:val="24"/>
          <w:szCs w:val="24"/>
        </w:rPr>
        <w:t xml:space="preserve">, 1(4), 552–565. </w:t>
      </w:r>
      <w:hyperlink r:id="rId14" w:tgtFrame="_new" w:history="1">
        <w:r w:rsidRPr="00901A0B">
          <w:rPr>
            <w:rStyle w:val="Hyperlink"/>
            <w:rFonts w:ascii="Times New Roman" w:hAnsi="Times New Roman" w:cs="Times New Roman"/>
            <w:bCs/>
            <w:sz w:val="24"/>
            <w:szCs w:val="24"/>
          </w:rPr>
          <w:t>https://doi.org/10.1108/17538370810906255</w:t>
        </w:r>
      </w:hyperlink>
      <w:hyperlink r:id="rId15" w:tgtFrame="_blank" w:history="1">
        <w:r w:rsidRPr="00901A0B">
          <w:rPr>
            <w:rStyle w:val="Hyperlink"/>
            <w:rFonts w:ascii="Times New Roman" w:hAnsi="Times New Roman" w:cs="Times New Roman"/>
            <w:bCs/>
            <w:sz w:val="24"/>
            <w:szCs w:val="24"/>
          </w:rPr>
          <w:t>Emerald</w:t>
        </w:r>
      </w:hyperlink>
    </w:p>
    <w:p w14:paraId="4CF8045D" w14:textId="77777777" w:rsidR="00901A0B" w:rsidRPr="00901A0B" w:rsidRDefault="00901A0B" w:rsidP="00901A0B">
      <w:pPr>
        <w:numPr>
          <w:ilvl w:val="0"/>
          <w:numId w:val="6"/>
        </w:numPr>
        <w:spacing w:line="360" w:lineRule="auto"/>
        <w:jc w:val="both"/>
        <w:rPr>
          <w:rFonts w:ascii="Times New Roman" w:hAnsi="Times New Roman" w:cs="Times New Roman"/>
          <w:bCs/>
          <w:sz w:val="24"/>
          <w:szCs w:val="24"/>
        </w:rPr>
      </w:pPr>
      <w:proofErr w:type="spellStart"/>
      <w:r w:rsidRPr="00901A0B">
        <w:rPr>
          <w:rFonts w:ascii="Times New Roman" w:hAnsi="Times New Roman" w:cs="Times New Roman"/>
          <w:bCs/>
          <w:sz w:val="24"/>
          <w:szCs w:val="24"/>
        </w:rPr>
        <w:t>Massmar</w:t>
      </w:r>
      <w:proofErr w:type="spellEnd"/>
      <w:r w:rsidRPr="00901A0B">
        <w:rPr>
          <w:rFonts w:ascii="Times New Roman" w:hAnsi="Times New Roman" w:cs="Times New Roman"/>
          <w:bCs/>
          <w:sz w:val="24"/>
          <w:szCs w:val="24"/>
        </w:rPr>
        <w:t xml:space="preserve">, A. (2022). Supply chain risk management: Moroccan pharmaceutical sector case. </w:t>
      </w:r>
      <w:r w:rsidRPr="00901A0B">
        <w:rPr>
          <w:rFonts w:ascii="Times New Roman" w:hAnsi="Times New Roman" w:cs="Times New Roman"/>
          <w:bCs/>
          <w:i/>
          <w:iCs/>
          <w:sz w:val="24"/>
          <w:szCs w:val="24"/>
        </w:rPr>
        <w:t>AURUM Journal of Engineering Systems and Architecture</w:t>
      </w:r>
      <w:r w:rsidRPr="00901A0B">
        <w:rPr>
          <w:rFonts w:ascii="Times New Roman" w:hAnsi="Times New Roman" w:cs="Times New Roman"/>
          <w:bCs/>
          <w:sz w:val="24"/>
          <w:szCs w:val="24"/>
        </w:rPr>
        <w:t xml:space="preserve">, 6(2), 175–190. </w:t>
      </w:r>
      <w:hyperlink r:id="rId16" w:tgtFrame="_new" w:history="1">
        <w:r w:rsidRPr="00901A0B">
          <w:rPr>
            <w:rStyle w:val="Hyperlink"/>
            <w:rFonts w:ascii="Times New Roman" w:hAnsi="Times New Roman" w:cs="Times New Roman"/>
            <w:bCs/>
            <w:sz w:val="24"/>
            <w:szCs w:val="24"/>
          </w:rPr>
          <w:t>https://doi.org/10.53600/ajesa.1117959</w:t>
        </w:r>
      </w:hyperlink>
      <w:hyperlink r:id="rId17" w:tgtFrame="_blank" w:history="1">
        <w:r w:rsidRPr="00901A0B">
          <w:rPr>
            <w:rStyle w:val="Hyperlink"/>
            <w:rFonts w:ascii="Times New Roman" w:hAnsi="Times New Roman" w:cs="Times New Roman"/>
            <w:bCs/>
            <w:sz w:val="24"/>
            <w:szCs w:val="24"/>
          </w:rPr>
          <w:t>DergiPark</w:t>
        </w:r>
      </w:hyperlink>
    </w:p>
    <w:p w14:paraId="61CC3083" w14:textId="77777777" w:rsidR="00901A0B" w:rsidRPr="00901A0B" w:rsidRDefault="00901A0B" w:rsidP="00901A0B">
      <w:pPr>
        <w:spacing w:line="360" w:lineRule="auto"/>
        <w:jc w:val="both"/>
        <w:rPr>
          <w:rFonts w:ascii="Times New Roman" w:hAnsi="Times New Roman" w:cs="Times New Roman"/>
          <w:bCs/>
          <w:sz w:val="24"/>
          <w:szCs w:val="24"/>
        </w:rPr>
      </w:pPr>
      <w:r w:rsidRPr="00901A0B">
        <w:rPr>
          <w:rFonts w:ascii="Times New Roman" w:hAnsi="Times New Roman" w:cs="Times New Roman"/>
          <w:b/>
          <w:bCs/>
          <w:sz w:val="24"/>
          <w:szCs w:val="24"/>
        </w:rPr>
        <w:t>Industry Reports &amp; Articles:</w:t>
      </w:r>
    </w:p>
    <w:p w14:paraId="716DEB6D" w14:textId="77777777" w:rsidR="00901A0B" w:rsidRPr="00901A0B" w:rsidRDefault="00901A0B" w:rsidP="00901A0B">
      <w:pPr>
        <w:numPr>
          <w:ilvl w:val="0"/>
          <w:numId w:val="7"/>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Singh, G. (2025, May 9). Enterprise Risk Management (ERM): A critical imperative for India’s pharma sector. </w:t>
      </w:r>
      <w:r w:rsidRPr="00901A0B">
        <w:rPr>
          <w:rFonts w:ascii="Times New Roman" w:hAnsi="Times New Roman" w:cs="Times New Roman"/>
          <w:bCs/>
          <w:i/>
          <w:iCs/>
          <w:sz w:val="24"/>
          <w:szCs w:val="24"/>
        </w:rPr>
        <w:t>Express Pharma</w:t>
      </w:r>
      <w:r w:rsidRPr="00901A0B">
        <w:rPr>
          <w:rFonts w:ascii="Times New Roman" w:hAnsi="Times New Roman" w:cs="Times New Roman"/>
          <w:bCs/>
          <w:sz w:val="24"/>
          <w:szCs w:val="24"/>
        </w:rPr>
        <w:t xml:space="preserve">. Retrieved from </w:t>
      </w:r>
      <w:hyperlink r:id="rId18" w:tgtFrame="_new" w:history="1">
        <w:r w:rsidRPr="00901A0B">
          <w:rPr>
            <w:rStyle w:val="Hyperlink"/>
            <w:rFonts w:ascii="Times New Roman" w:hAnsi="Times New Roman" w:cs="Times New Roman"/>
            <w:bCs/>
            <w:sz w:val="24"/>
            <w:szCs w:val="24"/>
          </w:rPr>
          <w:t>https://www.expresspharma.in/enterprise-risk-management-erm-a-critical-imperative-for-indias-pharma-sector/</w:t>
        </w:r>
      </w:hyperlink>
      <w:hyperlink r:id="rId19" w:tgtFrame="_blank" w:history="1">
        <w:r w:rsidRPr="00901A0B">
          <w:rPr>
            <w:rStyle w:val="Hyperlink"/>
            <w:rFonts w:ascii="Times New Roman" w:hAnsi="Times New Roman" w:cs="Times New Roman"/>
            <w:bCs/>
            <w:sz w:val="24"/>
            <w:szCs w:val="24"/>
          </w:rPr>
          <w:t>Express Pharma</w:t>
        </w:r>
      </w:hyperlink>
    </w:p>
    <w:p w14:paraId="20EDACA3" w14:textId="77777777" w:rsidR="00901A0B" w:rsidRPr="00901A0B" w:rsidRDefault="00901A0B" w:rsidP="00901A0B">
      <w:pPr>
        <w:numPr>
          <w:ilvl w:val="0"/>
          <w:numId w:val="7"/>
        </w:numPr>
        <w:spacing w:line="360" w:lineRule="auto"/>
        <w:jc w:val="both"/>
        <w:rPr>
          <w:rFonts w:ascii="Times New Roman" w:hAnsi="Times New Roman" w:cs="Times New Roman"/>
          <w:bCs/>
          <w:sz w:val="24"/>
          <w:szCs w:val="24"/>
        </w:rPr>
      </w:pPr>
      <w:r w:rsidRPr="00901A0B">
        <w:rPr>
          <w:rFonts w:ascii="Times New Roman" w:hAnsi="Times New Roman" w:cs="Times New Roman"/>
          <w:bCs/>
          <w:sz w:val="24"/>
          <w:szCs w:val="24"/>
        </w:rPr>
        <w:t xml:space="preserve">McKinsey &amp; Company. (2023). Expanding horizons for risk management in pharma. Retrieved from </w:t>
      </w:r>
      <w:hyperlink r:id="rId20" w:tgtFrame="_new" w:history="1">
        <w:r w:rsidRPr="00901A0B">
          <w:rPr>
            <w:rStyle w:val="Hyperlink"/>
            <w:rFonts w:ascii="Times New Roman" w:hAnsi="Times New Roman" w:cs="Times New Roman"/>
            <w:bCs/>
            <w:sz w:val="24"/>
            <w:szCs w:val="24"/>
          </w:rPr>
          <w:t>https://www.mckinsey.com/capabilities/risk-and-resilience/our-insights/expanding-horizons-for-risk-management-in-pharma</w:t>
        </w:r>
      </w:hyperlink>
      <w:hyperlink r:id="rId21" w:tgtFrame="_blank" w:history="1">
        <w:r w:rsidRPr="00901A0B">
          <w:rPr>
            <w:rStyle w:val="Hyperlink"/>
            <w:rFonts w:ascii="Times New Roman" w:hAnsi="Times New Roman" w:cs="Times New Roman"/>
            <w:bCs/>
            <w:sz w:val="24"/>
            <w:szCs w:val="24"/>
          </w:rPr>
          <w:t>McKinsey &amp; Company</w:t>
        </w:r>
      </w:hyperlink>
    </w:p>
    <w:p w14:paraId="59049C64" w14:textId="77777777" w:rsidR="00901A0B" w:rsidRPr="00901A0B" w:rsidRDefault="00901A0B" w:rsidP="00901A0B">
      <w:pPr>
        <w:numPr>
          <w:ilvl w:val="0"/>
          <w:numId w:val="7"/>
        </w:numPr>
        <w:spacing w:line="360" w:lineRule="auto"/>
        <w:jc w:val="both"/>
        <w:rPr>
          <w:rFonts w:ascii="Times New Roman" w:hAnsi="Times New Roman" w:cs="Times New Roman"/>
          <w:bCs/>
          <w:sz w:val="24"/>
          <w:szCs w:val="24"/>
        </w:rPr>
      </w:pPr>
      <w:proofErr w:type="spellStart"/>
      <w:r w:rsidRPr="00901A0B">
        <w:rPr>
          <w:rFonts w:ascii="Times New Roman" w:hAnsi="Times New Roman" w:cs="Times New Roman"/>
          <w:bCs/>
          <w:sz w:val="24"/>
          <w:szCs w:val="24"/>
        </w:rPr>
        <w:t>Camms</w:t>
      </w:r>
      <w:proofErr w:type="spellEnd"/>
      <w:r w:rsidRPr="00901A0B">
        <w:rPr>
          <w:rFonts w:ascii="Times New Roman" w:hAnsi="Times New Roman" w:cs="Times New Roman"/>
          <w:bCs/>
          <w:sz w:val="24"/>
          <w:szCs w:val="24"/>
        </w:rPr>
        <w:t xml:space="preserve"> Group. (2023). Managing risk in the pharmaceutical &amp; life sciences sector. Retrieved from </w:t>
      </w:r>
      <w:hyperlink r:id="rId22" w:tgtFrame="_new" w:history="1">
        <w:r w:rsidRPr="00901A0B">
          <w:rPr>
            <w:rStyle w:val="Hyperlink"/>
            <w:rFonts w:ascii="Times New Roman" w:hAnsi="Times New Roman" w:cs="Times New Roman"/>
            <w:bCs/>
            <w:sz w:val="24"/>
            <w:szCs w:val="24"/>
          </w:rPr>
          <w:t>https://cammsgroup.com/blog/managing-risk-in-the-pharmaceutical-sector</w:t>
        </w:r>
      </w:hyperlink>
      <w:hyperlink r:id="rId23" w:tgtFrame="_blank" w:history="1">
        <w:r w:rsidRPr="00901A0B">
          <w:rPr>
            <w:rStyle w:val="Hyperlink"/>
            <w:rFonts w:ascii="Times New Roman" w:hAnsi="Times New Roman" w:cs="Times New Roman"/>
            <w:bCs/>
            <w:sz w:val="24"/>
            <w:szCs w:val="24"/>
          </w:rPr>
          <w:t>cammsgroup.com</w:t>
        </w:r>
      </w:hyperlink>
    </w:p>
    <w:p w14:paraId="336A187C" w14:textId="77777777" w:rsidR="00251E86" w:rsidRPr="00251E86" w:rsidRDefault="00251E86" w:rsidP="00251E86">
      <w:pPr>
        <w:spacing w:line="360" w:lineRule="auto"/>
        <w:jc w:val="both"/>
        <w:rPr>
          <w:rFonts w:ascii="Times New Roman" w:hAnsi="Times New Roman" w:cs="Times New Roman"/>
          <w:bCs/>
          <w:sz w:val="24"/>
          <w:szCs w:val="24"/>
        </w:rPr>
      </w:pPr>
    </w:p>
    <w:p w14:paraId="6051BCA0" w14:textId="77777777" w:rsidR="00251E86" w:rsidRDefault="00251E86" w:rsidP="00251E86">
      <w:pPr>
        <w:spacing w:line="360" w:lineRule="auto"/>
        <w:rPr>
          <w:rFonts w:ascii="Times New Roman" w:hAnsi="Times New Roman" w:cs="Times New Roman"/>
          <w:b/>
          <w:sz w:val="24"/>
          <w:szCs w:val="24"/>
          <w:lang w:val="en-US"/>
        </w:rPr>
      </w:pPr>
    </w:p>
    <w:bookmarkEnd w:id="5"/>
    <w:p w14:paraId="7B29E2CA" w14:textId="77777777" w:rsidR="00251E86" w:rsidRPr="002658E6" w:rsidRDefault="00251E86">
      <w:pPr>
        <w:rPr>
          <w:sz w:val="24"/>
          <w:szCs w:val="24"/>
        </w:rPr>
      </w:pPr>
    </w:p>
    <w:sectPr w:rsidR="00251E86" w:rsidRPr="00265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251E8"/>
    <w:multiLevelType w:val="multilevel"/>
    <w:tmpl w:val="06A2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8346B2"/>
    <w:multiLevelType w:val="multilevel"/>
    <w:tmpl w:val="C44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DF05B3"/>
    <w:multiLevelType w:val="hybridMultilevel"/>
    <w:tmpl w:val="BCF8F8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E4650A"/>
    <w:multiLevelType w:val="multilevel"/>
    <w:tmpl w:val="EF00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35386"/>
    <w:multiLevelType w:val="hybridMultilevel"/>
    <w:tmpl w:val="5B2899F2"/>
    <w:lvl w:ilvl="0" w:tplc="1A7ECF54">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09638D1"/>
    <w:multiLevelType w:val="hybridMultilevel"/>
    <w:tmpl w:val="F9200B80"/>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668E1591"/>
    <w:multiLevelType w:val="multilevel"/>
    <w:tmpl w:val="FCF0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6620114">
    <w:abstractNumId w:val="2"/>
  </w:num>
  <w:num w:numId="2" w16cid:durableId="1922105693">
    <w:abstractNumId w:val="4"/>
  </w:num>
  <w:num w:numId="3" w16cid:durableId="1499156648">
    <w:abstractNumId w:val="5"/>
  </w:num>
  <w:num w:numId="4" w16cid:durableId="194461715">
    <w:abstractNumId w:val="1"/>
  </w:num>
  <w:num w:numId="5" w16cid:durableId="441073258">
    <w:abstractNumId w:val="6"/>
  </w:num>
  <w:num w:numId="6" w16cid:durableId="1941061570">
    <w:abstractNumId w:val="0"/>
  </w:num>
  <w:num w:numId="7" w16cid:durableId="1184245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2F1"/>
    <w:rsid w:val="0020187E"/>
    <w:rsid w:val="00251E86"/>
    <w:rsid w:val="002658E6"/>
    <w:rsid w:val="004022F1"/>
    <w:rsid w:val="008F7F7B"/>
    <w:rsid w:val="00901A0B"/>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1639"/>
  <w15:chartTrackingRefBased/>
  <w15:docId w15:val="{E2896FB5-2B5F-4FCF-A000-C73EAEB18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8E6"/>
  </w:style>
  <w:style w:type="paragraph" w:styleId="Heading1">
    <w:name w:val="heading 1"/>
    <w:basedOn w:val="Normal"/>
    <w:next w:val="Normal"/>
    <w:link w:val="Heading1Char"/>
    <w:uiPriority w:val="9"/>
    <w:qFormat/>
    <w:rsid w:val="004022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22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22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22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22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22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2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2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2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2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22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22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22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22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2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2F1"/>
    <w:rPr>
      <w:rFonts w:eastAsiaTheme="majorEastAsia" w:cstheme="majorBidi"/>
      <w:color w:val="272727" w:themeColor="text1" w:themeTint="D8"/>
    </w:rPr>
  </w:style>
  <w:style w:type="paragraph" w:styleId="Title">
    <w:name w:val="Title"/>
    <w:basedOn w:val="Normal"/>
    <w:next w:val="Normal"/>
    <w:link w:val="TitleChar"/>
    <w:uiPriority w:val="10"/>
    <w:qFormat/>
    <w:rsid w:val="004022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2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2F1"/>
    <w:pPr>
      <w:spacing w:before="160"/>
      <w:jc w:val="center"/>
    </w:pPr>
    <w:rPr>
      <w:i/>
      <w:iCs/>
      <w:color w:val="404040" w:themeColor="text1" w:themeTint="BF"/>
    </w:rPr>
  </w:style>
  <w:style w:type="character" w:customStyle="1" w:styleId="QuoteChar">
    <w:name w:val="Quote Char"/>
    <w:basedOn w:val="DefaultParagraphFont"/>
    <w:link w:val="Quote"/>
    <w:uiPriority w:val="29"/>
    <w:rsid w:val="004022F1"/>
    <w:rPr>
      <w:i/>
      <w:iCs/>
      <w:color w:val="404040" w:themeColor="text1" w:themeTint="BF"/>
    </w:rPr>
  </w:style>
  <w:style w:type="paragraph" w:styleId="ListParagraph">
    <w:name w:val="List Paragraph"/>
    <w:basedOn w:val="Normal"/>
    <w:uiPriority w:val="34"/>
    <w:qFormat/>
    <w:rsid w:val="004022F1"/>
    <w:pPr>
      <w:ind w:left="720"/>
      <w:contextualSpacing/>
    </w:pPr>
  </w:style>
  <w:style w:type="character" w:styleId="IntenseEmphasis">
    <w:name w:val="Intense Emphasis"/>
    <w:basedOn w:val="DefaultParagraphFont"/>
    <w:uiPriority w:val="21"/>
    <w:qFormat/>
    <w:rsid w:val="004022F1"/>
    <w:rPr>
      <w:i/>
      <w:iCs/>
      <w:color w:val="2F5496" w:themeColor="accent1" w:themeShade="BF"/>
    </w:rPr>
  </w:style>
  <w:style w:type="paragraph" w:styleId="IntenseQuote">
    <w:name w:val="Intense Quote"/>
    <w:basedOn w:val="Normal"/>
    <w:next w:val="Normal"/>
    <w:link w:val="IntenseQuoteChar"/>
    <w:uiPriority w:val="30"/>
    <w:qFormat/>
    <w:rsid w:val="004022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22F1"/>
    <w:rPr>
      <w:i/>
      <w:iCs/>
      <w:color w:val="2F5496" w:themeColor="accent1" w:themeShade="BF"/>
    </w:rPr>
  </w:style>
  <w:style w:type="character" w:styleId="IntenseReference">
    <w:name w:val="Intense Reference"/>
    <w:basedOn w:val="DefaultParagraphFont"/>
    <w:uiPriority w:val="32"/>
    <w:qFormat/>
    <w:rsid w:val="004022F1"/>
    <w:rPr>
      <w:b/>
      <w:bCs/>
      <w:smallCaps/>
      <w:color w:val="2F5496" w:themeColor="accent1" w:themeShade="BF"/>
      <w:spacing w:val="5"/>
    </w:rPr>
  </w:style>
  <w:style w:type="character" w:styleId="Hyperlink">
    <w:name w:val="Hyperlink"/>
    <w:basedOn w:val="DefaultParagraphFont"/>
    <w:uiPriority w:val="99"/>
    <w:unhideWhenUsed/>
    <w:rsid w:val="00901A0B"/>
    <w:rPr>
      <w:color w:val="0563C1" w:themeColor="hyperlink"/>
      <w:u w:val="single"/>
    </w:rPr>
  </w:style>
  <w:style w:type="character" w:styleId="UnresolvedMention">
    <w:name w:val="Unresolved Mention"/>
    <w:basedOn w:val="DefaultParagraphFont"/>
    <w:uiPriority w:val="99"/>
    <w:semiHidden/>
    <w:unhideWhenUsed/>
    <w:rsid w:val="00901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neonatalsurg.com/index.php/jns/article/view/5710?utm_source=chatgpt.com" TargetMode="External"/><Relationship Id="rId13" Type="http://schemas.openxmlformats.org/officeDocument/2006/relationships/hyperlink" Target="https://dmame-journal.org/index.php/dmame/article/view/688?utm_source=chatgpt.com" TargetMode="External"/><Relationship Id="rId18" Type="http://schemas.openxmlformats.org/officeDocument/2006/relationships/hyperlink" Target="https://www.expresspharma.in/enterprise-risk-management-erm-a-critical-imperative-for-indias-pharma-sector/" TargetMode="External"/><Relationship Id="rId3" Type="http://schemas.openxmlformats.org/officeDocument/2006/relationships/styles" Target="styles.xml"/><Relationship Id="rId21" Type="http://schemas.openxmlformats.org/officeDocument/2006/relationships/hyperlink" Target="https://www.mckinsey.com/capabilities/risk-and-resilience/our-insights/expanding-horizons-for-risk-management-in-pharma.?utm_source=chatgpt.com" TargetMode="External"/><Relationship Id="rId7" Type="http://schemas.openxmlformats.org/officeDocument/2006/relationships/hyperlink" Target="https://www.irma-international.org/chapter/enterprise-risk-management/52005/?utm_source=chatgpt.com" TargetMode="External"/><Relationship Id="rId12" Type="http://schemas.openxmlformats.org/officeDocument/2006/relationships/hyperlink" Target="https://doi.org/10.31181/dmame622023688" TargetMode="External"/><Relationship Id="rId17" Type="http://schemas.openxmlformats.org/officeDocument/2006/relationships/hyperlink" Target="https://dergipark.org.tr/en/pub/ajesa/issue/74671/1117959?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53600/ajesa.1117959" TargetMode="External"/><Relationship Id="rId20" Type="http://schemas.openxmlformats.org/officeDocument/2006/relationships/hyperlink" Target="https://www.mckinsey.com/capabilities/risk-and-resilience/our-insights/expanding-horizons-for-risk-management-in-pharma" TargetMode="External"/><Relationship Id="rId1" Type="http://schemas.openxmlformats.org/officeDocument/2006/relationships/customXml" Target="../customXml/item1.xml"/><Relationship Id="rId6" Type="http://schemas.openxmlformats.org/officeDocument/2006/relationships/hyperlink" Target="https://doi.org/10.4018/978-1-60960-501-8.ch008" TargetMode="External"/><Relationship Id="rId11" Type="http://schemas.openxmlformats.org/officeDocument/2006/relationships/hyperlink" Target="https://www.jneonatalsurg.com/index.php/jns/article/view/5710?utm_source=chatgpt.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merald.com/insight/content/doi/10.1108/17538370810906255/full/html?utm_source=chatgpt.com" TargetMode="External"/><Relationship Id="rId23" Type="http://schemas.openxmlformats.org/officeDocument/2006/relationships/hyperlink" Target="https://cammsgroup.com/blog/managing-risk-in-the-pharmaceutical-sector?utm_source=chatgpt.com" TargetMode="External"/><Relationship Id="rId10" Type="http://schemas.openxmlformats.org/officeDocument/2006/relationships/hyperlink" Target="https://doi.org/10.1055/s-0043-1762314" TargetMode="External"/><Relationship Id="rId19" Type="http://schemas.openxmlformats.org/officeDocument/2006/relationships/hyperlink" Target="https://www.expresspharma.in/enterprise-risk-management-erm-a-critical-imperative-for-indias-pharma-sector/?utm_source=chatgpt.com" TargetMode="External"/><Relationship Id="rId4" Type="http://schemas.openxmlformats.org/officeDocument/2006/relationships/settings" Target="settings.xml"/><Relationship Id="rId9" Type="http://schemas.openxmlformats.org/officeDocument/2006/relationships/hyperlink" Target="https://www.jneonatalsurg.com/index.php/jns/article/view/5710?utm_source=chatgpt.com" TargetMode="External"/><Relationship Id="rId14" Type="http://schemas.openxmlformats.org/officeDocument/2006/relationships/hyperlink" Target="https://doi.org/10.1108/17538370810906255" TargetMode="External"/><Relationship Id="rId22" Type="http://schemas.openxmlformats.org/officeDocument/2006/relationships/hyperlink" Target="https://cammsgroup.com/blog/managing-risk-in-the-pharmaceutical-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2A856-8557-4DD8-AFB9-1205F80FF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16</Pages>
  <Words>5172</Words>
  <Characters>29486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2025-08-01T15:55:00Z</dcterms:created>
  <dcterms:modified xsi:type="dcterms:W3CDTF">2025-08-01T16:16:00Z</dcterms:modified>
</cp:coreProperties>
</file>