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62A10" w14:textId="77777777" w:rsidR="00287830" w:rsidRPr="00DA2E13" w:rsidRDefault="00287830" w:rsidP="00287830">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30789A87" w14:textId="77777777" w:rsidR="00287830" w:rsidRPr="00DA2E13" w:rsidRDefault="00287830" w:rsidP="0028783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096F9257" w14:textId="77777777" w:rsidR="00287830" w:rsidRDefault="00287830" w:rsidP="002878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87830">
        <w:rPr>
          <w:rFonts w:ascii="Times New Roman" w:hAnsi="Times New Roman" w:cs="Times New Roman"/>
          <w:sz w:val="24"/>
          <w:szCs w:val="24"/>
        </w:rPr>
        <w:t xml:space="preserve">Credit risk management in commercial banks is a fundamental aspect of financial stability and sustainable banking operations. Credit risk, which refers to the possibility that borrowers may fail to meet their obligations as agreed, is among the most significant risks faced by banks worldwide. Given that lending activities constitute a core function of commercial banks, effective management of credit risk is crucial for minimizing potential losses and ensuring the overall health of the banking sector. The importance of credit risk management has been underscored by numerous banking crises globally, where inadequate assessment and control of credit exposures have led to significant financial distress and, in extreme cases, bank failures. </w:t>
      </w:r>
    </w:p>
    <w:p w14:paraId="25E026FC" w14:textId="5341DBE5" w:rsidR="00287830" w:rsidRPr="00287830" w:rsidRDefault="00287830" w:rsidP="002878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87830">
        <w:rPr>
          <w:rFonts w:ascii="Times New Roman" w:hAnsi="Times New Roman" w:cs="Times New Roman"/>
          <w:sz w:val="24"/>
          <w:szCs w:val="24"/>
        </w:rPr>
        <w:t>In Nigeria, the commercial banking sector plays a pivotal role in economic development by mobilizing savings and allocating resources to productive sectors. However, the sector has faced persistent challenges related to non-performing loans (NPLs), which threaten its stability and growth. The high incidence of bad debts often results from poor credit appraisal techniques, weak monitoring systems, and external economic factors such as market volatility, inflation, and political instability. These challenges necessitate robust credit risk management frameworks that encompass credit appraisal, risk assessment, monitoring, and mitigation strategies.</w:t>
      </w:r>
    </w:p>
    <w:p w14:paraId="0EF5E0CA" w14:textId="77777777" w:rsidR="00287830" w:rsidRDefault="00287830" w:rsidP="002878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87830">
        <w:rPr>
          <w:rFonts w:ascii="Times New Roman" w:hAnsi="Times New Roman" w:cs="Times New Roman"/>
          <w:sz w:val="24"/>
          <w:szCs w:val="24"/>
        </w:rPr>
        <w:t xml:space="preserve">Over the years, regulatory authorities such as the Central Bank of Nigeria (CBN) have introduced guidelines and prudential standards to strengthen credit risk management practices within commercial banks. These regulations aim to enhance transparency, enforce stricter loan classification, and promote adequate provisioning against potential loan losses. Furthermore, advancements in technology and data analytics have enabled banks to adopt sophisticated credit scoring models and early warning systems, thereby improving their capacity to evaluate borrower creditworthiness and manage risk exposure proactively. </w:t>
      </w:r>
    </w:p>
    <w:p w14:paraId="2344568F" w14:textId="27DA9867" w:rsidR="00287830" w:rsidRPr="00287830" w:rsidRDefault="00287830" w:rsidP="002878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87830">
        <w:rPr>
          <w:rFonts w:ascii="Times New Roman" w:hAnsi="Times New Roman" w:cs="Times New Roman"/>
          <w:sz w:val="24"/>
          <w:szCs w:val="24"/>
        </w:rPr>
        <w:t>Despite these developments, many Nigerian banks continue to struggle with credit risk due to operational inefficiencies, governance issues, and inadequate risk culture. This study is therefore motivated by the need to critically assess the credit risk management practices in Nigerian commercial banks, identify gaps, and recommend improvements that align with international best practices.</w:t>
      </w:r>
    </w:p>
    <w:p w14:paraId="0FB96A98" w14:textId="2B432879" w:rsidR="00287830" w:rsidRPr="00287830" w:rsidRDefault="00287830" w:rsidP="0028783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87830">
        <w:rPr>
          <w:rFonts w:ascii="Times New Roman" w:hAnsi="Times New Roman" w:cs="Times New Roman"/>
          <w:sz w:val="24"/>
          <w:szCs w:val="24"/>
        </w:rPr>
        <w:t>Understanding credit risk management also involves examining the role of key stakeholders, including bank management, credit officers, regulators, and customers. Effective communication and coordination among these parties are essential for timely identification and resolution of credit problems. Moreover, the study will explore how macroeconomic variables influence credit risk and the strategies banks employ to mitigate systemic risks. Given the dynamic nature of the banking environment and the increasing complexity of financial products, this research will provide valuable insights into the adaptability and resilience of credit risk management systems.</w:t>
      </w:r>
    </w:p>
    <w:p w14:paraId="573AF700" w14:textId="2A47F0C6" w:rsidR="00287830" w:rsidRDefault="00287830" w:rsidP="002878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87830">
        <w:rPr>
          <w:rFonts w:ascii="Times New Roman" w:hAnsi="Times New Roman" w:cs="Times New Roman"/>
          <w:sz w:val="24"/>
          <w:szCs w:val="24"/>
        </w:rPr>
        <w:t xml:space="preserve">In conclusion, credit risk management remains a vital area of concern for commercial banks, particularly in emerging economies like Nigeria, where economic uncertainties and market imperfections persist. By enhancing credit risk frameworks, banks can safeguard their assets, improve profitability, and contribute more effectively to national economic development. This study aims to contribute to the body of knowledge by </w:t>
      </w:r>
      <w:proofErr w:type="spellStart"/>
      <w:r w:rsidRPr="00287830">
        <w:rPr>
          <w:rFonts w:ascii="Times New Roman" w:hAnsi="Times New Roman" w:cs="Times New Roman"/>
          <w:sz w:val="24"/>
          <w:szCs w:val="24"/>
        </w:rPr>
        <w:t>analyzing</w:t>
      </w:r>
      <w:proofErr w:type="spellEnd"/>
      <w:r w:rsidRPr="00287830">
        <w:rPr>
          <w:rFonts w:ascii="Times New Roman" w:hAnsi="Times New Roman" w:cs="Times New Roman"/>
          <w:sz w:val="24"/>
          <w:szCs w:val="24"/>
        </w:rPr>
        <w:t xml:space="preserve"> the current practices, challenges, and opportunities in credit risk management within Nigerian commercial banks, thereby offering practical recommendations for policy makers, banking practitioners, and regulators.</w:t>
      </w:r>
    </w:p>
    <w:p w14:paraId="26A1A847" w14:textId="564A1D9D" w:rsidR="00287830" w:rsidRDefault="00287830" w:rsidP="00287830">
      <w:pPr>
        <w:spacing w:line="360" w:lineRule="auto"/>
        <w:jc w:val="both"/>
        <w:rPr>
          <w:rFonts w:ascii="Times New Roman" w:hAnsi="Times New Roman" w:cs="Times New Roman"/>
          <w:b/>
          <w:sz w:val="24"/>
          <w:szCs w:val="24"/>
        </w:rPr>
      </w:pPr>
      <w:bookmarkStart w:id="1" w:name="_Hlk202099740"/>
      <w:bookmarkStart w:id="2" w:name="_Hlk203252668"/>
      <w:bookmarkStart w:id="3" w:name="_Hlk204629475"/>
      <w:r w:rsidRPr="00DA2E13">
        <w:rPr>
          <w:rFonts w:ascii="Times New Roman" w:hAnsi="Times New Roman" w:cs="Times New Roman"/>
          <w:b/>
          <w:sz w:val="24"/>
          <w:szCs w:val="24"/>
          <w:lang w:val="en-US"/>
        </w:rPr>
        <w:t>What are the benefits of</w:t>
      </w:r>
      <w:bookmarkEnd w:id="1"/>
      <w:bookmarkEnd w:id="2"/>
      <w:bookmarkEnd w:id="3"/>
      <w:r w:rsidRPr="00287830">
        <w:t xml:space="preserve"> </w:t>
      </w:r>
      <w:r w:rsidRPr="00287830">
        <w:rPr>
          <w:rFonts w:ascii="Times New Roman" w:hAnsi="Times New Roman" w:cs="Times New Roman"/>
          <w:b/>
          <w:sz w:val="24"/>
          <w:szCs w:val="24"/>
        </w:rPr>
        <w:t>credit risk management in commercial banks</w:t>
      </w:r>
      <w:r>
        <w:rPr>
          <w:rFonts w:ascii="Times New Roman" w:hAnsi="Times New Roman" w:cs="Times New Roman"/>
          <w:b/>
          <w:sz w:val="24"/>
          <w:szCs w:val="24"/>
        </w:rPr>
        <w:t>?</w:t>
      </w:r>
    </w:p>
    <w:p w14:paraId="6C4F19FB" w14:textId="77777777" w:rsidR="00287830" w:rsidRPr="00287830" w:rsidRDefault="00287830" w:rsidP="00287830">
      <w:pPr>
        <w:spacing w:line="360" w:lineRule="auto"/>
        <w:jc w:val="both"/>
        <w:rPr>
          <w:rFonts w:ascii="Times New Roman" w:hAnsi="Times New Roman" w:cs="Times New Roman"/>
          <w:sz w:val="24"/>
          <w:szCs w:val="24"/>
        </w:rPr>
      </w:pPr>
      <w:r w:rsidRPr="00287830">
        <w:rPr>
          <w:rFonts w:ascii="Times New Roman" w:hAnsi="Times New Roman" w:cs="Times New Roman"/>
          <w:sz w:val="24"/>
          <w:szCs w:val="24"/>
        </w:rPr>
        <w:t>This study will help banks improve their ability to identify, measure, and control credit risks, which reduces the likelihood of loan defaults and financial losses. By understanding effective risk management practices, banks can make better lending decisions that enhance their profitability and sustainability.</w:t>
      </w:r>
    </w:p>
    <w:p w14:paraId="31A4AE31" w14:textId="77777777" w:rsidR="00287830" w:rsidRPr="00287830" w:rsidRDefault="00287830" w:rsidP="00287830">
      <w:pPr>
        <w:spacing w:line="360" w:lineRule="auto"/>
        <w:jc w:val="both"/>
        <w:rPr>
          <w:rFonts w:ascii="Times New Roman" w:hAnsi="Times New Roman" w:cs="Times New Roman"/>
          <w:sz w:val="24"/>
          <w:szCs w:val="24"/>
        </w:rPr>
      </w:pPr>
      <w:r w:rsidRPr="00287830">
        <w:rPr>
          <w:rFonts w:ascii="Times New Roman" w:hAnsi="Times New Roman" w:cs="Times New Roman"/>
          <w:sz w:val="24"/>
          <w:szCs w:val="24"/>
        </w:rPr>
        <w:t>It provides regulators and policymakers with critical insights into the strengths and weaknesses of current credit risk frameworks, enabling them to design more effective guidelines. These improved regulations can promote a healthier banking sector and protect depositors’ funds from excessive risk exposure.</w:t>
      </w:r>
    </w:p>
    <w:p w14:paraId="15BB58F5" w14:textId="77777777" w:rsidR="00287830" w:rsidRPr="00287830" w:rsidRDefault="00287830" w:rsidP="00287830">
      <w:pPr>
        <w:spacing w:line="360" w:lineRule="auto"/>
        <w:jc w:val="both"/>
        <w:rPr>
          <w:rFonts w:ascii="Times New Roman" w:hAnsi="Times New Roman" w:cs="Times New Roman"/>
          <w:sz w:val="24"/>
          <w:szCs w:val="24"/>
        </w:rPr>
      </w:pPr>
      <w:r w:rsidRPr="00287830">
        <w:rPr>
          <w:rFonts w:ascii="Times New Roman" w:hAnsi="Times New Roman" w:cs="Times New Roman"/>
          <w:sz w:val="24"/>
          <w:szCs w:val="24"/>
        </w:rPr>
        <w:t>The research benefits banking professionals by highlighting practical tools and techniques for risk assessment and mitigation, empowering credit officers and managers to manage portfolios more efficiently. This leads to stronger internal controls and better monitoring of loan performance.</w:t>
      </w:r>
    </w:p>
    <w:p w14:paraId="4F506999" w14:textId="77777777" w:rsidR="00287830" w:rsidRPr="00287830" w:rsidRDefault="00287830" w:rsidP="00287830">
      <w:pPr>
        <w:spacing w:line="360" w:lineRule="auto"/>
        <w:jc w:val="both"/>
        <w:rPr>
          <w:rFonts w:ascii="Times New Roman" w:hAnsi="Times New Roman" w:cs="Times New Roman"/>
          <w:sz w:val="24"/>
          <w:szCs w:val="24"/>
        </w:rPr>
      </w:pPr>
      <w:r w:rsidRPr="00287830">
        <w:rPr>
          <w:rFonts w:ascii="Times New Roman" w:hAnsi="Times New Roman" w:cs="Times New Roman"/>
          <w:sz w:val="24"/>
          <w:szCs w:val="24"/>
        </w:rPr>
        <w:t xml:space="preserve">Moreover, the study raises awareness among stakeholders about the economic impact of poor credit risk management, encouraging more prudent lending practices. This contributes to </w:t>
      </w:r>
      <w:r w:rsidRPr="00287830">
        <w:rPr>
          <w:rFonts w:ascii="Times New Roman" w:hAnsi="Times New Roman" w:cs="Times New Roman"/>
          <w:sz w:val="24"/>
          <w:szCs w:val="24"/>
        </w:rPr>
        <w:lastRenderedPageBreak/>
        <w:t>overall financial system stability and reduces the risk of banking crises that can disrupt economic growth.</w:t>
      </w:r>
    </w:p>
    <w:p w14:paraId="5AEFEE11" w14:textId="77777777" w:rsidR="00287830" w:rsidRPr="00287830" w:rsidRDefault="00287830" w:rsidP="00287830">
      <w:pPr>
        <w:spacing w:line="360" w:lineRule="auto"/>
        <w:jc w:val="both"/>
        <w:rPr>
          <w:rFonts w:ascii="Times New Roman" w:hAnsi="Times New Roman" w:cs="Times New Roman"/>
          <w:sz w:val="24"/>
          <w:szCs w:val="24"/>
        </w:rPr>
      </w:pPr>
      <w:r w:rsidRPr="00287830">
        <w:rPr>
          <w:rFonts w:ascii="Times New Roman" w:hAnsi="Times New Roman" w:cs="Times New Roman"/>
          <w:sz w:val="24"/>
          <w:szCs w:val="24"/>
        </w:rPr>
        <w:t>Finally, the findings can assist academic researchers and students in gaining a deeper understanding of credit risk challenges in developing economies like Nigeria. This knowledge fosters further research and innovation in banking risk management practices tailored to local market conditions.</w:t>
      </w:r>
    </w:p>
    <w:p w14:paraId="4DC00FAB" w14:textId="4156525A" w:rsidR="0085072B" w:rsidRDefault="0085072B" w:rsidP="0085072B">
      <w:pPr>
        <w:spacing w:line="360" w:lineRule="auto"/>
        <w:jc w:val="both"/>
        <w:rPr>
          <w:rFonts w:ascii="Times New Roman" w:hAnsi="Times New Roman" w:cs="Times New Roman"/>
          <w:b/>
          <w:sz w:val="24"/>
          <w:szCs w:val="24"/>
        </w:rPr>
      </w:pPr>
      <w:bookmarkStart w:id="4" w:name="_Hlk204529214"/>
      <w:bookmarkStart w:id="5" w:name="_Hlk204629529"/>
      <w:r w:rsidRPr="00287830">
        <w:rPr>
          <w:rFonts w:ascii="Times New Roman" w:hAnsi="Times New Roman" w:cs="Times New Roman"/>
          <w:b/>
          <w:sz w:val="24"/>
          <w:szCs w:val="24"/>
        </w:rPr>
        <w:t>Credit risk management in commercial banks</w:t>
      </w:r>
      <w:r w:rsidRPr="00C74137">
        <w:rPr>
          <w:rFonts w:ascii="Times New Roman" w:hAnsi="Times New Roman" w:cs="Times New Roman"/>
          <w:b/>
          <w:sz w:val="24"/>
          <w:szCs w:val="24"/>
        </w:rPr>
        <w:t xml:space="preserve"> </w:t>
      </w:r>
      <w:r w:rsidRPr="00C74137">
        <w:rPr>
          <w:rFonts w:ascii="Times New Roman" w:hAnsi="Times New Roman" w:cs="Times New Roman"/>
          <w:b/>
          <w:sz w:val="24"/>
          <w:szCs w:val="24"/>
        </w:rPr>
        <w:t>advantages</w:t>
      </w:r>
      <w:bookmarkEnd w:id="5"/>
    </w:p>
    <w:p w14:paraId="70F373BF" w14:textId="77777777" w:rsidR="0085072B" w:rsidRPr="0085072B" w:rsidRDefault="0085072B" w:rsidP="0085072B">
      <w:pPr>
        <w:pStyle w:val="ListParagraph"/>
        <w:numPr>
          <w:ilvl w:val="0"/>
          <w:numId w:val="1"/>
        </w:numPr>
        <w:spacing w:line="360" w:lineRule="auto"/>
        <w:jc w:val="both"/>
        <w:rPr>
          <w:rFonts w:ascii="Times New Roman" w:hAnsi="Times New Roman" w:cs="Times New Roman"/>
          <w:bCs/>
          <w:sz w:val="24"/>
          <w:szCs w:val="24"/>
        </w:rPr>
      </w:pPr>
      <w:r w:rsidRPr="0085072B">
        <w:rPr>
          <w:rFonts w:ascii="Times New Roman" w:hAnsi="Times New Roman" w:cs="Times New Roman"/>
          <w:bCs/>
          <w:sz w:val="24"/>
          <w:szCs w:val="24"/>
        </w:rPr>
        <w:t>This study provides commercial banks with a clear framework for improving credit risk assessment, which helps in minimizing loan defaults and protecting the bank’s financial health. Improved risk management contributes to the overall stability and sustainability of banking operations.</w:t>
      </w:r>
    </w:p>
    <w:p w14:paraId="46AC53EF" w14:textId="77777777" w:rsidR="0085072B" w:rsidRPr="0085072B" w:rsidRDefault="0085072B" w:rsidP="0085072B">
      <w:pPr>
        <w:pStyle w:val="ListParagraph"/>
        <w:numPr>
          <w:ilvl w:val="0"/>
          <w:numId w:val="1"/>
        </w:numPr>
        <w:spacing w:line="360" w:lineRule="auto"/>
        <w:jc w:val="both"/>
        <w:rPr>
          <w:rFonts w:ascii="Times New Roman" w:hAnsi="Times New Roman" w:cs="Times New Roman"/>
          <w:bCs/>
          <w:sz w:val="24"/>
          <w:szCs w:val="24"/>
        </w:rPr>
      </w:pPr>
      <w:r w:rsidRPr="0085072B">
        <w:rPr>
          <w:rFonts w:ascii="Times New Roman" w:hAnsi="Times New Roman" w:cs="Times New Roman"/>
          <w:bCs/>
          <w:sz w:val="24"/>
          <w:szCs w:val="24"/>
        </w:rPr>
        <w:t>It aids bank managers and credit officers in making more informed lending decisions by identifying key risk factors and implementing effective control measures. This advantage leads to enhanced operational efficiency and better resource allocation within banks.</w:t>
      </w:r>
    </w:p>
    <w:p w14:paraId="5C1CC0E1" w14:textId="77777777" w:rsidR="0085072B" w:rsidRPr="0085072B" w:rsidRDefault="0085072B" w:rsidP="0085072B">
      <w:pPr>
        <w:pStyle w:val="ListParagraph"/>
        <w:numPr>
          <w:ilvl w:val="0"/>
          <w:numId w:val="1"/>
        </w:numPr>
        <w:spacing w:line="360" w:lineRule="auto"/>
        <w:jc w:val="both"/>
        <w:rPr>
          <w:rFonts w:ascii="Times New Roman" w:hAnsi="Times New Roman" w:cs="Times New Roman"/>
          <w:bCs/>
          <w:sz w:val="24"/>
          <w:szCs w:val="24"/>
        </w:rPr>
      </w:pPr>
      <w:r w:rsidRPr="0085072B">
        <w:rPr>
          <w:rFonts w:ascii="Times New Roman" w:hAnsi="Times New Roman" w:cs="Times New Roman"/>
          <w:bCs/>
          <w:sz w:val="24"/>
          <w:szCs w:val="24"/>
        </w:rPr>
        <w:t>The research benefits regulatory authorities by offering evidence-based recommendations for policy formulation, ensuring that banks adhere to best practices and maintain adequate capital reserves against credit risks. This promotes a safer banking environment for all stakeholders.</w:t>
      </w:r>
    </w:p>
    <w:p w14:paraId="56205566" w14:textId="77777777" w:rsidR="0085072B" w:rsidRPr="0085072B" w:rsidRDefault="0085072B" w:rsidP="0085072B">
      <w:pPr>
        <w:pStyle w:val="ListParagraph"/>
        <w:numPr>
          <w:ilvl w:val="0"/>
          <w:numId w:val="1"/>
        </w:numPr>
        <w:spacing w:line="360" w:lineRule="auto"/>
        <w:jc w:val="both"/>
        <w:rPr>
          <w:rFonts w:ascii="Times New Roman" w:hAnsi="Times New Roman" w:cs="Times New Roman"/>
          <w:bCs/>
          <w:sz w:val="24"/>
          <w:szCs w:val="24"/>
        </w:rPr>
      </w:pPr>
      <w:r w:rsidRPr="0085072B">
        <w:rPr>
          <w:rFonts w:ascii="Times New Roman" w:hAnsi="Times New Roman" w:cs="Times New Roman"/>
          <w:bCs/>
          <w:sz w:val="24"/>
          <w:szCs w:val="24"/>
        </w:rPr>
        <w:t>Additionally, the study strengthens the confidence of investors and depositors in the banking sector by demonstrating that banks are proactively managing risks. Such confidence is essential for attracting investments and encouraging economic growth.</w:t>
      </w:r>
    </w:p>
    <w:p w14:paraId="317905D8" w14:textId="77777777" w:rsidR="0085072B" w:rsidRPr="0085072B" w:rsidRDefault="0085072B" w:rsidP="0085072B">
      <w:pPr>
        <w:pStyle w:val="ListParagraph"/>
        <w:numPr>
          <w:ilvl w:val="0"/>
          <w:numId w:val="1"/>
        </w:numPr>
        <w:spacing w:line="360" w:lineRule="auto"/>
        <w:jc w:val="both"/>
        <w:rPr>
          <w:rFonts w:ascii="Times New Roman" w:hAnsi="Times New Roman" w:cs="Times New Roman"/>
          <w:bCs/>
          <w:sz w:val="24"/>
          <w:szCs w:val="24"/>
        </w:rPr>
      </w:pPr>
      <w:r w:rsidRPr="0085072B">
        <w:rPr>
          <w:rFonts w:ascii="Times New Roman" w:hAnsi="Times New Roman" w:cs="Times New Roman"/>
          <w:bCs/>
          <w:sz w:val="24"/>
          <w:szCs w:val="24"/>
        </w:rPr>
        <w:t>Finally, the study encourages continuous professional development and adoption of modern risk management technologies among banking personnel. This leads to innovation in credit risk practices, positioning banks to respond effectively to emerging financial challenges.</w:t>
      </w:r>
    </w:p>
    <w:p w14:paraId="11AFFA7B" w14:textId="77777777" w:rsidR="0085072B" w:rsidRDefault="0085072B" w:rsidP="0085072B">
      <w:pPr>
        <w:spacing w:line="360" w:lineRule="auto"/>
        <w:jc w:val="both"/>
        <w:rPr>
          <w:rFonts w:ascii="Times New Roman" w:hAnsi="Times New Roman" w:cs="Times New Roman"/>
          <w:b/>
          <w:sz w:val="24"/>
          <w:szCs w:val="24"/>
        </w:rPr>
      </w:pPr>
    </w:p>
    <w:p w14:paraId="782A232F" w14:textId="77777777" w:rsidR="0085072B" w:rsidRDefault="0085072B" w:rsidP="0085072B">
      <w:pPr>
        <w:spacing w:line="360" w:lineRule="auto"/>
        <w:jc w:val="both"/>
        <w:rPr>
          <w:rFonts w:ascii="Times New Roman" w:hAnsi="Times New Roman" w:cs="Times New Roman"/>
          <w:b/>
          <w:sz w:val="24"/>
          <w:szCs w:val="24"/>
        </w:rPr>
      </w:pPr>
    </w:p>
    <w:p w14:paraId="04637DC5" w14:textId="77777777" w:rsidR="0085072B" w:rsidRDefault="0085072B" w:rsidP="0085072B">
      <w:pPr>
        <w:spacing w:line="360" w:lineRule="auto"/>
        <w:jc w:val="both"/>
        <w:rPr>
          <w:rFonts w:ascii="Times New Roman" w:hAnsi="Times New Roman" w:cs="Times New Roman"/>
          <w:b/>
          <w:sz w:val="24"/>
          <w:szCs w:val="24"/>
        </w:rPr>
      </w:pPr>
    </w:p>
    <w:p w14:paraId="601B5AAE" w14:textId="77777777" w:rsidR="0085072B" w:rsidRDefault="0085072B" w:rsidP="0085072B">
      <w:pPr>
        <w:spacing w:line="360" w:lineRule="auto"/>
        <w:jc w:val="both"/>
        <w:rPr>
          <w:rFonts w:ascii="Times New Roman" w:hAnsi="Times New Roman" w:cs="Times New Roman"/>
          <w:b/>
          <w:sz w:val="24"/>
          <w:szCs w:val="24"/>
        </w:rPr>
      </w:pPr>
    </w:p>
    <w:p w14:paraId="1B115EF2" w14:textId="77777777" w:rsidR="0085072B" w:rsidRDefault="0085072B" w:rsidP="0085072B">
      <w:pPr>
        <w:spacing w:line="360" w:lineRule="auto"/>
        <w:jc w:val="both"/>
        <w:rPr>
          <w:rFonts w:ascii="Times New Roman" w:hAnsi="Times New Roman" w:cs="Times New Roman"/>
          <w:b/>
          <w:sz w:val="24"/>
          <w:szCs w:val="24"/>
        </w:rPr>
      </w:pPr>
    </w:p>
    <w:p w14:paraId="6733AC70" w14:textId="77777777" w:rsidR="0085072B" w:rsidRDefault="0085072B" w:rsidP="0085072B">
      <w:pPr>
        <w:spacing w:line="360" w:lineRule="auto"/>
        <w:jc w:val="both"/>
        <w:rPr>
          <w:rFonts w:ascii="Times New Roman" w:hAnsi="Times New Roman" w:cs="Times New Roman"/>
          <w:b/>
          <w:sz w:val="24"/>
          <w:szCs w:val="24"/>
        </w:rPr>
      </w:pPr>
    </w:p>
    <w:p w14:paraId="5C728928" w14:textId="77777777" w:rsidR="0085072B" w:rsidRDefault="0085072B" w:rsidP="0085072B">
      <w:pPr>
        <w:spacing w:line="360" w:lineRule="auto"/>
        <w:jc w:val="both"/>
        <w:rPr>
          <w:rFonts w:ascii="Times New Roman" w:hAnsi="Times New Roman" w:cs="Times New Roman"/>
          <w:b/>
          <w:sz w:val="24"/>
          <w:szCs w:val="24"/>
        </w:rPr>
      </w:pPr>
      <w:bookmarkStart w:id="6" w:name="_Hlk204529259"/>
      <w:r w:rsidRPr="00E63095">
        <w:rPr>
          <w:rFonts w:ascii="Times New Roman" w:hAnsi="Times New Roman" w:cs="Times New Roman"/>
          <w:b/>
          <w:sz w:val="24"/>
          <w:szCs w:val="24"/>
        </w:rPr>
        <w:lastRenderedPageBreak/>
        <w:t>INDUSTRY PROFILE</w:t>
      </w:r>
    </w:p>
    <w:bookmarkEnd w:id="6"/>
    <w:p w14:paraId="3085D787" w14:textId="494AFDE8" w:rsidR="00275986" w:rsidRPr="00275986" w:rsidRDefault="00275986" w:rsidP="002759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75986">
        <w:rPr>
          <w:rFonts w:ascii="Times New Roman" w:hAnsi="Times New Roman" w:cs="Times New Roman"/>
          <w:bCs/>
          <w:sz w:val="24"/>
          <w:szCs w:val="24"/>
        </w:rPr>
        <w:t>Credit risk management in commercial banks is a critical function that plays a central role in maintaining the stability and profitability of financial institutions. It involves the identification, measurement, assessment, monitoring, and control of the risk of loss arising from the failure of a borrower or counterparty to meet their financial obligations. As banks primarily operate by lending money, credit risk is one of the most significant types of risk they face, directly impacting their financial health. In recent years, especially after the global financial crisis, there has been a heightened focus on strengthening credit risk frameworks, policies, and systems to ensure long-term sustainability and resilience.</w:t>
      </w:r>
    </w:p>
    <w:p w14:paraId="19AA1D14" w14:textId="7128CD1F" w:rsidR="00275986" w:rsidRPr="00275986" w:rsidRDefault="00275986" w:rsidP="002759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75986">
        <w:rPr>
          <w:rFonts w:ascii="Times New Roman" w:hAnsi="Times New Roman" w:cs="Times New Roman"/>
          <w:bCs/>
          <w:sz w:val="24"/>
          <w:szCs w:val="24"/>
        </w:rPr>
        <w:t>The credit risk management industry within commercial banks has evolved significantly, shifting from manual judgment-based approaches to data-driven and system-oriented methodologies. Modern credit risk practices now rely on sophisticated credit scoring models, risk-adjusted return metrics, early warning systems, and predictive analytics. Banks segment customers based on creditworthiness using internal rating systems and standardized frameworks such as Basel II and Basel III regulations, which mandate capital adequacy and risk-weighted asset calculations. These international guidelines require banks to hold sufficient capital buffers against their credit exposures, encouraging more prudent lending practices and greater financial transparency.</w:t>
      </w:r>
    </w:p>
    <w:p w14:paraId="2E2A433C" w14:textId="153B5143" w:rsidR="00275986" w:rsidRPr="00275986" w:rsidRDefault="00275986" w:rsidP="002759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75986">
        <w:rPr>
          <w:rFonts w:ascii="Times New Roman" w:hAnsi="Times New Roman" w:cs="Times New Roman"/>
          <w:bCs/>
          <w:sz w:val="24"/>
          <w:szCs w:val="24"/>
        </w:rPr>
        <w:t>Credit risk management is integrated into every stage of the credit lifecycle—from customer onboarding and due diligence to loan disbursement, monitoring, and recovery. The process typically begins with rigorous credit appraisal involving financial statement analysis, industry risk assessment, borrower background checks, and evaluation of repayment capacity. Once the credit is approved and disbursed, banks continue to monitor loan performance using risk rating systems, reviewing periodic financials and market conditions that may affect the borrower's ability to repay. Default and delinquency trends are tracked closely, and early interventions such as restructuring or recovery actions are initiated in problem accounts.</w:t>
      </w:r>
    </w:p>
    <w:p w14:paraId="7989992C" w14:textId="005BDB59" w:rsidR="00287830" w:rsidRDefault="00275986" w:rsidP="002759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75986">
        <w:rPr>
          <w:rFonts w:ascii="Times New Roman" w:hAnsi="Times New Roman" w:cs="Times New Roman"/>
          <w:bCs/>
          <w:sz w:val="24"/>
          <w:szCs w:val="24"/>
        </w:rPr>
        <w:t xml:space="preserve">Technology has played a transformative role in enhancing credit risk management. Many commercial banks now use AI and machine learning tools to detect patterns and assess risk with greater accuracy. These innovations help reduce human biases, increase speed, and improve credit decisioning. </w:t>
      </w:r>
      <w:bookmarkEnd w:id="4"/>
    </w:p>
    <w:p w14:paraId="2EF7ECCE" w14:textId="77777777" w:rsidR="00275986" w:rsidRDefault="00275986" w:rsidP="00275986">
      <w:pPr>
        <w:spacing w:line="360" w:lineRule="auto"/>
        <w:jc w:val="both"/>
        <w:rPr>
          <w:rFonts w:ascii="Times New Roman" w:hAnsi="Times New Roman" w:cs="Times New Roman"/>
          <w:bCs/>
          <w:sz w:val="24"/>
          <w:szCs w:val="24"/>
        </w:rPr>
      </w:pPr>
    </w:p>
    <w:p w14:paraId="7533F2E7" w14:textId="77777777" w:rsidR="00275986" w:rsidRPr="00643432" w:rsidRDefault="00275986" w:rsidP="00275986">
      <w:pPr>
        <w:spacing w:line="360" w:lineRule="auto"/>
        <w:jc w:val="both"/>
        <w:rPr>
          <w:rFonts w:ascii="Times New Roman" w:hAnsi="Times New Roman" w:cs="Times New Roman"/>
          <w:b/>
          <w:sz w:val="24"/>
          <w:szCs w:val="24"/>
        </w:rPr>
      </w:pPr>
      <w:bookmarkStart w:id="7" w:name="_Hlk204529319"/>
      <w:r w:rsidRPr="00AD7255">
        <w:rPr>
          <w:rFonts w:ascii="Times New Roman" w:hAnsi="Times New Roman" w:cs="Times New Roman"/>
          <w:b/>
          <w:sz w:val="24"/>
          <w:szCs w:val="24"/>
          <w:lang w:val="en-US"/>
        </w:rPr>
        <w:lastRenderedPageBreak/>
        <w:t>1.4 STATEMENT OF THE PROBLEM</w:t>
      </w:r>
    </w:p>
    <w:bookmarkEnd w:id="7"/>
    <w:p w14:paraId="3607FCEB" w14:textId="77777777" w:rsid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Credit risk remains one of the most significant challenges facing commercial banks, as it directly affects their financial stability, profitability, and long-term sustainability. Despite advancements in credit risk management systems and regulatory reforms, many banks continue to struggle with effectively assessing and mitigating the risk of borrower default. Poor credit risk management practices can lead to a buildup of non-performing assets (NPAs), reduced capital adequacy, and in severe cases, threaten the solvency of the institution. </w:t>
      </w:r>
    </w:p>
    <w:p w14:paraId="48072894" w14:textId="77777777" w:rsid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One of the key problems is the inability to accurately predict creditworthiness due to limitations in data, overreliance on traditional credit scoring models, or inadequate due diligence processes. Moreover, external factors such as economic downturns, interest rate volatility, and sectoral risks further compound the difficulty of managing credit exposures. In some banks, especially in developing economies, there is a lack of skilled personnel, weak internal controls, and insufficient use of technology, which hinders the efficiency and effectiveness of risk management frameworks. </w:t>
      </w:r>
    </w:p>
    <w:p w14:paraId="75AFDD58" w14:textId="0439431A" w:rsid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Another concern is the delayed identification of potential defaults and the absence of timely corrective actions, which escalate credit losses. As the banking environment becomes increasingly complex with the rise of digital lending, fintech competition, and evolving regulatory expectations, there is a pressing need for commercial banks to enhance their credit risk management systems to ensure resilience and sound financial performance. </w:t>
      </w:r>
    </w:p>
    <w:p w14:paraId="56AE0B4F" w14:textId="77777777" w:rsidR="00275986" w:rsidRDefault="00275986" w:rsidP="00275986">
      <w:pPr>
        <w:spacing w:line="360" w:lineRule="auto"/>
        <w:jc w:val="both"/>
        <w:rPr>
          <w:rFonts w:ascii="Times New Roman" w:hAnsi="Times New Roman" w:cs="Times New Roman"/>
          <w:b/>
          <w:bCs/>
          <w:sz w:val="24"/>
          <w:szCs w:val="24"/>
        </w:rPr>
      </w:pPr>
      <w:bookmarkStart w:id="8" w:name="_Hlk202098728"/>
      <w:bookmarkStart w:id="9" w:name="_Hlk204529346"/>
      <w:r w:rsidRPr="00AD7255">
        <w:rPr>
          <w:rFonts w:ascii="Times New Roman" w:hAnsi="Times New Roman" w:cs="Times New Roman"/>
          <w:b/>
          <w:bCs/>
          <w:sz w:val="24"/>
          <w:szCs w:val="24"/>
        </w:rPr>
        <w:t>1.5 OBJECTIVES OF THE STUDY</w:t>
      </w:r>
      <w:bookmarkEnd w:id="8"/>
    </w:p>
    <w:bookmarkEnd w:id="9"/>
    <w:p w14:paraId="3ECFB94A" w14:textId="45E7DAEF" w:rsidR="00275986" w:rsidRPr="00275986" w:rsidRDefault="00275986" w:rsidP="00275986">
      <w:pPr>
        <w:pStyle w:val="ListParagraph"/>
        <w:numPr>
          <w:ilvl w:val="0"/>
          <w:numId w:val="1"/>
        </w:numPr>
        <w:spacing w:line="360" w:lineRule="auto"/>
        <w:jc w:val="both"/>
        <w:rPr>
          <w:rFonts w:ascii="Times New Roman" w:hAnsi="Times New Roman" w:cs="Times New Roman"/>
          <w:sz w:val="24"/>
          <w:szCs w:val="24"/>
        </w:rPr>
      </w:pPr>
      <w:r w:rsidRPr="00275986">
        <w:rPr>
          <w:rFonts w:ascii="Times New Roman" w:hAnsi="Times New Roman" w:cs="Times New Roman"/>
          <w:sz w:val="24"/>
          <w:szCs w:val="24"/>
        </w:rPr>
        <w:t>To examine the effectiveness of credit risk management practices in commercial banks.</w:t>
      </w:r>
    </w:p>
    <w:p w14:paraId="42042A25" w14:textId="38C85290" w:rsidR="00275986" w:rsidRPr="00275986" w:rsidRDefault="00275986" w:rsidP="00275986">
      <w:pPr>
        <w:pStyle w:val="ListParagraph"/>
        <w:numPr>
          <w:ilvl w:val="0"/>
          <w:numId w:val="1"/>
        </w:numPr>
        <w:spacing w:line="360" w:lineRule="auto"/>
        <w:jc w:val="both"/>
        <w:rPr>
          <w:rFonts w:ascii="Times New Roman" w:hAnsi="Times New Roman" w:cs="Times New Roman"/>
          <w:sz w:val="24"/>
          <w:szCs w:val="24"/>
        </w:rPr>
      </w:pPr>
      <w:r w:rsidRPr="00275986">
        <w:rPr>
          <w:rFonts w:ascii="Times New Roman" w:hAnsi="Times New Roman" w:cs="Times New Roman"/>
          <w:sz w:val="24"/>
          <w:szCs w:val="24"/>
        </w:rPr>
        <w:t>To identify the major factors contributing to credit risk in the banking sector.</w:t>
      </w:r>
    </w:p>
    <w:p w14:paraId="34D19440" w14:textId="047DD827" w:rsidR="00275986" w:rsidRPr="00275986" w:rsidRDefault="00275986" w:rsidP="00275986">
      <w:pPr>
        <w:pStyle w:val="ListParagraph"/>
        <w:numPr>
          <w:ilvl w:val="0"/>
          <w:numId w:val="1"/>
        </w:numPr>
        <w:spacing w:line="360" w:lineRule="auto"/>
        <w:jc w:val="both"/>
        <w:rPr>
          <w:rFonts w:ascii="Times New Roman" w:hAnsi="Times New Roman" w:cs="Times New Roman"/>
          <w:sz w:val="24"/>
          <w:szCs w:val="24"/>
        </w:rPr>
      </w:pPr>
      <w:r w:rsidRPr="00275986">
        <w:rPr>
          <w:rFonts w:ascii="Times New Roman" w:hAnsi="Times New Roman" w:cs="Times New Roman"/>
          <w:sz w:val="24"/>
          <w:szCs w:val="24"/>
        </w:rPr>
        <w:t>To evaluate the impact of credit risk on the financial performance of commercial banks.</w:t>
      </w:r>
    </w:p>
    <w:p w14:paraId="673127AD" w14:textId="416F35B2" w:rsidR="00275986" w:rsidRPr="00275986" w:rsidRDefault="00275986" w:rsidP="00275986">
      <w:pPr>
        <w:pStyle w:val="ListParagraph"/>
        <w:numPr>
          <w:ilvl w:val="0"/>
          <w:numId w:val="1"/>
        </w:numPr>
        <w:spacing w:line="360" w:lineRule="auto"/>
        <w:jc w:val="both"/>
        <w:rPr>
          <w:rFonts w:ascii="Times New Roman" w:hAnsi="Times New Roman" w:cs="Times New Roman"/>
          <w:sz w:val="24"/>
          <w:szCs w:val="24"/>
        </w:rPr>
      </w:pPr>
      <w:r w:rsidRPr="00275986">
        <w:rPr>
          <w:rFonts w:ascii="Times New Roman" w:hAnsi="Times New Roman" w:cs="Times New Roman"/>
          <w:sz w:val="24"/>
          <w:szCs w:val="24"/>
        </w:rPr>
        <w:t xml:space="preserve">To </w:t>
      </w:r>
      <w:proofErr w:type="spellStart"/>
      <w:r w:rsidRPr="00275986">
        <w:rPr>
          <w:rFonts w:ascii="Times New Roman" w:hAnsi="Times New Roman" w:cs="Times New Roman"/>
          <w:sz w:val="24"/>
          <w:szCs w:val="24"/>
        </w:rPr>
        <w:t>analyze</w:t>
      </w:r>
      <w:proofErr w:type="spellEnd"/>
      <w:r w:rsidRPr="00275986">
        <w:rPr>
          <w:rFonts w:ascii="Times New Roman" w:hAnsi="Times New Roman" w:cs="Times New Roman"/>
          <w:sz w:val="24"/>
          <w:szCs w:val="24"/>
        </w:rPr>
        <w:t xml:space="preserve"> the role of regulatory frameworks in managing credit risk.</w:t>
      </w:r>
    </w:p>
    <w:p w14:paraId="63CBFC2D" w14:textId="044FD228" w:rsidR="00275986" w:rsidRPr="00275986" w:rsidRDefault="00275986" w:rsidP="00275986">
      <w:pPr>
        <w:pStyle w:val="ListParagraph"/>
        <w:numPr>
          <w:ilvl w:val="0"/>
          <w:numId w:val="1"/>
        </w:numPr>
        <w:spacing w:line="360" w:lineRule="auto"/>
        <w:jc w:val="both"/>
        <w:rPr>
          <w:rFonts w:ascii="Times New Roman" w:hAnsi="Times New Roman" w:cs="Times New Roman"/>
          <w:sz w:val="24"/>
          <w:szCs w:val="24"/>
        </w:rPr>
      </w:pPr>
      <w:r w:rsidRPr="00275986">
        <w:rPr>
          <w:rFonts w:ascii="Times New Roman" w:hAnsi="Times New Roman" w:cs="Times New Roman"/>
          <w:sz w:val="24"/>
          <w:szCs w:val="24"/>
        </w:rPr>
        <w:t>To assess the use of technology and data analytics in credit risk assessment and monitoring.</w:t>
      </w:r>
    </w:p>
    <w:p w14:paraId="23962C81" w14:textId="414E8036" w:rsidR="00275986" w:rsidRPr="00275986" w:rsidRDefault="00275986" w:rsidP="00275986">
      <w:pPr>
        <w:pStyle w:val="ListParagraph"/>
        <w:numPr>
          <w:ilvl w:val="0"/>
          <w:numId w:val="1"/>
        </w:numPr>
        <w:spacing w:line="360" w:lineRule="auto"/>
        <w:jc w:val="both"/>
        <w:rPr>
          <w:rFonts w:ascii="Times New Roman" w:hAnsi="Times New Roman" w:cs="Times New Roman"/>
          <w:sz w:val="24"/>
          <w:szCs w:val="24"/>
        </w:rPr>
      </w:pPr>
      <w:r w:rsidRPr="00275986">
        <w:rPr>
          <w:rFonts w:ascii="Times New Roman" w:hAnsi="Times New Roman" w:cs="Times New Roman"/>
          <w:sz w:val="24"/>
          <w:szCs w:val="24"/>
        </w:rPr>
        <w:t>To explore the challenges faced by commercial banks in implementing effective credit risk controls.</w:t>
      </w:r>
    </w:p>
    <w:p w14:paraId="4DCB0DB6" w14:textId="44927E63" w:rsidR="00275986" w:rsidRPr="00275986" w:rsidRDefault="00275986" w:rsidP="00275986">
      <w:pPr>
        <w:pStyle w:val="ListParagraph"/>
        <w:numPr>
          <w:ilvl w:val="0"/>
          <w:numId w:val="1"/>
        </w:numPr>
        <w:spacing w:line="360" w:lineRule="auto"/>
        <w:jc w:val="both"/>
        <w:rPr>
          <w:rFonts w:ascii="Times New Roman" w:hAnsi="Times New Roman" w:cs="Times New Roman"/>
          <w:sz w:val="24"/>
          <w:szCs w:val="24"/>
        </w:rPr>
      </w:pPr>
      <w:r w:rsidRPr="00275986">
        <w:rPr>
          <w:rFonts w:ascii="Times New Roman" w:hAnsi="Times New Roman" w:cs="Times New Roman"/>
          <w:sz w:val="24"/>
          <w:szCs w:val="24"/>
        </w:rPr>
        <w:t>To investigate the methods used for credit appraisal and risk rating of borrowers.</w:t>
      </w:r>
    </w:p>
    <w:p w14:paraId="01D9E480" w14:textId="6089C725" w:rsidR="00275986" w:rsidRPr="00275986" w:rsidRDefault="00275986" w:rsidP="00275986">
      <w:pPr>
        <w:pStyle w:val="ListParagraph"/>
        <w:numPr>
          <w:ilvl w:val="0"/>
          <w:numId w:val="1"/>
        </w:numPr>
        <w:spacing w:line="360" w:lineRule="auto"/>
        <w:jc w:val="both"/>
        <w:rPr>
          <w:rFonts w:ascii="Times New Roman" w:hAnsi="Times New Roman" w:cs="Times New Roman"/>
          <w:sz w:val="24"/>
          <w:szCs w:val="24"/>
        </w:rPr>
      </w:pPr>
      <w:r w:rsidRPr="00275986">
        <w:rPr>
          <w:rFonts w:ascii="Times New Roman" w:hAnsi="Times New Roman" w:cs="Times New Roman"/>
          <w:sz w:val="24"/>
          <w:szCs w:val="24"/>
        </w:rPr>
        <w:t>To study the strategies adopted by banks to reduce non-performing assets (NPAs).</w:t>
      </w:r>
    </w:p>
    <w:p w14:paraId="7C9B523D" w14:textId="77777777" w:rsidR="00275986" w:rsidRPr="00287830" w:rsidRDefault="00275986" w:rsidP="00275986">
      <w:pPr>
        <w:spacing w:line="360" w:lineRule="auto"/>
        <w:jc w:val="both"/>
        <w:rPr>
          <w:rFonts w:ascii="Times New Roman" w:hAnsi="Times New Roman" w:cs="Times New Roman"/>
          <w:sz w:val="24"/>
          <w:szCs w:val="24"/>
        </w:rPr>
      </w:pPr>
    </w:p>
    <w:p w14:paraId="0C7780EF" w14:textId="77777777" w:rsidR="00E75FD5" w:rsidRDefault="00E75FD5"/>
    <w:p w14:paraId="09C05EE3" w14:textId="77777777" w:rsidR="00275986" w:rsidRDefault="00275986" w:rsidP="00275986">
      <w:pPr>
        <w:spacing w:line="360" w:lineRule="auto"/>
        <w:jc w:val="both"/>
        <w:rPr>
          <w:rFonts w:ascii="Times New Roman" w:hAnsi="Times New Roman" w:cs="Times New Roman"/>
          <w:b/>
          <w:bCs/>
          <w:sz w:val="24"/>
          <w:szCs w:val="24"/>
          <w:lang w:val="en-US"/>
        </w:rPr>
      </w:pPr>
      <w:bookmarkStart w:id="10" w:name="_Hlk204529368"/>
      <w:r w:rsidRPr="00643432">
        <w:rPr>
          <w:rFonts w:ascii="Times New Roman" w:hAnsi="Times New Roman" w:cs="Times New Roman"/>
          <w:b/>
          <w:bCs/>
          <w:sz w:val="24"/>
          <w:szCs w:val="24"/>
          <w:lang w:val="en-US"/>
        </w:rPr>
        <w:lastRenderedPageBreak/>
        <w:t>1.6 SCOPE OF THE STUDY</w:t>
      </w:r>
    </w:p>
    <w:bookmarkEnd w:id="10"/>
    <w:p w14:paraId="48146726" w14:textId="77777777" w:rsid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This study focuses on </w:t>
      </w:r>
      <w:proofErr w:type="spellStart"/>
      <w:r w:rsidRPr="00275986">
        <w:rPr>
          <w:rFonts w:ascii="Times New Roman" w:hAnsi="Times New Roman" w:cs="Times New Roman"/>
          <w:sz w:val="24"/>
          <w:szCs w:val="24"/>
        </w:rPr>
        <w:t>analyzing</w:t>
      </w:r>
      <w:proofErr w:type="spellEnd"/>
      <w:r w:rsidRPr="00275986">
        <w:rPr>
          <w:rFonts w:ascii="Times New Roman" w:hAnsi="Times New Roman" w:cs="Times New Roman"/>
          <w:sz w:val="24"/>
          <w:szCs w:val="24"/>
        </w:rPr>
        <w:t xml:space="preserve"> the credit risk management practices adopted by commercial banks, with a particular emphasis on how these institutions handle the risk of borrower default and ensure the safety of their loan portfolios. It examines the entire credit risk management process, starting from credit appraisal and approval, to the monitoring of loan performance, and the strategies employed for recovery and mitigation in cases of non-performing loans. </w:t>
      </w:r>
    </w:p>
    <w:p w14:paraId="183D8A0E" w14:textId="77777777" w:rsid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The study aims to provide a comprehensive understanding of the policies, procedures, and tools used by banks to manage credit risk effectively, while also evaluating the impact of such practices on their overall financial performance and stability. It covers both internal and external factors influencing credit risk, including macroeconomic conditions, regulatory changes, and industry-specific risks that may affect a borrower’s repayment capacity. The scope includes a detailed assessment of internal credit rating systems, credit scoring models, and risk-adjusted lending practices that commercial banks use to minimize exposure to high-risk clients. It also considers the effectiveness of governance structures, such as the role of credit committees, risk officers, and board oversight in enforcing credit risk policies. </w:t>
      </w:r>
    </w:p>
    <w:p w14:paraId="4FF5CE21" w14:textId="77777777" w:rsid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Furthermore, the study delves into the use of technology and data analytics in enhancing risk assessment, decision-making, and early detection of default risks. It addresses the challenges faced by commercial banks, such as delayed loan recovery, lack of proper risk segmentation, limited access to reliable credit data, and inadequate stress testing mechanisms. The study focuses exclusively on commercial banks and does not extend to other types of financial institutions like cooperatives, investment banks, or fintech lenders. It may draw on data from a selected sample of banks over a defined period to maintain consistency and relevance. </w:t>
      </w:r>
    </w:p>
    <w:p w14:paraId="0D20311A" w14:textId="04CDA175" w:rsid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Geographic limitations may apply depending on data availability, though the findings aim to reflect practices applicable to a broad range of banking environments. This study also seeks to explore how regulatory frameworks such as Basel III and local central bank guidelines influence credit risk practices within commercial banks. Ultimately, the scope of this study is designed to uncover gaps in current credit risk management systems and propose actionable recommendations for strengthening them in the face of evolving financial and economic challenges.</w:t>
      </w:r>
    </w:p>
    <w:p w14:paraId="2742FB38" w14:textId="77777777" w:rsidR="00275986" w:rsidRDefault="00275986" w:rsidP="00275986">
      <w:pPr>
        <w:spacing w:line="360" w:lineRule="auto"/>
        <w:jc w:val="both"/>
        <w:rPr>
          <w:rFonts w:ascii="Times New Roman" w:hAnsi="Times New Roman" w:cs="Times New Roman"/>
          <w:sz w:val="24"/>
          <w:szCs w:val="24"/>
        </w:rPr>
      </w:pPr>
    </w:p>
    <w:p w14:paraId="2EC296A9" w14:textId="77777777" w:rsidR="00275986" w:rsidRDefault="00275986" w:rsidP="00275986">
      <w:pPr>
        <w:spacing w:line="360" w:lineRule="auto"/>
        <w:jc w:val="both"/>
        <w:rPr>
          <w:rFonts w:ascii="Times New Roman" w:hAnsi="Times New Roman" w:cs="Times New Roman"/>
          <w:b/>
          <w:bCs/>
          <w:sz w:val="24"/>
          <w:szCs w:val="24"/>
          <w:lang w:val="en-US"/>
        </w:rPr>
      </w:pPr>
      <w:bookmarkStart w:id="11" w:name="_Hlk204529410"/>
      <w:r w:rsidRPr="006E2866">
        <w:rPr>
          <w:rFonts w:ascii="Times New Roman" w:hAnsi="Times New Roman" w:cs="Times New Roman"/>
          <w:b/>
          <w:bCs/>
          <w:sz w:val="24"/>
          <w:szCs w:val="24"/>
          <w:lang w:val="en-US"/>
        </w:rPr>
        <w:lastRenderedPageBreak/>
        <w:t>1.7 LIMITATIONS OF THE STUDY</w:t>
      </w:r>
    </w:p>
    <w:bookmarkEnd w:id="11"/>
    <w:p w14:paraId="7BCC7E40" w14:textId="2BFBC081"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While this study aims to provide a comprehensive understanding of credit risk management practices in commercial banks, it is subject to several limitations that may affect the breadth and depth of its findings. One key limitation is the restricted access to internal data from banks due to confidentiality and privacy concerns. Much of the analysis relies on secondary data such as published financial reports, regulatory documents, and industry studies, which may not fully capture the internal processes and challenges faced by banks in managing credit risk. Another limitation is the focus on a specific group of commercial banks, which may not be representative of the entire banking sector, especially in terms of size, geographic location, or risk appetite. As a result, the findings may not be fully generalizable across all commercial banks, particularly those operating in vastly different regulatory or economic environments.</w:t>
      </w:r>
    </w:p>
    <w:p w14:paraId="6F14465F" w14:textId="0E32711B"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The study is also limited by time constraints, which restrict the scope of data collection and analysis to a specific period. This may not reflect long-term trends or the full impact of macroeconomic changes, such as recessions or regulatory shifts, on credit risk practices. Additionally, the rapidly changing nature of technology and risk </w:t>
      </w:r>
      <w:proofErr w:type="spellStart"/>
      <w:r w:rsidRPr="00275986">
        <w:rPr>
          <w:rFonts w:ascii="Times New Roman" w:hAnsi="Times New Roman" w:cs="Times New Roman"/>
          <w:sz w:val="24"/>
          <w:szCs w:val="24"/>
        </w:rPr>
        <w:t>modeling</w:t>
      </w:r>
      <w:proofErr w:type="spellEnd"/>
      <w:r w:rsidRPr="00275986">
        <w:rPr>
          <w:rFonts w:ascii="Times New Roman" w:hAnsi="Times New Roman" w:cs="Times New Roman"/>
          <w:sz w:val="24"/>
          <w:szCs w:val="24"/>
        </w:rPr>
        <w:t xml:space="preserve"> tools means that some practices examined in the study may quickly become outdated or replaced by more advanced systems. The reliance on interviews or surveys, if used, may also introduce biases due to subjective opinions of respondents or incomplete responses. Moreover, the study does not extensively cover the impact of global financial linkages or cross-border credit risk, focusing instead on domestic banking operations.</w:t>
      </w:r>
    </w:p>
    <w:p w14:paraId="77DCA4B7" w14:textId="0F74A520" w:rsid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Language barriers, regulatory restrictions, and differences in reporting standards across countries may also limit the depth of comparative analysis where international banks are involved. Finally, while the study aims to </w:t>
      </w:r>
      <w:proofErr w:type="spellStart"/>
      <w:r w:rsidRPr="00275986">
        <w:rPr>
          <w:rFonts w:ascii="Times New Roman" w:hAnsi="Times New Roman" w:cs="Times New Roman"/>
          <w:sz w:val="24"/>
          <w:szCs w:val="24"/>
        </w:rPr>
        <w:t>analyze</w:t>
      </w:r>
      <w:proofErr w:type="spellEnd"/>
      <w:r w:rsidRPr="00275986">
        <w:rPr>
          <w:rFonts w:ascii="Times New Roman" w:hAnsi="Times New Roman" w:cs="Times New Roman"/>
          <w:sz w:val="24"/>
          <w:szCs w:val="24"/>
        </w:rPr>
        <w:t xml:space="preserve"> the impact of credit risk on financial performance, isolating credit risk from other types of risk (such as market risk, operational risk, or liquidity risk) is inherently challenging and may influence the accuracy of conclusions drawn. Despite these limitations, the study seeks to offer meaningful insights into the strengths and weaknesses of credit risk management practices in commercial banks and suggest pathways for improvement.</w:t>
      </w:r>
    </w:p>
    <w:p w14:paraId="6835DE61" w14:textId="77777777" w:rsidR="00275986" w:rsidRDefault="00275986" w:rsidP="00275986">
      <w:pPr>
        <w:spacing w:line="360" w:lineRule="auto"/>
        <w:jc w:val="both"/>
        <w:rPr>
          <w:rFonts w:ascii="Times New Roman" w:hAnsi="Times New Roman" w:cs="Times New Roman"/>
          <w:sz w:val="24"/>
          <w:szCs w:val="24"/>
        </w:rPr>
      </w:pPr>
    </w:p>
    <w:p w14:paraId="0FC27C86" w14:textId="77777777" w:rsidR="00275986" w:rsidRDefault="00275986" w:rsidP="00275986">
      <w:pPr>
        <w:spacing w:line="360" w:lineRule="auto"/>
        <w:jc w:val="both"/>
        <w:rPr>
          <w:rFonts w:ascii="Times New Roman" w:hAnsi="Times New Roman" w:cs="Times New Roman"/>
          <w:sz w:val="24"/>
          <w:szCs w:val="24"/>
        </w:rPr>
      </w:pPr>
    </w:p>
    <w:p w14:paraId="3D44E139" w14:textId="77777777" w:rsidR="00275986" w:rsidRPr="00AD7255" w:rsidRDefault="00275986" w:rsidP="00275986">
      <w:pPr>
        <w:spacing w:line="360" w:lineRule="auto"/>
        <w:jc w:val="center"/>
        <w:rPr>
          <w:rFonts w:ascii="Times New Roman" w:hAnsi="Times New Roman" w:cs="Times New Roman"/>
          <w:b/>
          <w:bCs/>
          <w:sz w:val="24"/>
          <w:szCs w:val="24"/>
          <w:lang w:val="en-US"/>
        </w:rPr>
      </w:pPr>
      <w:bookmarkStart w:id="12" w:name="_Hlk202089904"/>
      <w:r w:rsidRPr="00AD7255">
        <w:rPr>
          <w:rFonts w:ascii="Times New Roman" w:hAnsi="Times New Roman" w:cs="Times New Roman"/>
          <w:b/>
          <w:bCs/>
          <w:sz w:val="24"/>
          <w:szCs w:val="24"/>
          <w:lang w:val="en-US"/>
        </w:rPr>
        <w:lastRenderedPageBreak/>
        <w:t>CHAPTER – II</w:t>
      </w:r>
    </w:p>
    <w:p w14:paraId="16811449" w14:textId="77777777" w:rsidR="00275986" w:rsidRDefault="00275986" w:rsidP="0027598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2"/>
    <w:p w14:paraId="465E5BC4" w14:textId="7774B774"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Credit risk management has been a central theme in banking literature due to its critical role in maintaining financial stability and ensuring the soundness of banking institutions. Numerous researchers and financial analysts have examined the concept, evolution, tools, and effectiveness of credit risk management practices in commercial banks over the past few decades. Credit risk, defined as the possibility of a loss resulting from a borrower's failure to repay a loan or meet contractual obligations, has prompted continuous academic and industry focus, especially following major financial crises like the 2008 global recession.</w:t>
      </w:r>
    </w:p>
    <w:p w14:paraId="2CF358E7" w14:textId="41FA5D73" w:rsidR="00275986" w:rsidRPr="00275986" w:rsidRDefault="00275986" w:rsidP="00275986">
      <w:pPr>
        <w:spacing w:line="360" w:lineRule="auto"/>
        <w:jc w:val="both"/>
        <w:rPr>
          <w:rFonts w:ascii="Times New Roman" w:hAnsi="Times New Roman" w:cs="Times New Roman"/>
          <w:sz w:val="24"/>
          <w:szCs w:val="24"/>
        </w:rPr>
      </w:pPr>
      <w:r w:rsidRPr="00275986">
        <w:rPr>
          <w:rFonts w:ascii="Times New Roman" w:hAnsi="Times New Roman" w:cs="Times New Roman"/>
          <w:b/>
          <w:bCs/>
          <w:sz w:val="24"/>
          <w:szCs w:val="24"/>
        </w:rPr>
        <w:t xml:space="preserve">          </w:t>
      </w:r>
      <w:r w:rsidRPr="00275986">
        <w:rPr>
          <w:rFonts w:ascii="Times New Roman" w:hAnsi="Times New Roman" w:cs="Times New Roman"/>
          <w:b/>
          <w:bCs/>
          <w:sz w:val="24"/>
          <w:szCs w:val="24"/>
        </w:rPr>
        <w:t>Altman (1968)</w:t>
      </w:r>
      <w:r w:rsidRPr="00275986">
        <w:rPr>
          <w:rFonts w:ascii="Times New Roman" w:hAnsi="Times New Roman" w:cs="Times New Roman"/>
          <w:sz w:val="24"/>
          <w:szCs w:val="24"/>
        </w:rPr>
        <w:t xml:space="preserve"> introduced the Z-score model, which remains a foundational tool in assessing corporate default risk, highlighting the importance of financial ratios in credit evaluation. Basel Committee reports, particularly Basel II and Basel III, emphasized the need for standardized risk assessment methodologies and adequate capital provisioning to buffer against credit losses, significantly shaping credit risk frameworks worldwide. </w:t>
      </w:r>
      <w:r w:rsidRPr="00275986">
        <w:rPr>
          <w:rFonts w:ascii="Times New Roman" w:hAnsi="Times New Roman" w:cs="Times New Roman"/>
          <w:b/>
          <w:bCs/>
          <w:sz w:val="24"/>
          <w:szCs w:val="24"/>
        </w:rPr>
        <w:t>Saunders and Allen (2002)</w:t>
      </w:r>
      <w:r w:rsidRPr="00275986">
        <w:rPr>
          <w:rFonts w:ascii="Times New Roman" w:hAnsi="Times New Roman" w:cs="Times New Roman"/>
          <w:sz w:val="24"/>
          <w:szCs w:val="24"/>
        </w:rPr>
        <w:t xml:space="preserve"> explored how credit risk is priced and how diversification can reduce the overall credit exposure of banks. Their work emphasized the value of portfolio-based approaches to credit risk rather than relying on individual borrower assessments alone.</w:t>
      </w:r>
    </w:p>
    <w:p w14:paraId="0EA66293" w14:textId="46FA5940"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275986">
        <w:rPr>
          <w:rFonts w:ascii="Times New Roman" w:hAnsi="Times New Roman" w:cs="Times New Roman"/>
          <w:b/>
          <w:bCs/>
          <w:sz w:val="24"/>
          <w:szCs w:val="24"/>
        </w:rPr>
        <w:t>Greuning</w:t>
      </w:r>
      <w:proofErr w:type="spellEnd"/>
      <w:r w:rsidRPr="00275986">
        <w:rPr>
          <w:rFonts w:ascii="Times New Roman" w:hAnsi="Times New Roman" w:cs="Times New Roman"/>
          <w:b/>
          <w:bCs/>
          <w:sz w:val="24"/>
          <w:szCs w:val="24"/>
        </w:rPr>
        <w:t xml:space="preserve"> and </w:t>
      </w:r>
      <w:proofErr w:type="spellStart"/>
      <w:r w:rsidRPr="00275986">
        <w:rPr>
          <w:rFonts w:ascii="Times New Roman" w:hAnsi="Times New Roman" w:cs="Times New Roman"/>
          <w:b/>
          <w:bCs/>
          <w:sz w:val="24"/>
          <w:szCs w:val="24"/>
        </w:rPr>
        <w:t>Bratanovic</w:t>
      </w:r>
      <w:proofErr w:type="spellEnd"/>
      <w:r w:rsidRPr="00275986">
        <w:rPr>
          <w:rFonts w:ascii="Times New Roman" w:hAnsi="Times New Roman" w:cs="Times New Roman"/>
          <w:b/>
          <w:bCs/>
          <w:sz w:val="24"/>
          <w:szCs w:val="24"/>
        </w:rPr>
        <w:t xml:space="preserve"> (2003) </w:t>
      </w:r>
      <w:r w:rsidRPr="00275986">
        <w:rPr>
          <w:rFonts w:ascii="Times New Roman" w:hAnsi="Times New Roman" w:cs="Times New Roman"/>
          <w:sz w:val="24"/>
          <w:szCs w:val="24"/>
        </w:rPr>
        <w:t xml:space="preserve">discussed the importance of a sound credit risk culture and governance structure, emphasizing that credit risk cannot be managed effectively without strong oversight, clear policies, and an integrated risk management framework. Their study also pointed out the role of internal controls, credit committees, and the independence of credit risk units in preventing excessive risk-taking. Further, </w:t>
      </w:r>
      <w:r w:rsidRPr="00275986">
        <w:rPr>
          <w:rFonts w:ascii="Times New Roman" w:hAnsi="Times New Roman" w:cs="Times New Roman"/>
          <w:b/>
          <w:bCs/>
          <w:sz w:val="24"/>
          <w:szCs w:val="24"/>
        </w:rPr>
        <w:t>Duffie and Singleton (2003)</w:t>
      </w:r>
      <w:r w:rsidRPr="00275986">
        <w:rPr>
          <w:rFonts w:ascii="Times New Roman" w:hAnsi="Times New Roman" w:cs="Times New Roman"/>
          <w:sz w:val="24"/>
          <w:szCs w:val="24"/>
        </w:rPr>
        <w:t xml:space="preserve"> delved into </w:t>
      </w:r>
      <w:proofErr w:type="spellStart"/>
      <w:r w:rsidRPr="00275986">
        <w:rPr>
          <w:rFonts w:ascii="Times New Roman" w:hAnsi="Times New Roman" w:cs="Times New Roman"/>
          <w:sz w:val="24"/>
          <w:szCs w:val="24"/>
        </w:rPr>
        <w:t>modeling</w:t>
      </w:r>
      <w:proofErr w:type="spellEnd"/>
      <w:r w:rsidRPr="00275986">
        <w:rPr>
          <w:rFonts w:ascii="Times New Roman" w:hAnsi="Times New Roman" w:cs="Times New Roman"/>
          <w:sz w:val="24"/>
          <w:szCs w:val="24"/>
        </w:rPr>
        <w:t xml:space="preserve"> techniques and credit derivatives, explaining how banks could use financial instruments to hedge against credit exposures.</w:t>
      </w:r>
    </w:p>
    <w:p w14:paraId="20204DE9" w14:textId="2539B84E"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More recent literature has focused on the role of technology in enhancing credit risk management. Studies by </w:t>
      </w:r>
      <w:proofErr w:type="spellStart"/>
      <w:r w:rsidRPr="00275986">
        <w:rPr>
          <w:rFonts w:ascii="Times New Roman" w:hAnsi="Times New Roman" w:cs="Times New Roman"/>
          <w:b/>
          <w:bCs/>
          <w:sz w:val="24"/>
          <w:szCs w:val="24"/>
        </w:rPr>
        <w:t>Khandani</w:t>
      </w:r>
      <w:proofErr w:type="spellEnd"/>
      <w:r w:rsidRPr="00275986">
        <w:rPr>
          <w:rFonts w:ascii="Times New Roman" w:hAnsi="Times New Roman" w:cs="Times New Roman"/>
          <w:b/>
          <w:bCs/>
          <w:sz w:val="24"/>
          <w:szCs w:val="24"/>
        </w:rPr>
        <w:t xml:space="preserve">, Kim, and Lo (2010) </w:t>
      </w:r>
      <w:r w:rsidRPr="00275986">
        <w:rPr>
          <w:rFonts w:ascii="Times New Roman" w:hAnsi="Times New Roman" w:cs="Times New Roman"/>
          <w:sz w:val="24"/>
          <w:szCs w:val="24"/>
        </w:rPr>
        <w:t xml:space="preserve">showed how machine learning algorithms and data analytics could improve default predictions and automate risk assessments, particularly in retail and SME lending. Similarly, research by </w:t>
      </w:r>
      <w:proofErr w:type="spellStart"/>
      <w:r w:rsidRPr="00275986">
        <w:rPr>
          <w:rFonts w:ascii="Times New Roman" w:hAnsi="Times New Roman" w:cs="Times New Roman"/>
          <w:b/>
          <w:bCs/>
          <w:sz w:val="24"/>
          <w:szCs w:val="24"/>
        </w:rPr>
        <w:t>Pasiouras</w:t>
      </w:r>
      <w:proofErr w:type="spellEnd"/>
      <w:r w:rsidRPr="00275986">
        <w:rPr>
          <w:rFonts w:ascii="Times New Roman" w:hAnsi="Times New Roman" w:cs="Times New Roman"/>
          <w:b/>
          <w:bCs/>
          <w:sz w:val="24"/>
          <w:szCs w:val="24"/>
        </w:rPr>
        <w:t xml:space="preserve"> (2008)</w:t>
      </w:r>
      <w:r w:rsidRPr="00275986">
        <w:rPr>
          <w:rFonts w:ascii="Times New Roman" w:hAnsi="Times New Roman" w:cs="Times New Roman"/>
          <w:sz w:val="24"/>
          <w:szCs w:val="24"/>
        </w:rPr>
        <w:t xml:space="preserve"> linked the efficiency of credit risk management to bank profitability, suggesting that banks with robust risk practices tend to perform better financially.</w:t>
      </w:r>
    </w:p>
    <w:p w14:paraId="1259B971" w14:textId="6911522B"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75986">
        <w:rPr>
          <w:rFonts w:ascii="Times New Roman" w:hAnsi="Times New Roman" w:cs="Times New Roman"/>
          <w:sz w:val="24"/>
          <w:szCs w:val="24"/>
        </w:rPr>
        <w:t xml:space="preserve">In the context of developing economies, </w:t>
      </w:r>
      <w:r w:rsidRPr="00275986">
        <w:rPr>
          <w:rFonts w:ascii="Times New Roman" w:hAnsi="Times New Roman" w:cs="Times New Roman"/>
          <w:b/>
          <w:bCs/>
          <w:sz w:val="24"/>
          <w:szCs w:val="24"/>
        </w:rPr>
        <w:t>Brownbridge (1998)</w:t>
      </w:r>
      <w:r w:rsidRPr="00275986">
        <w:rPr>
          <w:rFonts w:ascii="Times New Roman" w:hAnsi="Times New Roman" w:cs="Times New Roman"/>
          <w:sz w:val="24"/>
          <w:szCs w:val="24"/>
        </w:rPr>
        <w:t xml:space="preserve"> examined the causes of bank failures and highlighted poor credit risk management practices, such as politically motivated lending and inadequate borrower analysis, as major contributing factors. Studies on the Indian banking sector by </w:t>
      </w:r>
      <w:r w:rsidRPr="00275986">
        <w:rPr>
          <w:rFonts w:ascii="Times New Roman" w:hAnsi="Times New Roman" w:cs="Times New Roman"/>
          <w:b/>
          <w:bCs/>
          <w:sz w:val="24"/>
          <w:szCs w:val="24"/>
        </w:rPr>
        <w:t>Rajan and Dhal (2003)</w:t>
      </w:r>
      <w:r w:rsidRPr="00275986">
        <w:rPr>
          <w:rFonts w:ascii="Times New Roman" w:hAnsi="Times New Roman" w:cs="Times New Roman"/>
          <w:sz w:val="24"/>
          <w:szCs w:val="24"/>
        </w:rPr>
        <w:t xml:space="preserve"> and Reserve Bank of India reports have further examined non-performing assets (NPAs), identifying factors like economic slowdown, weak credit monitoring, and poor recovery mechanisms as critical challenges.</w:t>
      </w:r>
    </w:p>
    <w:p w14:paraId="172BD6B5" w14:textId="41CE36EB"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Furthermore, contemporary literature addresses the regulatory environment, with scholars like </w:t>
      </w:r>
      <w:r w:rsidRPr="00275986">
        <w:rPr>
          <w:rFonts w:ascii="Times New Roman" w:hAnsi="Times New Roman" w:cs="Times New Roman"/>
          <w:b/>
          <w:bCs/>
          <w:sz w:val="24"/>
          <w:szCs w:val="24"/>
        </w:rPr>
        <w:t xml:space="preserve">Barth, Caprio, and Levine (2004) </w:t>
      </w:r>
      <w:r w:rsidRPr="00275986">
        <w:rPr>
          <w:rFonts w:ascii="Times New Roman" w:hAnsi="Times New Roman" w:cs="Times New Roman"/>
          <w:sz w:val="24"/>
          <w:szCs w:val="24"/>
        </w:rPr>
        <w:t xml:space="preserve">exploring the impact of bank regulation and supervision on risk-taking </w:t>
      </w:r>
      <w:proofErr w:type="spellStart"/>
      <w:r w:rsidRPr="00275986">
        <w:rPr>
          <w:rFonts w:ascii="Times New Roman" w:hAnsi="Times New Roman" w:cs="Times New Roman"/>
          <w:sz w:val="24"/>
          <w:szCs w:val="24"/>
        </w:rPr>
        <w:t>behavior</w:t>
      </w:r>
      <w:proofErr w:type="spellEnd"/>
      <w:r w:rsidRPr="00275986">
        <w:rPr>
          <w:rFonts w:ascii="Times New Roman" w:hAnsi="Times New Roman" w:cs="Times New Roman"/>
          <w:sz w:val="24"/>
          <w:szCs w:val="24"/>
        </w:rPr>
        <w:t>. The adoption of the Basel III framework has also received attention, particularly regarding its influence on capital adequacy, liquidity, and stress testing. Studies indicate that while regulation has improved risk discipline, it also presents compliance and cost challenges for smaller banks.</w:t>
      </w:r>
    </w:p>
    <w:p w14:paraId="07D88924" w14:textId="42FD853E"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Overall, the review of literature reveals that effective credit risk management in commercial banks is multifaceted, requiring a combination of sound internal policies, advanced analytics, regulatory compliance, and a proactive risk culture. While advancements have been made in tools and techniques, persistent issues such as rising NPAs, credit concentration, and macroeconomic instability continue to pose challenges. Hence, ongoing research and innovation in credit risk practices remain essential for sustaining financial stability and enhancing the performance of commercial banks.</w:t>
      </w:r>
    </w:p>
    <w:p w14:paraId="4C105E08" w14:textId="77777777" w:rsidR="00275986" w:rsidRPr="00275986" w:rsidRDefault="00275986" w:rsidP="00275986">
      <w:pPr>
        <w:spacing w:line="360" w:lineRule="auto"/>
        <w:jc w:val="both"/>
        <w:rPr>
          <w:rFonts w:ascii="Times New Roman" w:hAnsi="Times New Roman" w:cs="Times New Roman"/>
          <w:sz w:val="24"/>
          <w:szCs w:val="24"/>
        </w:rPr>
      </w:pPr>
    </w:p>
    <w:p w14:paraId="20FD22C1" w14:textId="77777777" w:rsidR="00275986" w:rsidRDefault="00275986" w:rsidP="00275986">
      <w:pPr>
        <w:spacing w:line="360" w:lineRule="auto"/>
        <w:jc w:val="both"/>
        <w:rPr>
          <w:rFonts w:ascii="Times New Roman" w:hAnsi="Times New Roman" w:cs="Times New Roman"/>
          <w:sz w:val="24"/>
          <w:szCs w:val="24"/>
        </w:rPr>
      </w:pPr>
    </w:p>
    <w:p w14:paraId="39914FE8" w14:textId="77777777" w:rsidR="00275986" w:rsidRDefault="00275986" w:rsidP="00275986">
      <w:pPr>
        <w:spacing w:line="360" w:lineRule="auto"/>
        <w:jc w:val="both"/>
        <w:rPr>
          <w:rFonts w:ascii="Times New Roman" w:hAnsi="Times New Roman" w:cs="Times New Roman"/>
          <w:sz w:val="24"/>
          <w:szCs w:val="24"/>
        </w:rPr>
      </w:pPr>
    </w:p>
    <w:p w14:paraId="79279953" w14:textId="77777777" w:rsidR="00275986" w:rsidRDefault="00275986" w:rsidP="00275986">
      <w:pPr>
        <w:spacing w:line="360" w:lineRule="auto"/>
        <w:jc w:val="both"/>
        <w:rPr>
          <w:rFonts w:ascii="Times New Roman" w:hAnsi="Times New Roman" w:cs="Times New Roman"/>
          <w:sz w:val="24"/>
          <w:szCs w:val="24"/>
        </w:rPr>
      </w:pPr>
    </w:p>
    <w:p w14:paraId="3E0CB9E8" w14:textId="77777777" w:rsidR="00275986" w:rsidRDefault="00275986" w:rsidP="00275986">
      <w:pPr>
        <w:spacing w:line="360" w:lineRule="auto"/>
        <w:jc w:val="both"/>
        <w:rPr>
          <w:rFonts w:ascii="Times New Roman" w:hAnsi="Times New Roman" w:cs="Times New Roman"/>
          <w:sz w:val="24"/>
          <w:szCs w:val="24"/>
        </w:rPr>
      </w:pPr>
    </w:p>
    <w:p w14:paraId="320D8ACB" w14:textId="77777777" w:rsidR="00275986" w:rsidRDefault="00275986" w:rsidP="00275986">
      <w:pPr>
        <w:spacing w:line="360" w:lineRule="auto"/>
        <w:jc w:val="both"/>
        <w:rPr>
          <w:rFonts w:ascii="Times New Roman" w:hAnsi="Times New Roman" w:cs="Times New Roman"/>
          <w:sz w:val="24"/>
          <w:szCs w:val="24"/>
        </w:rPr>
      </w:pPr>
    </w:p>
    <w:p w14:paraId="2820F138" w14:textId="77777777" w:rsidR="00275986" w:rsidRDefault="00275986" w:rsidP="00275986">
      <w:pPr>
        <w:spacing w:line="360" w:lineRule="auto"/>
        <w:jc w:val="both"/>
        <w:rPr>
          <w:rFonts w:ascii="Times New Roman" w:hAnsi="Times New Roman" w:cs="Times New Roman"/>
          <w:sz w:val="24"/>
          <w:szCs w:val="24"/>
        </w:rPr>
      </w:pPr>
    </w:p>
    <w:p w14:paraId="364EDADC" w14:textId="77777777" w:rsidR="00275986" w:rsidRDefault="00275986" w:rsidP="00275986">
      <w:pPr>
        <w:spacing w:line="360" w:lineRule="auto"/>
        <w:jc w:val="both"/>
        <w:rPr>
          <w:rFonts w:ascii="Times New Roman" w:hAnsi="Times New Roman" w:cs="Times New Roman"/>
          <w:sz w:val="24"/>
          <w:szCs w:val="24"/>
        </w:rPr>
      </w:pPr>
    </w:p>
    <w:p w14:paraId="454C0891" w14:textId="77777777" w:rsidR="00275986" w:rsidRDefault="00275986" w:rsidP="00275986">
      <w:pPr>
        <w:spacing w:line="360" w:lineRule="auto"/>
        <w:jc w:val="both"/>
        <w:rPr>
          <w:rFonts w:ascii="Times New Roman" w:hAnsi="Times New Roman" w:cs="Times New Roman"/>
          <w:sz w:val="24"/>
          <w:szCs w:val="24"/>
        </w:rPr>
      </w:pPr>
    </w:p>
    <w:p w14:paraId="1DBB092D" w14:textId="77777777" w:rsidR="00275986" w:rsidRDefault="00275986" w:rsidP="00275986">
      <w:pPr>
        <w:spacing w:line="360" w:lineRule="auto"/>
        <w:jc w:val="both"/>
        <w:rPr>
          <w:rFonts w:ascii="Times New Roman" w:hAnsi="Times New Roman" w:cs="Times New Roman"/>
          <w:sz w:val="24"/>
          <w:szCs w:val="24"/>
        </w:rPr>
      </w:pPr>
    </w:p>
    <w:p w14:paraId="2EFF72FE" w14:textId="77777777" w:rsidR="00275986" w:rsidRPr="0078607C" w:rsidRDefault="00275986" w:rsidP="00275986">
      <w:pPr>
        <w:spacing w:line="360" w:lineRule="auto"/>
        <w:jc w:val="center"/>
        <w:rPr>
          <w:rFonts w:ascii="Times New Roman" w:hAnsi="Times New Roman" w:cs="Times New Roman"/>
          <w:b/>
          <w:bCs/>
          <w:sz w:val="24"/>
          <w:szCs w:val="24"/>
          <w:lang w:val="en-US"/>
        </w:rPr>
      </w:pPr>
      <w:bookmarkStart w:id="13" w:name="_Hlk202090009"/>
      <w:r w:rsidRPr="0078607C">
        <w:rPr>
          <w:rFonts w:ascii="Times New Roman" w:hAnsi="Times New Roman" w:cs="Times New Roman"/>
          <w:b/>
          <w:bCs/>
          <w:sz w:val="24"/>
          <w:szCs w:val="24"/>
          <w:lang w:val="en-US"/>
        </w:rPr>
        <w:lastRenderedPageBreak/>
        <w:t>CHAPTER – III</w:t>
      </w:r>
    </w:p>
    <w:p w14:paraId="18EB3C37" w14:textId="77777777" w:rsidR="00275986" w:rsidRPr="0078607C" w:rsidRDefault="00275986" w:rsidP="0027598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3"/>
    <w:p w14:paraId="517BA35B" w14:textId="6EE9492D"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This chapter outlines the research methodology adopted to study credit risk management in commercial banks. The methodology provides a structured approach to understanding how credit risk is identified, assessed, monitored, and controlled in banking institutions. The goal of this research is to </w:t>
      </w:r>
      <w:proofErr w:type="spellStart"/>
      <w:r w:rsidRPr="00275986">
        <w:rPr>
          <w:rFonts w:ascii="Times New Roman" w:hAnsi="Times New Roman" w:cs="Times New Roman"/>
          <w:sz w:val="24"/>
          <w:szCs w:val="24"/>
        </w:rPr>
        <w:t>analyze</w:t>
      </w:r>
      <w:proofErr w:type="spellEnd"/>
      <w:r w:rsidRPr="00275986">
        <w:rPr>
          <w:rFonts w:ascii="Times New Roman" w:hAnsi="Times New Roman" w:cs="Times New Roman"/>
          <w:sz w:val="24"/>
          <w:szCs w:val="24"/>
        </w:rPr>
        <w:t xml:space="preserve"> existing credit risk management practices, evaluate their effectiveness, and identify areas for improvement, particularly in the context of commercial banks operating in dynamic and risk-prone financial environments.</w:t>
      </w:r>
    </w:p>
    <w:p w14:paraId="0F36B699" w14:textId="71AC24EE"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The research adopts a descriptive and analytical design, which is suitable for studying existing practices and </w:t>
      </w:r>
      <w:proofErr w:type="spellStart"/>
      <w:r w:rsidRPr="00275986">
        <w:rPr>
          <w:rFonts w:ascii="Times New Roman" w:hAnsi="Times New Roman" w:cs="Times New Roman"/>
          <w:sz w:val="24"/>
          <w:szCs w:val="24"/>
        </w:rPr>
        <w:t>analyzing</w:t>
      </w:r>
      <w:proofErr w:type="spellEnd"/>
      <w:r w:rsidRPr="00275986">
        <w:rPr>
          <w:rFonts w:ascii="Times New Roman" w:hAnsi="Times New Roman" w:cs="Times New Roman"/>
          <w:sz w:val="24"/>
          <w:szCs w:val="24"/>
        </w:rPr>
        <w:t xml:space="preserve"> patterns in credit risk management. This approach helps in understanding both qualitative and quantitative aspects of the subject. The study is based on both primary and secondary data. Primary data is collected through structured questionnaires and interviews with credit officers, risk managers, and bank executives to gain firsthand insight into how credit risk is managed in practice. Secondary data is obtained from published sources such as annual reports of banks, RBI publications, Basel Committee documents, financial journals, and previous research studies related to credit risk.</w:t>
      </w:r>
    </w:p>
    <w:p w14:paraId="4107CB92" w14:textId="6B2B0E8E"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The population of the study includes commercial banks, with a sample selected based on factors such as size, market presence, and availability of data. Both public sector and private sector banks may be included to allow for comparative analysis. A purposive sampling technique is used to select banks and respondents that are directly involved in credit risk-related roles. This helps ensure the relevance and reliability of the information collected.</w:t>
      </w:r>
    </w:p>
    <w:p w14:paraId="63197E86" w14:textId="2E7FDE35"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The data collection tools include questionnaires designed to gather information on credit appraisal techniques, risk rating systems, internal control mechanisms, early warning systems, and recovery practices. Interviews are semi-structured, allowing for flexibility while maintaining focus on core credit risk management themes. Financial indicators such as the ratio of non-performing assets (NPAs), capital adequacy ratio (CAR), and provisioning coverage ratio (PCR) are also </w:t>
      </w:r>
      <w:proofErr w:type="spellStart"/>
      <w:r w:rsidRPr="00275986">
        <w:rPr>
          <w:rFonts w:ascii="Times New Roman" w:hAnsi="Times New Roman" w:cs="Times New Roman"/>
          <w:sz w:val="24"/>
          <w:szCs w:val="24"/>
        </w:rPr>
        <w:t>analyzed</w:t>
      </w:r>
      <w:proofErr w:type="spellEnd"/>
      <w:r w:rsidRPr="00275986">
        <w:rPr>
          <w:rFonts w:ascii="Times New Roman" w:hAnsi="Times New Roman" w:cs="Times New Roman"/>
          <w:sz w:val="24"/>
          <w:szCs w:val="24"/>
        </w:rPr>
        <w:t xml:space="preserve"> to assess the performance and risk exposure of the selected banks.</w:t>
      </w:r>
    </w:p>
    <w:p w14:paraId="6417B664" w14:textId="2B70BCB6"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 xml:space="preserve">Quantitative data is </w:t>
      </w:r>
      <w:proofErr w:type="spellStart"/>
      <w:r w:rsidRPr="00275986">
        <w:rPr>
          <w:rFonts w:ascii="Times New Roman" w:hAnsi="Times New Roman" w:cs="Times New Roman"/>
          <w:sz w:val="24"/>
          <w:szCs w:val="24"/>
        </w:rPr>
        <w:t>analyzed</w:t>
      </w:r>
      <w:proofErr w:type="spellEnd"/>
      <w:r w:rsidRPr="00275986">
        <w:rPr>
          <w:rFonts w:ascii="Times New Roman" w:hAnsi="Times New Roman" w:cs="Times New Roman"/>
          <w:sz w:val="24"/>
          <w:szCs w:val="24"/>
        </w:rPr>
        <w:t xml:space="preserve"> using statistical methods, including descriptive statistics, correlation analysis, and trend analysis, to identify relationships between credit risk indicators and bank performance. Qualitative data is interpreted through thematic analysis, which helps identify patterns, common challenges, and best practices in credit risk management.</w:t>
      </w:r>
    </w:p>
    <w:p w14:paraId="7CBD00C0" w14:textId="15BF0ABC" w:rsidR="00275986" w:rsidRP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75986">
        <w:rPr>
          <w:rFonts w:ascii="Times New Roman" w:hAnsi="Times New Roman" w:cs="Times New Roman"/>
          <w:sz w:val="24"/>
          <w:szCs w:val="24"/>
        </w:rPr>
        <w:t>The time period for the study is defined to capture recent developments in credit risk practices, typically covering the last 3 to 5 years. This ensures that the findings reflect the current regulatory environment and technological advancements impacting credit risk strategies.</w:t>
      </w:r>
    </w:p>
    <w:p w14:paraId="79D2D190" w14:textId="2CB1AC79" w:rsid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Ethical considerations are maintained throughout the research. Respondents are informed of the purpose of the study, and their identities are kept confidential. The research avoids any manipulation of data and ensures objective reporting of findings.</w:t>
      </w:r>
    </w:p>
    <w:p w14:paraId="753CCFC0" w14:textId="24DC262F" w:rsidR="00275986" w:rsidRDefault="00275986" w:rsidP="0027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5986">
        <w:rPr>
          <w:rFonts w:ascii="Times New Roman" w:hAnsi="Times New Roman" w:cs="Times New Roman"/>
          <w:sz w:val="24"/>
          <w:szCs w:val="24"/>
        </w:rPr>
        <w:t>In conclusion, the research methodology combines qualitative insights and quantitative analysis to provide a holistic view of credit risk management in commercial banks. It is designed to critically assess how well banks manage credit exposures, comply with regulatory norms, and respond to the evolving financial landscape.</w:t>
      </w:r>
    </w:p>
    <w:p w14:paraId="215F3601" w14:textId="77777777" w:rsidR="00275986" w:rsidRDefault="00275986" w:rsidP="00275986">
      <w:pPr>
        <w:spacing w:line="360" w:lineRule="auto"/>
        <w:jc w:val="both"/>
        <w:rPr>
          <w:rFonts w:ascii="Times New Roman" w:hAnsi="Times New Roman" w:cs="Times New Roman"/>
          <w:sz w:val="24"/>
          <w:szCs w:val="24"/>
        </w:rPr>
      </w:pPr>
    </w:p>
    <w:p w14:paraId="249B2C01" w14:textId="77777777" w:rsidR="00275986" w:rsidRDefault="00275986" w:rsidP="00275986">
      <w:pPr>
        <w:spacing w:line="360" w:lineRule="auto"/>
        <w:jc w:val="both"/>
        <w:rPr>
          <w:rFonts w:ascii="Times New Roman" w:hAnsi="Times New Roman" w:cs="Times New Roman"/>
          <w:sz w:val="24"/>
          <w:szCs w:val="24"/>
        </w:rPr>
      </w:pPr>
    </w:p>
    <w:p w14:paraId="7D2513CF" w14:textId="77777777" w:rsidR="00275986" w:rsidRDefault="00275986" w:rsidP="00275986">
      <w:pPr>
        <w:spacing w:line="360" w:lineRule="auto"/>
        <w:jc w:val="both"/>
        <w:rPr>
          <w:rFonts w:ascii="Times New Roman" w:hAnsi="Times New Roman" w:cs="Times New Roman"/>
          <w:sz w:val="24"/>
          <w:szCs w:val="24"/>
        </w:rPr>
      </w:pPr>
    </w:p>
    <w:p w14:paraId="52E966EB" w14:textId="77777777" w:rsidR="00275986" w:rsidRDefault="00275986" w:rsidP="00275986">
      <w:pPr>
        <w:spacing w:line="360" w:lineRule="auto"/>
        <w:jc w:val="both"/>
        <w:rPr>
          <w:rFonts w:ascii="Times New Roman" w:hAnsi="Times New Roman" w:cs="Times New Roman"/>
          <w:sz w:val="24"/>
          <w:szCs w:val="24"/>
        </w:rPr>
      </w:pPr>
    </w:p>
    <w:p w14:paraId="259C9E61" w14:textId="77777777" w:rsidR="00275986" w:rsidRDefault="00275986" w:rsidP="00275986">
      <w:pPr>
        <w:spacing w:line="360" w:lineRule="auto"/>
        <w:jc w:val="both"/>
        <w:rPr>
          <w:rFonts w:ascii="Times New Roman" w:hAnsi="Times New Roman" w:cs="Times New Roman"/>
          <w:sz w:val="24"/>
          <w:szCs w:val="24"/>
        </w:rPr>
      </w:pPr>
    </w:p>
    <w:p w14:paraId="0E7B3FA4" w14:textId="77777777" w:rsidR="00275986" w:rsidRDefault="00275986" w:rsidP="00275986">
      <w:pPr>
        <w:spacing w:line="360" w:lineRule="auto"/>
        <w:jc w:val="both"/>
        <w:rPr>
          <w:rFonts w:ascii="Times New Roman" w:hAnsi="Times New Roman" w:cs="Times New Roman"/>
          <w:sz w:val="24"/>
          <w:szCs w:val="24"/>
        </w:rPr>
      </w:pPr>
    </w:p>
    <w:p w14:paraId="5DAD49C8" w14:textId="77777777" w:rsidR="00275986" w:rsidRDefault="00275986" w:rsidP="00275986">
      <w:pPr>
        <w:spacing w:line="360" w:lineRule="auto"/>
        <w:jc w:val="both"/>
        <w:rPr>
          <w:rFonts w:ascii="Times New Roman" w:hAnsi="Times New Roman" w:cs="Times New Roman"/>
          <w:sz w:val="24"/>
          <w:szCs w:val="24"/>
        </w:rPr>
      </w:pPr>
    </w:p>
    <w:p w14:paraId="4AC73289" w14:textId="77777777" w:rsidR="00275986" w:rsidRDefault="00275986" w:rsidP="00275986">
      <w:pPr>
        <w:spacing w:line="360" w:lineRule="auto"/>
        <w:jc w:val="both"/>
        <w:rPr>
          <w:rFonts w:ascii="Times New Roman" w:hAnsi="Times New Roman" w:cs="Times New Roman"/>
          <w:sz w:val="24"/>
          <w:szCs w:val="24"/>
        </w:rPr>
      </w:pPr>
    </w:p>
    <w:p w14:paraId="01FA2ED1" w14:textId="77777777" w:rsidR="00275986" w:rsidRDefault="00275986" w:rsidP="00275986">
      <w:pPr>
        <w:spacing w:line="360" w:lineRule="auto"/>
        <w:jc w:val="both"/>
        <w:rPr>
          <w:rFonts w:ascii="Times New Roman" w:hAnsi="Times New Roman" w:cs="Times New Roman"/>
          <w:sz w:val="24"/>
          <w:szCs w:val="24"/>
        </w:rPr>
      </w:pPr>
    </w:p>
    <w:p w14:paraId="17FF7BCA" w14:textId="77777777" w:rsidR="00275986" w:rsidRDefault="00275986" w:rsidP="00275986">
      <w:pPr>
        <w:spacing w:line="360" w:lineRule="auto"/>
        <w:jc w:val="both"/>
        <w:rPr>
          <w:rFonts w:ascii="Times New Roman" w:hAnsi="Times New Roman" w:cs="Times New Roman"/>
          <w:sz w:val="24"/>
          <w:szCs w:val="24"/>
        </w:rPr>
      </w:pPr>
    </w:p>
    <w:p w14:paraId="192804BF" w14:textId="77777777" w:rsidR="00275986" w:rsidRDefault="00275986" w:rsidP="00275986">
      <w:pPr>
        <w:spacing w:line="360" w:lineRule="auto"/>
        <w:jc w:val="both"/>
        <w:rPr>
          <w:rFonts w:ascii="Times New Roman" w:hAnsi="Times New Roman" w:cs="Times New Roman"/>
          <w:sz w:val="24"/>
          <w:szCs w:val="24"/>
        </w:rPr>
      </w:pPr>
    </w:p>
    <w:p w14:paraId="64204DEB" w14:textId="77777777" w:rsidR="00275986" w:rsidRDefault="00275986" w:rsidP="00275986">
      <w:pPr>
        <w:spacing w:line="360" w:lineRule="auto"/>
        <w:jc w:val="both"/>
        <w:rPr>
          <w:rFonts w:ascii="Times New Roman" w:hAnsi="Times New Roman" w:cs="Times New Roman"/>
          <w:sz w:val="24"/>
          <w:szCs w:val="24"/>
        </w:rPr>
      </w:pPr>
    </w:p>
    <w:p w14:paraId="0B1D9F10" w14:textId="77777777" w:rsidR="00275986" w:rsidRDefault="00275986" w:rsidP="00275986">
      <w:pPr>
        <w:spacing w:line="360" w:lineRule="auto"/>
        <w:jc w:val="both"/>
        <w:rPr>
          <w:rFonts w:ascii="Times New Roman" w:hAnsi="Times New Roman" w:cs="Times New Roman"/>
          <w:sz w:val="24"/>
          <w:szCs w:val="24"/>
        </w:rPr>
      </w:pPr>
    </w:p>
    <w:p w14:paraId="685EC400" w14:textId="77777777" w:rsidR="00275986" w:rsidRDefault="00275986" w:rsidP="00275986">
      <w:pPr>
        <w:spacing w:line="360" w:lineRule="auto"/>
        <w:jc w:val="both"/>
        <w:rPr>
          <w:rFonts w:ascii="Times New Roman" w:hAnsi="Times New Roman" w:cs="Times New Roman"/>
          <w:sz w:val="24"/>
          <w:szCs w:val="24"/>
        </w:rPr>
      </w:pPr>
    </w:p>
    <w:p w14:paraId="7D8872FF" w14:textId="77777777" w:rsidR="00275986" w:rsidRDefault="00275986" w:rsidP="00275986">
      <w:pPr>
        <w:spacing w:line="360" w:lineRule="auto"/>
        <w:jc w:val="both"/>
        <w:rPr>
          <w:rFonts w:ascii="Times New Roman" w:hAnsi="Times New Roman" w:cs="Times New Roman"/>
          <w:sz w:val="24"/>
          <w:szCs w:val="24"/>
        </w:rPr>
      </w:pPr>
    </w:p>
    <w:p w14:paraId="5E5CA346" w14:textId="77777777" w:rsidR="00275986" w:rsidRDefault="00275986" w:rsidP="00275986">
      <w:pPr>
        <w:spacing w:line="360" w:lineRule="auto"/>
        <w:jc w:val="both"/>
        <w:rPr>
          <w:rFonts w:ascii="Times New Roman" w:hAnsi="Times New Roman" w:cs="Times New Roman"/>
          <w:sz w:val="24"/>
          <w:szCs w:val="24"/>
        </w:rPr>
      </w:pPr>
    </w:p>
    <w:p w14:paraId="145BA56B" w14:textId="77777777" w:rsidR="00275986" w:rsidRPr="0078607C" w:rsidRDefault="00275986" w:rsidP="00275986">
      <w:pPr>
        <w:spacing w:line="360" w:lineRule="auto"/>
        <w:jc w:val="center"/>
        <w:rPr>
          <w:rFonts w:ascii="Times New Roman" w:hAnsi="Times New Roman" w:cs="Times New Roman"/>
          <w:sz w:val="24"/>
          <w:szCs w:val="24"/>
        </w:rPr>
      </w:pPr>
      <w:bookmarkStart w:id="14" w:name="_Hlk203212469"/>
      <w:r w:rsidRPr="0078607C">
        <w:rPr>
          <w:rFonts w:ascii="Times New Roman" w:hAnsi="Times New Roman" w:cs="Times New Roman"/>
          <w:b/>
          <w:sz w:val="24"/>
          <w:szCs w:val="24"/>
          <w:lang w:val="en-US"/>
        </w:rPr>
        <w:lastRenderedPageBreak/>
        <w:t>CHAPTER – IV</w:t>
      </w:r>
    </w:p>
    <w:p w14:paraId="1AE5ADF3" w14:textId="77777777" w:rsidR="00275986" w:rsidRDefault="00275986" w:rsidP="00275986">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84EFFF7" w14:textId="77777777" w:rsidR="00275986" w:rsidRPr="004D7E4B" w:rsidRDefault="00275986" w:rsidP="00275986">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75986" w:rsidRPr="004D7E4B" w14:paraId="0C414D8B"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09BEABE2" w14:textId="77777777" w:rsidR="00275986" w:rsidRPr="004D7E4B" w:rsidRDefault="0027598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2D4A808" w14:textId="77777777" w:rsidR="00275986" w:rsidRPr="004D7E4B" w:rsidRDefault="0027598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633F3E2E" w14:textId="77777777" w:rsidR="00275986" w:rsidRPr="004D7E4B" w:rsidRDefault="0027598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75986" w:rsidRPr="004D7E4B" w14:paraId="0FB6F518"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40489760" w14:textId="0AFCBCCE" w:rsidR="00275986" w:rsidRPr="004D7E4B" w:rsidRDefault="00275986" w:rsidP="009067DA">
            <w:pPr>
              <w:spacing w:line="360" w:lineRule="auto"/>
              <w:jc w:val="center"/>
              <w:rPr>
                <w:rFonts w:ascii="Times New Roman" w:hAnsi="Times New Roman" w:cs="Times New Roman"/>
                <w:b/>
                <w:sz w:val="24"/>
                <w:szCs w:val="24"/>
                <w:lang w:val="en-US"/>
              </w:rPr>
            </w:pPr>
            <w:r w:rsidRPr="00275986">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3BE41B76" w14:textId="5F13ACDD" w:rsidR="00275986" w:rsidRPr="004D7E4B" w:rsidRDefault="002759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38FE52B0" w14:textId="43F979A5" w:rsidR="00275986" w:rsidRPr="004D7E4B" w:rsidRDefault="002759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275986" w:rsidRPr="004D7E4B" w14:paraId="088170B7"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78E5544F" w14:textId="0BFB2255" w:rsidR="00275986" w:rsidRPr="004D7E4B" w:rsidRDefault="00275986" w:rsidP="009067DA">
            <w:pPr>
              <w:spacing w:line="360" w:lineRule="auto"/>
              <w:jc w:val="center"/>
              <w:rPr>
                <w:rFonts w:ascii="Times New Roman" w:hAnsi="Times New Roman" w:cs="Times New Roman"/>
                <w:b/>
                <w:sz w:val="24"/>
                <w:szCs w:val="24"/>
                <w:lang w:val="en-US"/>
              </w:rPr>
            </w:pPr>
            <w:r w:rsidRPr="00275986">
              <w:rPr>
                <w:rFonts w:ascii="Times New Roman" w:hAnsi="Times New Roman" w:cs="Times New Roman"/>
                <w:b/>
                <w:sz w:val="24"/>
                <w:szCs w:val="24"/>
              </w:rPr>
              <w:t>25 - 35 years</w:t>
            </w:r>
          </w:p>
        </w:tc>
        <w:tc>
          <w:tcPr>
            <w:tcW w:w="3185" w:type="dxa"/>
            <w:tcBorders>
              <w:top w:val="single" w:sz="4" w:space="0" w:color="auto"/>
              <w:left w:val="single" w:sz="4" w:space="0" w:color="auto"/>
              <w:bottom w:val="single" w:sz="4" w:space="0" w:color="auto"/>
              <w:right w:val="single" w:sz="4" w:space="0" w:color="auto"/>
            </w:tcBorders>
            <w:hideMark/>
          </w:tcPr>
          <w:p w14:paraId="10E05C8E" w14:textId="4C003696" w:rsidR="00275986" w:rsidRPr="004D7E4B" w:rsidRDefault="002759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0A4B5ED3" w14:textId="45BA99B6" w:rsidR="00275986" w:rsidRPr="004D7E4B" w:rsidRDefault="002759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275986" w:rsidRPr="004D7E4B" w14:paraId="45C95F1C"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hideMark/>
          </w:tcPr>
          <w:p w14:paraId="68CDC876" w14:textId="4BD24BD5" w:rsidR="00275986" w:rsidRPr="004D7E4B" w:rsidRDefault="00275986" w:rsidP="009067DA">
            <w:pPr>
              <w:spacing w:line="360" w:lineRule="auto"/>
              <w:jc w:val="center"/>
              <w:rPr>
                <w:rFonts w:ascii="Times New Roman" w:hAnsi="Times New Roman" w:cs="Times New Roman"/>
                <w:b/>
                <w:sz w:val="24"/>
                <w:szCs w:val="24"/>
                <w:lang w:val="en-US"/>
              </w:rPr>
            </w:pPr>
            <w:r w:rsidRPr="00275986">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3990489C" w14:textId="6305F859" w:rsidR="00275986" w:rsidRPr="004D7E4B" w:rsidRDefault="002759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w:t>
            </w:r>
          </w:p>
        </w:tc>
        <w:tc>
          <w:tcPr>
            <w:tcW w:w="3185" w:type="dxa"/>
            <w:tcBorders>
              <w:top w:val="single" w:sz="4" w:space="0" w:color="auto"/>
              <w:left w:val="single" w:sz="4" w:space="0" w:color="auto"/>
              <w:bottom w:val="single" w:sz="4" w:space="0" w:color="auto"/>
              <w:right w:val="single" w:sz="4" w:space="0" w:color="auto"/>
            </w:tcBorders>
            <w:hideMark/>
          </w:tcPr>
          <w:p w14:paraId="6F3E582B" w14:textId="00AD8A53" w:rsidR="00275986" w:rsidRPr="004D7E4B" w:rsidRDefault="002759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36</w:t>
            </w:r>
            <w:r w:rsidRPr="004D7E4B">
              <w:rPr>
                <w:rFonts w:ascii="Times New Roman" w:hAnsi="Times New Roman" w:cs="Times New Roman"/>
                <w:b/>
                <w:sz w:val="24"/>
                <w:szCs w:val="24"/>
                <w:lang w:val="en-US"/>
              </w:rPr>
              <w:t>%</w:t>
            </w:r>
          </w:p>
        </w:tc>
      </w:tr>
      <w:tr w:rsidR="00275986" w:rsidRPr="004D7E4B" w14:paraId="4EEDDBA4"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1EA5EDE6" w14:textId="718FC4E0" w:rsidR="00275986" w:rsidRPr="00275986" w:rsidRDefault="00275986" w:rsidP="009067DA">
            <w:pPr>
              <w:spacing w:line="360" w:lineRule="auto"/>
              <w:jc w:val="center"/>
              <w:rPr>
                <w:rFonts w:ascii="Times New Roman" w:hAnsi="Times New Roman" w:cs="Times New Roman"/>
                <w:b/>
                <w:sz w:val="24"/>
                <w:szCs w:val="24"/>
              </w:rPr>
            </w:pPr>
            <w:r w:rsidRPr="00275986">
              <w:rPr>
                <w:rFonts w:ascii="Times New Roman" w:hAnsi="Times New Roman" w:cs="Times New Roman"/>
                <w:b/>
                <w:sz w:val="24"/>
                <w:szCs w:val="24"/>
              </w:rPr>
              <w:t>46 - 55 years</w:t>
            </w:r>
          </w:p>
        </w:tc>
        <w:tc>
          <w:tcPr>
            <w:tcW w:w="3185" w:type="dxa"/>
            <w:tcBorders>
              <w:top w:val="single" w:sz="4" w:space="0" w:color="auto"/>
              <w:left w:val="single" w:sz="4" w:space="0" w:color="auto"/>
              <w:bottom w:val="single" w:sz="4" w:space="0" w:color="auto"/>
              <w:right w:val="single" w:sz="4" w:space="0" w:color="auto"/>
            </w:tcBorders>
          </w:tcPr>
          <w:p w14:paraId="5EA44A8C" w14:textId="77154865" w:rsidR="00275986" w:rsidRDefault="002759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5FCCCD53" w14:textId="4AE5B5B9" w:rsidR="00275986" w:rsidRDefault="002759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275986" w14:paraId="5B5F4B31"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595287D1" w14:textId="7B6AA38D" w:rsidR="00275986" w:rsidRPr="00EE3350" w:rsidRDefault="00275986" w:rsidP="009067DA">
            <w:pPr>
              <w:spacing w:line="360" w:lineRule="auto"/>
              <w:jc w:val="center"/>
              <w:rPr>
                <w:rFonts w:ascii="Times New Roman" w:hAnsi="Times New Roman" w:cs="Times New Roman"/>
                <w:b/>
                <w:sz w:val="24"/>
                <w:szCs w:val="24"/>
              </w:rPr>
            </w:pPr>
            <w:r w:rsidRPr="00275986">
              <w:rPr>
                <w:rFonts w:ascii="Times New Roman" w:hAnsi="Times New Roman" w:cs="Times New Roman"/>
                <w:b/>
                <w:sz w:val="24"/>
                <w:szCs w:val="24"/>
              </w:rPr>
              <w:t>Above 55 years</w:t>
            </w:r>
          </w:p>
        </w:tc>
        <w:tc>
          <w:tcPr>
            <w:tcW w:w="3185" w:type="dxa"/>
            <w:tcBorders>
              <w:top w:val="single" w:sz="4" w:space="0" w:color="auto"/>
              <w:left w:val="single" w:sz="4" w:space="0" w:color="auto"/>
              <w:bottom w:val="single" w:sz="4" w:space="0" w:color="auto"/>
              <w:right w:val="single" w:sz="4" w:space="0" w:color="auto"/>
            </w:tcBorders>
          </w:tcPr>
          <w:p w14:paraId="4E31442D" w14:textId="06873146" w:rsidR="00275986" w:rsidRDefault="002759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tcPr>
          <w:p w14:paraId="531157BA" w14:textId="6470C606" w:rsidR="00275986" w:rsidRDefault="002759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w:t>
            </w:r>
          </w:p>
        </w:tc>
      </w:tr>
      <w:tr w:rsidR="00275986" w:rsidRPr="004D7E4B" w14:paraId="7E7CBCC6" w14:textId="77777777" w:rsidTr="009067DA">
        <w:trPr>
          <w:trHeight w:val="516"/>
        </w:trPr>
        <w:tc>
          <w:tcPr>
            <w:tcW w:w="3077" w:type="dxa"/>
            <w:tcBorders>
              <w:top w:val="single" w:sz="4" w:space="0" w:color="auto"/>
              <w:left w:val="single" w:sz="4" w:space="0" w:color="auto"/>
              <w:bottom w:val="single" w:sz="4" w:space="0" w:color="auto"/>
              <w:right w:val="single" w:sz="4" w:space="0" w:color="auto"/>
            </w:tcBorders>
            <w:hideMark/>
          </w:tcPr>
          <w:p w14:paraId="71D481B9" w14:textId="77777777" w:rsidR="00275986" w:rsidRPr="004D7E4B" w:rsidRDefault="0027598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08177C5" w14:textId="2666DE9F" w:rsidR="00275986" w:rsidRPr="004D7E4B" w:rsidRDefault="00275986"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01DC60DD" w14:textId="77777777" w:rsidR="00275986" w:rsidRPr="004D7E4B" w:rsidRDefault="00275986"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262F001" w14:textId="77777777" w:rsidR="00275986" w:rsidRDefault="00275986" w:rsidP="00275986">
      <w:pPr>
        <w:spacing w:line="360" w:lineRule="auto"/>
        <w:rPr>
          <w:rFonts w:ascii="Times New Roman" w:hAnsi="Times New Roman" w:cs="Times New Roman"/>
          <w:b/>
          <w:sz w:val="24"/>
          <w:szCs w:val="24"/>
          <w:lang w:val="en-US"/>
        </w:rPr>
      </w:pPr>
    </w:p>
    <w:p w14:paraId="789E0916" w14:textId="77777777" w:rsidR="00275986" w:rsidRDefault="00275986" w:rsidP="00275986">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018BDEDF" w14:textId="67CD23A1" w:rsidR="00275986" w:rsidRPr="00275986" w:rsidRDefault="00B55138" w:rsidP="00275986">
      <w:pPr>
        <w:spacing w:line="360" w:lineRule="auto"/>
        <w:jc w:val="both"/>
        <w:rPr>
          <w:rFonts w:ascii="Times New Roman" w:hAnsi="Times New Roman" w:cs="Times New Roman"/>
          <w:sz w:val="24"/>
          <w:szCs w:val="24"/>
        </w:rPr>
      </w:pPr>
      <w:r w:rsidRPr="00B55138">
        <w:rPr>
          <w:rFonts w:ascii="Times New Roman" w:hAnsi="Times New Roman" w:cs="Times New Roman"/>
          <w:sz w:val="24"/>
          <w:szCs w:val="24"/>
        </w:rPr>
        <w:t>The age distribution of respondents involved in the study on credit risk management in commercial banks reveals that the majority, 40%, are in the 25 to 35 years age group, closely followed by 36% in the 36 to 45 years bracket. This indicates that most respondents are young to mid-career professionals who are likely actively engaged in credit risk assessment, monitoring, and decision-making roles. The smaller percentage of respondents below 25 years (10%) suggests fewer entry-level professionals involved directly in credit risk management, while the 10% and 4% representation in the 46-55 and above 55 years groups respectively reflect senior management or experienced professionals who may play strategic or supervisory roles. Overall, the data suggests that credit risk management is predominantly handled by a workforce that balances fresh perspectives with practical experience, contributing to effective risk identification and mitigation in commercial banks.</w:t>
      </w:r>
    </w:p>
    <w:p w14:paraId="5D7C40CF" w14:textId="77777777" w:rsidR="00275986" w:rsidRPr="00275986" w:rsidRDefault="00275986" w:rsidP="00275986">
      <w:pPr>
        <w:spacing w:line="360" w:lineRule="auto"/>
        <w:jc w:val="both"/>
        <w:rPr>
          <w:rFonts w:ascii="Times New Roman" w:hAnsi="Times New Roman" w:cs="Times New Roman"/>
          <w:sz w:val="24"/>
          <w:szCs w:val="24"/>
        </w:rPr>
      </w:pPr>
    </w:p>
    <w:p w14:paraId="7A8CB6C9" w14:textId="77777777" w:rsidR="00275986" w:rsidRDefault="00275986" w:rsidP="00275986">
      <w:pPr>
        <w:spacing w:line="360" w:lineRule="auto"/>
        <w:jc w:val="both"/>
        <w:rPr>
          <w:rFonts w:ascii="Times New Roman" w:hAnsi="Times New Roman" w:cs="Times New Roman"/>
          <w:sz w:val="24"/>
          <w:szCs w:val="24"/>
        </w:rPr>
      </w:pPr>
    </w:p>
    <w:p w14:paraId="054F2C66" w14:textId="77777777" w:rsidR="00B55138" w:rsidRDefault="00B55138" w:rsidP="00275986">
      <w:pPr>
        <w:spacing w:line="360" w:lineRule="auto"/>
        <w:jc w:val="both"/>
        <w:rPr>
          <w:rFonts w:ascii="Times New Roman" w:hAnsi="Times New Roman" w:cs="Times New Roman"/>
          <w:sz w:val="24"/>
          <w:szCs w:val="24"/>
        </w:rPr>
      </w:pPr>
    </w:p>
    <w:p w14:paraId="13ED9412" w14:textId="77777777" w:rsidR="00B55138" w:rsidRDefault="00B55138" w:rsidP="00275986">
      <w:pPr>
        <w:spacing w:line="360" w:lineRule="auto"/>
        <w:jc w:val="both"/>
        <w:rPr>
          <w:rFonts w:ascii="Times New Roman" w:hAnsi="Times New Roman" w:cs="Times New Roman"/>
          <w:sz w:val="24"/>
          <w:szCs w:val="24"/>
        </w:rPr>
      </w:pPr>
    </w:p>
    <w:p w14:paraId="0A7A486D" w14:textId="77777777" w:rsidR="00B55138" w:rsidRPr="00967E78" w:rsidRDefault="00B55138" w:rsidP="00B55138">
      <w:pPr>
        <w:spacing w:line="360" w:lineRule="auto"/>
        <w:jc w:val="center"/>
        <w:rPr>
          <w:rFonts w:ascii="Times New Roman" w:hAnsi="Times New Roman" w:cs="Times New Roman"/>
          <w:b/>
          <w:bCs/>
          <w:sz w:val="24"/>
          <w:szCs w:val="24"/>
          <w:lang w:val="en-US"/>
        </w:rPr>
      </w:pPr>
      <w:bookmarkStart w:id="15" w:name="_Hlk203212624"/>
      <w:bookmarkStart w:id="16" w:name="_Hlk204529642"/>
      <w:r w:rsidRPr="00967E78">
        <w:rPr>
          <w:rFonts w:ascii="Times New Roman" w:hAnsi="Times New Roman" w:cs="Times New Roman"/>
          <w:b/>
          <w:bCs/>
          <w:sz w:val="24"/>
          <w:szCs w:val="24"/>
          <w:lang w:val="en-US"/>
        </w:rPr>
        <w:lastRenderedPageBreak/>
        <w:t>TABLE – 4.2</w:t>
      </w:r>
    </w:p>
    <w:p w14:paraId="10392B4F" w14:textId="77777777" w:rsidR="00B55138" w:rsidRPr="004D7E4B" w:rsidRDefault="00B55138" w:rsidP="00B55138">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B55138" w:rsidRPr="004D7E4B" w14:paraId="1186C3DC"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7C3F2D08" w14:textId="77777777" w:rsidR="00B55138" w:rsidRPr="004D7E4B" w:rsidRDefault="00B55138"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EAF7E5D" w14:textId="77777777" w:rsidR="00B55138" w:rsidRPr="004D7E4B" w:rsidRDefault="00B55138"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D8F679D" w14:textId="77777777" w:rsidR="00B55138" w:rsidRPr="004D7E4B" w:rsidRDefault="00B55138"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B55138" w:rsidRPr="004D7E4B" w14:paraId="52339BD5"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7A148FE2" w14:textId="77777777" w:rsidR="00B55138" w:rsidRPr="004D7E4B" w:rsidRDefault="00B55138"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1E0BD74" w14:textId="77582EA7" w:rsidR="00B55138" w:rsidRPr="004D7E4B" w:rsidRDefault="00B55138"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c>
          <w:tcPr>
            <w:tcW w:w="2685" w:type="dxa"/>
            <w:tcBorders>
              <w:top w:val="single" w:sz="4" w:space="0" w:color="auto"/>
              <w:left w:val="single" w:sz="4" w:space="0" w:color="auto"/>
              <w:bottom w:val="single" w:sz="4" w:space="0" w:color="auto"/>
              <w:right w:val="single" w:sz="4" w:space="0" w:color="auto"/>
            </w:tcBorders>
            <w:hideMark/>
          </w:tcPr>
          <w:p w14:paraId="25D0B16E" w14:textId="7A413D8C" w:rsidR="00B55138" w:rsidRPr="004D7E4B" w:rsidRDefault="00B55138"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B55138" w:rsidRPr="004D7E4B" w14:paraId="0732A426"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20EE272D" w14:textId="77777777" w:rsidR="00B55138" w:rsidRPr="004D7E4B" w:rsidRDefault="00B55138"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B61B94B" w14:textId="0AD73CA0" w:rsidR="00B55138" w:rsidRPr="004D7E4B" w:rsidRDefault="00B55138"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w:t>
            </w:r>
          </w:p>
        </w:tc>
        <w:tc>
          <w:tcPr>
            <w:tcW w:w="2685" w:type="dxa"/>
            <w:tcBorders>
              <w:top w:val="single" w:sz="4" w:space="0" w:color="auto"/>
              <w:left w:val="single" w:sz="4" w:space="0" w:color="auto"/>
              <w:bottom w:val="single" w:sz="4" w:space="0" w:color="auto"/>
              <w:right w:val="single" w:sz="4" w:space="0" w:color="auto"/>
            </w:tcBorders>
            <w:hideMark/>
          </w:tcPr>
          <w:p w14:paraId="1F0E6B2F" w14:textId="1F5BC9BE" w:rsidR="00B55138" w:rsidRPr="004D7E4B" w:rsidRDefault="00B55138"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B55138" w:rsidRPr="004D7E4B" w14:paraId="5574B248"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3CCFF084" w14:textId="77777777" w:rsidR="00B55138" w:rsidRPr="004D7E4B" w:rsidRDefault="00B55138"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04ABFF6" w14:textId="686CED95" w:rsidR="00B55138" w:rsidRPr="004D7E4B" w:rsidRDefault="00B55138" w:rsidP="009067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1EB30933" w14:textId="77777777" w:rsidR="00B55138" w:rsidRPr="004D7E4B" w:rsidRDefault="00B55138"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8E85C4E" w14:textId="77777777" w:rsidR="00B55138" w:rsidRDefault="00B55138" w:rsidP="00B55138">
      <w:pPr>
        <w:spacing w:line="360" w:lineRule="auto"/>
        <w:jc w:val="both"/>
        <w:rPr>
          <w:rFonts w:ascii="Times New Roman" w:hAnsi="Times New Roman" w:cs="Times New Roman"/>
          <w:bCs/>
          <w:sz w:val="24"/>
          <w:szCs w:val="24"/>
        </w:rPr>
      </w:pPr>
    </w:p>
    <w:p w14:paraId="052A089C" w14:textId="77777777" w:rsidR="00B55138" w:rsidRDefault="00B55138" w:rsidP="00B55138">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15"/>
    </w:p>
    <w:bookmarkEnd w:id="16"/>
    <w:p w14:paraId="32291B05" w14:textId="3BF985B7" w:rsidR="00B55138" w:rsidRDefault="00B55138" w:rsidP="00275986">
      <w:pPr>
        <w:spacing w:line="360" w:lineRule="auto"/>
        <w:jc w:val="both"/>
        <w:rPr>
          <w:rFonts w:ascii="Times New Roman" w:hAnsi="Times New Roman" w:cs="Times New Roman"/>
          <w:sz w:val="24"/>
          <w:szCs w:val="24"/>
        </w:rPr>
      </w:pPr>
      <w:r w:rsidRPr="00B55138">
        <w:rPr>
          <w:rFonts w:ascii="Times New Roman" w:hAnsi="Times New Roman" w:cs="Times New Roman"/>
          <w:sz w:val="24"/>
          <w:szCs w:val="24"/>
        </w:rPr>
        <w:t>The gender distribution of respondents in the study on credit risk management in commercial banks shows a predominance of male participants, accounting for 70% of the total sample, while females represent 30%. This disparity suggests that the credit risk management function in the surveyed banks is largely male-dominated, which may reflect broader industry trends where men hold a majority of risk and credit-related roles. However, the 30% female representation indicates growing participation of women in this critical area, reflecting increasing gender diversity and inclusion efforts within the banking sector. Understanding gender dynamics is important as diverse teams are often linked to better decision-making and risk management outcomes. The data underscores the need for further encouraging gender balance in credit risk management roles to leverage varied perspectives and skills for more robust risk assessment and control.</w:t>
      </w:r>
    </w:p>
    <w:p w14:paraId="5EEAD6A3" w14:textId="77777777" w:rsidR="00B55138" w:rsidRDefault="00B55138" w:rsidP="00275986">
      <w:pPr>
        <w:spacing w:line="360" w:lineRule="auto"/>
        <w:jc w:val="both"/>
        <w:rPr>
          <w:rFonts w:ascii="Times New Roman" w:hAnsi="Times New Roman" w:cs="Times New Roman"/>
          <w:sz w:val="24"/>
          <w:szCs w:val="24"/>
        </w:rPr>
      </w:pPr>
    </w:p>
    <w:p w14:paraId="13103E67" w14:textId="77777777" w:rsidR="00B55138" w:rsidRDefault="00B55138" w:rsidP="00275986">
      <w:pPr>
        <w:spacing w:line="360" w:lineRule="auto"/>
        <w:jc w:val="both"/>
        <w:rPr>
          <w:rFonts w:ascii="Times New Roman" w:hAnsi="Times New Roman" w:cs="Times New Roman"/>
          <w:sz w:val="24"/>
          <w:szCs w:val="24"/>
        </w:rPr>
      </w:pPr>
    </w:p>
    <w:p w14:paraId="5C7542C5" w14:textId="77777777" w:rsidR="00B55138" w:rsidRDefault="00B55138" w:rsidP="00275986">
      <w:pPr>
        <w:spacing w:line="360" w:lineRule="auto"/>
        <w:jc w:val="both"/>
        <w:rPr>
          <w:rFonts w:ascii="Times New Roman" w:hAnsi="Times New Roman" w:cs="Times New Roman"/>
          <w:sz w:val="24"/>
          <w:szCs w:val="24"/>
        </w:rPr>
      </w:pPr>
    </w:p>
    <w:p w14:paraId="2F598EEF" w14:textId="77777777" w:rsidR="00B55138" w:rsidRDefault="00B55138" w:rsidP="00275986">
      <w:pPr>
        <w:spacing w:line="360" w:lineRule="auto"/>
        <w:jc w:val="both"/>
        <w:rPr>
          <w:rFonts w:ascii="Times New Roman" w:hAnsi="Times New Roman" w:cs="Times New Roman"/>
          <w:sz w:val="24"/>
          <w:szCs w:val="24"/>
        </w:rPr>
      </w:pPr>
    </w:p>
    <w:p w14:paraId="6D798201" w14:textId="77777777" w:rsidR="00B55138" w:rsidRDefault="00B55138" w:rsidP="00275986">
      <w:pPr>
        <w:spacing w:line="360" w:lineRule="auto"/>
        <w:jc w:val="both"/>
        <w:rPr>
          <w:rFonts w:ascii="Times New Roman" w:hAnsi="Times New Roman" w:cs="Times New Roman"/>
          <w:sz w:val="24"/>
          <w:szCs w:val="24"/>
        </w:rPr>
      </w:pPr>
    </w:p>
    <w:p w14:paraId="0606196F" w14:textId="77777777" w:rsidR="00B55138" w:rsidRDefault="00B55138" w:rsidP="00275986">
      <w:pPr>
        <w:spacing w:line="360" w:lineRule="auto"/>
        <w:jc w:val="both"/>
        <w:rPr>
          <w:rFonts w:ascii="Times New Roman" w:hAnsi="Times New Roman" w:cs="Times New Roman"/>
          <w:sz w:val="24"/>
          <w:szCs w:val="24"/>
        </w:rPr>
      </w:pPr>
    </w:p>
    <w:p w14:paraId="573A83D5" w14:textId="77777777" w:rsidR="00B55138" w:rsidRDefault="00B55138" w:rsidP="00275986">
      <w:pPr>
        <w:spacing w:line="360" w:lineRule="auto"/>
        <w:jc w:val="both"/>
        <w:rPr>
          <w:rFonts w:ascii="Times New Roman" w:hAnsi="Times New Roman" w:cs="Times New Roman"/>
          <w:sz w:val="24"/>
          <w:szCs w:val="24"/>
        </w:rPr>
      </w:pPr>
    </w:p>
    <w:p w14:paraId="0B8F49E8" w14:textId="77777777" w:rsidR="00B55138" w:rsidRDefault="00B55138" w:rsidP="00275986">
      <w:pPr>
        <w:spacing w:line="360" w:lineRule="auto"/>
        <w:jc w:val="both"/>
        <w:rPr>
          <w:rFonts w:ascii="Times New Roman" w:hAnsi="Times New Roman" w:cs="Times New Roman"/>
          <w:sz w:val="24"/>
          <w:szCs w:val="24"/>
        </w:rPr>
      </w:pPr>
    </w:p>
    <w:p w14:paraId="327097D0" w14:textId="77777777" w:rsidR="00B55138" w:rsidRDefault="00B55138" w:rsidP="00B55138">
      <w:pPr>
        <w:spacing w:line="360" w:lineRule="auto"/>
        <w:jc w:val="both"/>
        <w:rPr>
          <w:rFonts w:ascii="Times New Roman" w:hAnsi="Times New Roman" w:cs="Times New Roman"/>
          <w:b/>
          <w:bCs/>
          <w:sz w:val="24"/>
          <w:szCs w:val="24"/>
        </w:rPr>
      </w:pPr>
      <w:bookmarkStart w:id="17" w:name="_Hlk202090519"/>
      <w:r w:rsidRPr="007B042D">
        <w:rPr>
          <w:rFonts w:ascii="Times New Roman" w:hAnsi="Times New Roman" w:cs="Times New Roman"/>
          <w:b/>
          <w:bCs/>
          <w:sz w:val="24"/>
          <w:szCs w:val="24"/>
        </w:rPr>
        <w:lastRenderedPageBreak/>
        <w:t>CONCLUSION</w:t>
      </w:r>
    </w:p>
    <w:bookmarkEnd w:id="17"/>
    <w:p w14:paraId="0AAE1C8F" w14:textId="0C004BEF" w:rsidR="00B55138" w:rsidRPr="00B55138" w:rsidRDefault="00B55138" w:rsidP="00B551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5138">
        <w:rPr>
          <w:rFonts w:ascii="Times New Roman" w:hAnsi="Times New Roman" w:cs="Times New Roman"/>
          <w:sz w:val="24"/>
          <w:szCs w:val="24"/>
        </w:rPr>
        <w:t xml:space="preserve">Credit risk management remains a cornerstone of the commercial banking sector, playing a vital role in safeguarding the financial health and sustainability of banks. This study highlights that effective credit risk management is essential not only to minimize losses from borrower defaults but also to maintain regulatory compliance, protect shareholders’ interests, and ensure overall economic stability. The analysis reveals that while many commercial banks have adopted robust credit appraisal systems, risk rating models, and monitoring mechanisms, challenges persist due to evolving economic conditions, borrower </w:t>
      </w:r>
      <w:proofErr w:type="spellStart"/>
      <w:r w:rsidRPr="00B55138">
        <w:rPr>
          <w:rFonts w:ascii="Times New Roman" w:hAnsi="Times New Roman" w:cs="Times New Roman"/>
          <w:sz w:val="24"/>
          <w:szCs w:val="24"/>
        </w:rPr>
        <w:t>behavior</w:t>
      </w:r>
      <w:proofErr w:type="spellEnd"/>
      <w:r w:rsidRPr="00B55138">
        <w:rPr>
          <w:rFonts w:ascii="Times New Roman" w:hAnsi="Times New Roman" w:cs="Times New Roman"/>
          <w:sz w:val="24"/>
          <w:szCs w:val="24"/>
        </w:rPr>
        <w:t>, and rapid technological changes. The increasing complexity of credit portfolios demands continuous improvement in risk identification, measurement, and mitigation techniques.</w:t>
      </w:r>
    </w:p>
    <w:p w14:paraId="548A3F0A" w14:textId="1E2C22F6" w:rsidR="00B55138" w:rsidRPr="00B55138" w:rsidRDefault="00B55138" w:rsidP="00B551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5138">
        <w:rPr>
          <w:rFonts w:ascii="Times New Roman" w:hAnsi="Times New Roman" w:cs="Times New Roman"/>
          <w:sz w:val="24"/>
          <w:szCs w:val="24"/>
        </w:rPr>
        <w:t>Furthermore, the integration of advanced analytics and technology, such as machine learning and big data, offers promising avenues for enhancing predictive accuracy and proactive risk management. Equally important is the role of a strong risk culture, governance frameworks, and skilled personnel in enforcing disciplined credit practices. The study also underscores the significance of regulatory frameworks like Basel III in strengthening capital adequacy and encouraging prudent risk-taking.</w:t>
      </w:r>
    </w:p>
    <w:p w14:paraId="56A13919" w14:textId="02C5E9E6" w:rsidR="00B55138" w:rsidRPr="00B55138" w:rsidRDefault="00B55138" w:rsidP="00B551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5138">
        <w:rPr>
          <w:rFonts w:ascii="Times New Roman" w:hAnsi="Times New Roman" w:cs="Times New Roman"/>
          <w:sz w:val="24"/>
          <w:szCs w:val="24"/>
        </w:rPr>
        <w:t>However, issues such as rising non-performing assets, inadequate early warning systems, and occasional gaps in internal controls indicate that there is still room for improvement. Commercial banks must focus on enhancing their credit risk infrastructure, investing in capacity building, and fostering a culture of accountability to address these shortcomings. By doing so, banks can better navigate uncertainties and improve their resilience against credit shocks.</w:t>
      </w:r>
    </w:p>
    <w:p w14:paraId="02186574" w14:textId="07B96724" w:rsidR="00B55138" w:rsidRPr="00B55138" w:rsidRDefault="00B55138" w:rsidP="00B551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5138">
        <w:rPr>
          <w:rFonts w:ascii="Times New Roman" w:hAnsi="Times New Roman" w:cs="Times New Roman"/>
          <w:sz w:val="24"/>
          <w:szCs w:val="24"/>
        </w:rPr>
        <w:t>In conclusion, credit risk management in commercial banks is a dynamic and multifaceted discipline that requires constant vigilance, innovation, and adaptation. Effective credit risk management not only protects banks from potential losses but also contributes to their competitive advantage and long-term growth. As the financial landscape continues to evolve, commercial banks must remain proactive in refining their credit risk strategies to ensure sustainable and profitable lending operations.</w:t>
      </w:r>
    </w:p>
    <w:p w14:paraId="5D968C32" w14:textId="49E6FBC1" w:rsidR="00B55138" w:rsidRDefault="00B55138" w:rsidP="00275986">
      <w:pPr>
        <w:spacing w:line="360" w:lineRule="auto"/>
        <w:jc w:val="both"/>
        <w:rPr>
          <w:rFonts w:ascii="Times New Roman" w:hAnsi="Times New Roman" w:cs="Times New Roman"/>
          <w:sz w:val="24"/>
          <w:szCs w:val="24"/>
        </w:rPr>
      </w:pPr>
    </w:p>
    <w:p w14:paraId="7F20BEFE" w14:textId="77777777" w:rsidR="00B55138" w:rsidRDefault="00B55138" w:rsidP="00275986">
      <w:pPr>
        <w:spacing w:line="360" w:lineRule="auto"/>
        <w:jc w:val="both"/>
        <w:rPr>
          <w:rFonts w:ascii="Times New Roman" w:hAnsi="Times New Roman" w:cs="Times New Roman"/>
          <w:sz w:val="24"/>
          <w:szCs w:val="24"/>
        </w:rPr>
      </w:pPr>
    </w:p>
    <w:p w14:paraId="7839F013" w14:textId="77777777" w:rsidR="00B55138" w:rsidRDefault="00B55138" w:rsidP="00275986">
      <w:pPr>
        <w:spacing w:line="360" w:lineRule="auto"/>
        <w:jc w:val="both"/>
        <w:rPr>
          <w:rFonts w:ascii="Times New Roman" w:hAnsi="Times New Roman" w:cs="Times New Roman"/>
          <w:sz w:val="24"/>
          <w:szCs w:val="24"/>
        </w:rPr>
      </w:pPr>
    </w:p>
    <w:p w14:paraId="7FA604F8" w14:textId="77777777" w:rsidR="00B55138" w:rsidRPr="007B042D" w:rsidRDefault="00B55138" w:rsidP="00B55138">
      <w:pPr>
        <w:spacing w:line="360" w:lineRule="auto"/>
        <w:jc w:val="center"/>
        <w:rPr>
          <w:rFonts w:ascii="Times New Roman" w:hAnsi="Times New Roman" w:cs="Times New Roman"/>
          <w:b/>
          <w:bCs/>
          <w:sz w:val="24"/>
          <w:szCs w:val="24"/>
          <w:lang w:val="en-US"/>
        </w:rPr>
      </w:pPr>
      <w:bookmarkStart w:id="18" w:name="_Hlk203474877"/>
      <w:bookmarkStart w:id="19" w:name="_Hlk203252345"/>
      <w:r w:rsidRPr="007B042D">
        <w:rPr>
          <w:rFonts w:ascii="Times New Roman" w:hAnsi="Times New Roman" w:cs="Times New Roman"/>
          <w:b/>
          <w:bCs/>
          <w:sz w:val="24"/>
          <w:szCs w:val="24"/>
          <w:lang w:val="en-US"/>
        </w:rPr>
        <w:lastRenderedPageBreak/>
        <w:t>BIBLIOGRAPHY</w:t>
      </w:r>
      <w:bookmarkEnd w:id="18"/>
    </w:p>
    <w:bookmarkEnd w:id="19"/>
    <w:p w14:paraId="2D1BE9E4" w14:textId="5A1CF714"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r w:rsidRPr="00B55138">
        <w:rPr>
          <w:rFonts w:ascii="Times New Roman" w:hAnsi="Times New Roman" w:cs="Times New Roman"/>
          <w:sz w:val="24"/>
          <w:szCs w:val="24"/>
        </w:rPr>
        <w:t>Altman, E. I. (1968). Financial Ratios, Discriminant Analysis and the Prediction of Corporate Bankruptcy. Journal of Finance, 23(4), 589–609.</w:t>
      </w:r>
    </w:p>
    <w:p w14:paraId="22E89E94" w14:textId="6CC8B6C6"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r w:rsidRPr="00B55138">
        <w:rPr>
          <w:rFonts w:ascii="Times New Roman" w:hAnsi="Times New Roman" w:cs="Times New Roman"/>
          <w:sz w:val="24"/>
          <w:szCs w:val="24"/>
        </w:rPr>
        <w:t>Basel Committee on Banking Supervision. (2006). International Convergence of Capital Measurement and Capital Standards: A Revised Framework (Basel II). Bank for International Settlements.</w:t>
      </w:r>
    </w:p>
    <w:p w14:paraId="511869EF" w14:textId="32D0F22A"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r w:rsidRPr="00B55138">
        <w:rPr>
          <w:rFonts w:ascii="Times New Roman" w:hAnsi="Times New Roman" w:cs="Times New Roman"/>
          <w:sz w:val="24"/>
          <w:szCs w:val="24"/>
        </w:rPr>
        <w:t>Basel Committee on Banking Supervision. (2011). Basel III: A Global Regulatory Framework for More Resilient Banks and Banking Systems. Bank for International Settlements.</w:t>
      </w:r>
    </w:p>
    <w:p w14:paraId="30A4CB52" w14:textId="427732E4"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r w:rsidRPr="00B55138">
        <w:rPr>
          <w:rFonts w:ascii="Times New Roman" w:hAnsi="Times New Roman" w:cs="Times New Roman"/>
          <w:sz w:val="24"/>
          <w:szCs w:val="24"/>
        </w:rPr>
        <w:t>Brownbridge, M. (1998). The Causes of Financial Distress in Local Banks in Africa and Implications for Prudential Policy. Development Policy Review, 16(3), 223-242.</w:t>
      </w:r>
    </w:p>
    <w:p w14:paraId="3D18C5EE" w14:textId="72D35E9E"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r w:rsidRPr="00B55138">
        <w:rPr>
          <w:rFonts w:ascii="Times New Roman" w:hAnsi="Times New Roman" w:cs="Times New Roman"/>
          <w:sz w:val="24"/>
          <w:szCs w:val="24"/>
        </w:rPr>
        <w:t>Duffie, D., &amp; Singleton, K. J. (2003). Credit Risk: Pricing, Measurement, and Management. Princeton University Press.</w:t>
      </w:r>
    </w:p>
    <w:p w14:paraId="7A6E1DB0" w14:textId="0FB224D6"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proofErr w:type="spellStart"/>
      <w:r w:rsidRPr="00B55138">
        <w:rPr>
          <w:rFonts w:ascii="Times New Roman" w:hAnsi="Times New Roman" w:cs="Times New Roman"/>
          <w:sz w:val="24"/>
          <w:szCs w:val="24"/>
        </w:rPr>
        <w:t>Greuning</w:t>
      </w:r>
      <w:proofErr w:type="spellEnd"/>
      <w:r w:rsidRPr="00B55138">
        <w:rPr>
          <w:rFonts w:ascii="Times New Roman" w:hAnsi="Times New Roman" w:cs="Times New Roman"/>
          <w:sz w:val="24"/>
          <w:szCs w:val="24"/>
        </w:rPr>
        <w:t xml:space="preserve">, H. V., &amp; </w:t>
      </w:r>
      <w:proofErr w:type="spellStart"/>
      <w:r w:rsidRPr="00B55138">
        <w:rPr>
          <w:rFonts w:ascii="Times New Roman" w:hAnsi="Times New Roman" w:cs="Times New Roman"/>
          <w:sz w:val="24"/>
          <w:szCs w:val="24"/>
        </w:rPr>
        <w:t>Bratanovic</w:t>
      </w:r>
      <w:proofErr w:type="spellEnd"/>
      <w:r w:rsidRPr="00B55138">
        <w:rPr>
          <w:rFonts w:ascii="Times New Roman" w:hAnsi="Times New Roman" w:cs="Times New Roman"/>
          <w:sz w:val="24"/>
          <w:szCs w:val="24"/>
        </w:rPr>
        <w:t xml:space="preserve">, S. B. (2003). </w:t>
      </w:r>
      <w:proofErr w:type="spellStart"/>
      <w:r w:rsidRPr="00B55138">
        <w:rPr>
          <w:rFonts w:ascii="Times New Roman" w:hAnsi="Times New Roman" w:cs="Times New Roman"/>
          <w:sz w:val="24"/>
          <w:szCs w:val="24"/>
        </w:rPr>
        <w:t>Analyzing</w:t>
      </w:r>
      <w:proofErr w:type="spellEnd"/>
      <w:r w:rsidRPr="00B55138">
        <w:rPr>
          <w:rFonts w:ascii="Times New Roman" w:hAnsi="Times New Roman" w:cs="Times New Roman"/>
          <w:sz w:val="24"/>
          <w:szCs w:val="24"/>
        </w:rPr>
        <w:t xml:space="preserve"> Banking Risk: A Framework for Assessing Corporate Governance and Risk Management. World Bank Publications.</w:t>
      </w:r>
    </w:p>
    <w:p w14:paraId="6D75EE28" w14:textId="1FBDE6BE"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proofErr w:type="spellStart"/>
      <w:r w:rsidRPr="00B55138">
        <w:rPr>
          <w:rFonts w:ascii="Times New Roman" w:hAnsi="Times New Roman" w:cs="Times New Roman"/>
          <w:sz w:val="24"/>
          <w:szCs w:val="24"/>
        </w:rPr>
        <w:t>Khandani</w:t>
      </w:r>
      <w:proofErr w:type="spellEnd"/>
      <w:r w:rsidRPr="00B55138">
        <w:rPr>
          <w:rFonts w:ascii="Times New Roman" w:hAnsi="Times New Roman" w:cs="Times New Roman"/>
          <w:sz w:val="24"/>
          <w:szCs w:val="24"/>
        </w:rPr>
        <w:t>, A. E., Kim, A. J., &amp; Lo, A. W. (2010). Consumer Credit-Risk Models via Machine-Learning Algorithms. Journal of Banking &amp; Finance, 34(11), 2767–2787.</w:t>
      </w:r>
    </w:p>
    <w:p w14:paraId="603E733C" w14:textId="21BB0684"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proofErr w:type="spellStart"/>
      <w:r w:rsidRPr="00B55138">
        <w:rPr>
          <w:rFonts w:ascii="Times New Roman" w:hAnsi="Times New Roman" w:cs="Times New Roman"/>
          <w:sz w:val="24"/>
          <w:szCs w:val="24"/>
        </w:rPr>
        <w:t>Pasiouras</w:t>
      </w:r>
      <w:proofErr w:type="spellEnd"/>
      <w:r w:rsidRPr="00B55138">
        <w:rPr>
          <w:rFonts w:ascii="Times New Roman" w:hAnsi="Times New Roman" w:cs="Times New Roman"/>
          <w:sz w:val="24"/>
          <w:szCs w:val="24"/>
        </w:rPr>
        <w:t>, F. (2008). International Evidence on the Impact of Regulations and Supervision on Bank Risk Taking. Journal of Financial Services Research, 33, 123–144.</w:t>
      </w:r>
    </w:p>
    <w:p w14:paraId="56D7A4A1" w14:textId="5949DEE4"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r w:rsidRPr="00B55138">
        <w:rPr>
          <w:rFonts w:ascii="Times New Roman" w:hAnsi="Times New Roman" w:cs="Times New Roman"/>
          <w:sz w:val="24"/>
          <w:szCs w:val="24"/>
        </w:rPr>
        <w:t>Rajan, R. G., &amp; Dhal, S. (2003). Non-Performing Loans and Terms of Credit of Public Sector Banks in India: An Empirical Assessment. Reserve Bank of India Occasional Papers, 24(3), 81-121.</w:t>
      </w:r>
    </w:p>
    <w:p w14:paraId="29D39A8B" w14:textId="5C40CB73"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r w:rsidRPr="00B55138">
        <w:rPr>
          <w:rFonts w:ascii="Times New Roman" w:hAnsi="Times New Roman" w:cs="Times New Roman"/>
          <w:sz w:val="24"/>
          <w:szCs w:val="24"/>
        </w:rPr>
        <w:t xml:space="preserve">Saunders, A., &amp; Allen, L. (2002). Credit Risk Management </w:t>
      </w:r>
      <w:proofErr w:type="gramStart"/>
      <w:r w:rsidRPr="00B55138">
        <w:rPr>
          <w:rFonts w:ascii="Times New Roman" w:hAnsi="Times New Roman" w:cs="Times New Roman"/>
          <w:sz w:val="24"/>
          <w:szCs w:val="24"/>
        </w:rPr>
        <w:t>In</w:t>
      </w:r>
      <w:proofErr w:type="gramEnd"/>
      <w:r w:rsidRPr="00B55138">
        <w:rPr>
          <w:rFonts w:ascii="Times New Roman" w:hAnsi="Times New Roman" w:cs="Times New Roman"/>
          <w:sz w:val="24"/>
          <w:szCs w:val="24"/>
        </w:rPr>
        <w:t xml:space="preserve"> and Out of the Financial Crisis: New Approaches to Value at Risk and Other Paradigms. John Wiley &amp; Sons.</w:t>
      </w:r>
    </w:p>
    <w:p w14:paraId="35DC891C" w14:textId="71BC4A33"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r w:rsidRPr="00B55138">
        <w:rPr>
          <w:rFonts w:ascii="Times New Roman" w:hAnsi="Times New Roman" w:cs="Times New Roman"/>
          <w:sz w:val="24"/>
          <w:szCs w:val="24"/>
        </w:rPr>
        <w:t>Reserve Bank of India. (Various Years). Annual Reports and Financial Stability Reports. RBI Publications.</w:t>
      </w:r>
    </w:p>
    <w:p w14:paraId="6884BD01" w14:textId="31E5EDE0" w:rsidR="00B55138" w:rsidRPr="00B55138" w:rsidRDefault="00B55138" w:rsidP="00B55138">
      <w:pPr>
        <w:pStyle w:val="ListParagraph"/>
        <w:numPr>
          <w:ilvl w:val="0"/>
          <w:numId w:val="3"/>
        </w:numPr>
        <w:spacing w:line="360" w:lineRule="auto"/>
        <w:jc w:val="both"/>
        <w:rPr>
          <w:rFonts w:ascii="Times New Roman" w:hAnsi="Times New Roman" w:cs="Times New Roman"/>
          <w:sz w:val="24"/>
          <w:szCs w:val="24"/>
        </w:rPr>
      </w:pPr>
      <w:r w:rsidRPr="00B55138">
        <w:rPr>
          <w:rFonts w:ascii="Times New Roman" w:hAnsi="Times New Roman" w:cs="Times New Roman"/>
          <w:sz w:val="24"/>
          <w:szCs w:val="24"/>
        </w:rPr>
        <w:t>Barth, J. R., Caprio, G., &amp; Levine, R. (2004). Bank Regulation and Supervision: What Works Best? Journal of Financial Intermediation, 13(2), 205–248.</w:t>
      </w:r>
    </w:p>
    <w:p w14:paraId="07261201" w14:textId="77777777" w:rsidR="00B55138" w:rsidRPr="00275986" w:rsidRDefault="00B55138" w:rsidP="00275986">
      <w:pPr>
        <w:spacing w:line="360" w:lineRule="auto"/>
        <w:jc w:val="both"/>
        <w:rPr>
          <w:rFonts w:ascii="Times New Roman" w:hAnsi="Times New Roman" w:cs="Times New Roman"/>
          <w:sz w:val="24"/>
          <w:szCs w:val="24"/>
        </w:rPr>
      </w:pPr>
    </w:p>
    <w:sectPr w:rsidR="00B55138" w:rsidRPr="002759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83783"/>
    <w:multiLevelType w:val="hybridMultilevel"/>
    <w:tmpl w:val="DA5208A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A7E5DA9"/>
    <w:multiLevelType w:val="hybridMultilevel"/>
    <w:tmpl w:val="C080968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79E5200B"/>
    <w:multiLevelType w:val="hybridMultilevel"/>
    <w:tmpl w:val="D9AEA5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88411108">
    <w:abstractNumId w:val="0"/>
  </w:num>
  <w:num w:numId="2" w16cid:durableId="1336687766">
    <w:abstractNumId w:val="2"/>
  </w:num>
  <w:num w:numId="3" w16cid:durableId="19078844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352"/>
    <w:rsid w:val="0020187E"/>
    <w:rsid w:val="00275986"/>
    <w:rsid w:val="00287830"/>
    <w:rsid w:val="0085072B"/>
    <w:rsid w:val="008F7F7B"/>
    <w:rsid w:val="00993352"/>
    <w:rsid w:val="00B55138"/>
    <w:rsid w:val="00D60C6F"/>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D0E2A"/>
  <w15:chartTrackingRefBased/>
  <w15:docId w15:val="{1F44F5CF-E453-4FEA-A094-1EB420169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830"/>
  </w:style>
  <w:style w:type="paragraph" w:styleId="Heading1">
    <w:name w:val="heading 1"/>
    <w:basedOn w:val="Normal"/>
    <w:next w:val="Normal"/>
    <w:link w:val="Heading1Char"/>
    <w:uiPriority w:val="9"/>
    <w:qFormat/>
    <w:rsid w:val="009933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33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33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33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33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33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3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3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3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3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33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33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33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33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33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3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3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352"/>
    <w:rPr>
      <w:rFonts w:eastAsiaTheme="majorEastAsia" w:cstheme="majorBidi"/>
      <w:color w:val="272727" w:themeColor="text1" w:themeTint="D8"/>
    </w:rPr>
  </w:style>
  <w:style w:type="paragraph" w:styleId="Title">
    <w:name w:val="Title"/>
    <w:basedOn w:val="Normal"/>
    <w:next w:val="Normal"/>
    <w:link w:val="TitleChar"/>
    <w:uiPriority w:val="10"/>
    <w:qFormat/>
    <w:rsid w:val="009933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3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3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3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352"/>
    <w:pPr>
      <w:spacing w:before="160"/>
      <w:jc w:val="center"/>
    </w:pPr>
    <w:rPr>
      <w:i/>
      <w:iCs/>
      <w:color w:val="404040" w:themeColor="text1" w:themeTint="BF"/>
    </w:rPr>
  </w:style>
  <w:style w:type="character" w:customStyle="1" w:styleId="QuoteChar">
    <w:name w:val="Quote Char"/>
    <w:basedOn w:val="DefaultParagraphFont"/>
    <w:link w:val="Quote"/>
    <w:uiPriority w:val="29"/>
    <w:rsid w:val="00993352"/>
    <w:rPr>
      <w:i/>
      <w:iCs/>
      <w:color w:val="404040" w:themeColor="text1" w:themeTint="BF"/>
    </w:rPr>
  </w:style>
  <w:style w:type="paragraph" w:styleId="ListParagraph">
    <w:name w:val="List Paragraph"/>
    <w:basedOn w:val="Normal"/>
    <w:uiPriority w:val="34"/>
    <w:qFormat/>
    <w:rsid w:val="00993352"/>
    <w:pPr>
      <w:ind w:left="720"/>
      <w:contextualSpacing/>
    </w:pPr>
  </w:style>
  <w:style w:type="character" w:styleId="IntenseEmphasis">
    <w:name w:val="Intense Emphasis"/>
    <w:basedOn w:val="DefaultParagraphFont"/>
    <w:uiPriority w:val="21"/>
    <w:qFormat/>
    <w:rsid w:val="00993352"/>
    <w:rPr>
      <w:i/>
      <w:iCs/>
      <w:color w:val="2F5496" w:themeColor="accent1" w:themeShade="BF"/>
    </w:rPr>
  </w:style>
  <w:style w:type="paragraph" w:styleId="IntenseQuote">
    <w:name w:val="Intense Quote"/>
    <w:basedOn w:val="Normal"/>
    <w:next w:val="Normal"/>
    <w:link w:val="IntenseQuoteChar"/>
    <w:uiPriority w:val="30"/>
    <w:qFormat/>
    <w:rsid w:val="009933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3352"/>
    <w:rPr>
      <w:i/>
      <w:iCs/>
      <w:color w:val="2F5496" w:themeColor="accent1" w:themeShade="BF"/>
    </w:rPr>
  </w:style>
  <w:style w:type="character" w:styleId="IntenseReference">
    <w:name w:val="Intense Reference"/>
    <w:basedOn w:val="DefaultParagraphFont"/>
    <w:uiPriority w:val="32"/>
    <w:qFormat/>
    <w:rsid w:val="0099335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5529</TotalTime>
  <Pages>15</Pages>
  <Words>4627</Words>
  <Characters>26376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2025-07-28T16:01:00Z</dcterms:created>
  <dcterms:modified xsi:type="dcterms:W3CDTF">2025-08-01T14:43:00Z</dcterms:modified>
</cp:coreProperties>
</file>