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096F0" w14:textId="77777777" w:rsidR="0026103A" w:rsidRPr="00DA2E13" w:rsidRDefault="0026103A" w:rsidP="0026103A">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435B6116" w14:textId="77777777" w:rsidR="0026103A" w:rsidRPr="00DA2E13" w:rsidRDefault="0026103A" w:rsidP="0026103A">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68B60FB3" w14:textId="6F851715" w:rsidR="00866A37" w:rsidRP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 xml:space="preserve">In the modern banking industry, risk management has emerged as a cornerstone of financial performance and institutional sustainability. For commercial banks such as Guaranty Trust Bank (GT Bank), effectively identifying, assessing, and mitigating financial risks is no longer a peripheral function but a strategic imperative. With the volatile nature of global markets, regulatory reforms, and dynamic customer </w:t>
      </w:r>
      <w:proofErr w:type="spellStart"/>
      <w:r w:rsidRPr="00866A37">
        <w:rPr>
          <w:rFonts w:ascii="Times New Roman" w:hAnsi="Times New Roman" w:cs="Times New Roman"/>
          <w:sz w:val="24"/>
          <w:szCs w:val="24"/>
        </w:rPr>
        <w:t>behaviors</w:t>
      </w:r>
      <w:proofErr w:type="spellEnd"/>
      <w:r w:rsidRPr="00866A37">
        <w:rPr>
          <w:rFonts w:ascii="Times New Roman" w:hAnsi="Times New Roman" w:cs="Times New Roman"/>
          <w:sz w:val="24"/>
          <w:szCs w:val="24"/>
        </w:rPr>
        <w:t>, the ability to manage risk efficiently determines not only the stability of operations but also the profitability and competitive advantage of the bank. This study focuses on the critical relationship between risk management practices and the profitability of GT Bank, one of Nigeria's leading financial institutions known for its innovative banking solutions and robust financial performance.</w:t>
      </w:r>
    </w:p>
    <w:p w14:paraId="2B853CCA" w14:textId="181A9B2D" w:rsidR="00866A37" w:rsidRP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Profitability is a key metric for evaluating the success of any business enterprise, and for banks, it is significantly influenced by their approach to credit risk, market risk, operational risk, and liquidity risk. Poor risk management can lead to loan defaults, operational losses, and reputational damage, all of which can severely impact profitability. Conversely, effective risk controls enhance decision-making, safeguard assets, and optimize returns. GT Bank, operating within Nigeria’s evolving financial environment, is exposed to various internal and external risks that require strategic management to sustain profitability.</w:t>
      </w:r>
    </w:p>
    <w:p w14:paraId="3179E767" w14:textId="75170503" w:rsidR="00866A37" w:rsidRP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 xml:space="preserve">This study aims to explore how GT Bank’s risk management framework influences its profitability by </w:t>
      </w:r>
      <w:proofErr w:type="spellStart"/>
      <w:r w:rsidRPr="00866A37">
        <w:rPr>
          <w:rFonts w:ascii="Times New Roman" w:hAnsi="Times New Roman" w:cs="Times New Roman"/>
          <w:sz w:val="24"/>
          <w:szCs w:val="24"/>
        </w:rPr>
        <w:t>analyzing</w:t>
      </w:r>
      <w:proofErr w:type="spellEnd"/>
      <w:r w:rsidRPr="00866A37">
        <w:rPr>
          <w:rFonts w:ascii="Times New Roman" w:hAnsi="Times New Roman" w:cs="Times New Roman"/>
          <w:sz w:val="24"/>
          <w:szCs w:val="24"/>
        </w:rPr>
        <w:t xml:space="preserve"> both qualitative and quantitative indicators. It investigates whether proactive risk identification, rigorous compliance practices, and the use of modern risk analytics tools correlate with the bank’s financial performance over a defined period. Furthermore, the study assesses the alignment between the bank’s risk appetite and its financial goals, considering how macroeconomic factors and regulatory pressures affect this balance.</w:t>
      </w:r>
    </w:p>
    <w:p w14:paraId="2CAF21FA" w14:textId="501E81C8" w:rsidR="00866A37" w:rsidRP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By narrowing the focus to GT Bank, the research provides a case-specific insight into how one of Africa’s most prominent banks integrates risk governance into its profitability strategy. The study draws on data from financial reports, risk disclosures, and industry benchmarks to evaluate how risk control mechanisms like credit screening, asset-liability management, and internal audits have affected return on assets (ROA), return on equity (ROE), and net interest margins.</w:t>
      </w:r>
    </w:p>
    <w:p w14:paraId="55B73934" w14:textId="0097AAE3" w:rsidR="00866A37" w:rsidRP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 xml:space="preserve">This research is significant as it contributes to the ongoing discourse on the strategic value of risk management in banking, especially in developing economies where market </w:t>
      </w:r>
      <w:r w:rsidRPr="00866A37">
        <w:rPr>
          <w:rFonts w:ascii="Times New Roman" w:hAnsi="Times New Roman" w:cs="Times New Roman"/>
          <w:sz w:val="24"/>
          <w:szCs w:val="24"/>
        </w:rPr>
        <w:lastRenderedPageBreak/>
        <w:t>volatility, regulatory uncertainty, and socio-economic instability pose considerable challenges. It provides a framework for stakeholders—including bank managers, investors, and regulators—to understand the financial implications of risk control mechanisms. Additionally, the findings may serve as a benchmark for other banks in Nigeria and across Africa seeking to strengthen their risk management frameworks in order to boost profitability.</w:t>
      </w:r>
    </w:p>
    <w:p w14:paraId="711A615F" w14:textId="1E98DEEB" w:rsid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In conclusion, this study seeks to establish a clear linkage between risk management and profitability, demonstrating that an institution like GT Bank can achieve sustainable financial performance not merely by pursuing aggressive lending or market expansion strategies, but through sound risk governance, prudent oversight, and resilience-focused policies. Ultimately, understanding this linkage is essential for ensuring that profitability is not only achieved but maintained in a financially turbulent and competitive environment.</w:t>
      </w:r>
    </w:p>
    <w:p w14:paraId="1F00C6B1" w14:textId="51D3A167" w:rsidR="00866A37" w:rsidRDefault="00866A37" w:rsidP="00866A37">
      <w:pPr>
        <w:spacing w:line="360" w:lineRule="auto"/>
        <w:jc w:val="both"/>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sidRPr="00866A37">
        <w:t xml:space="preserve"> </w:t>
      </w:r>
      <w:r w:rsidRPr="00866A37">
        <w:rPr>
          <w:rFonts w:ascii="Times New Roman" w:hAnsi="Times New Roman" w:cs="Times New Roman"/>
          <w:b/>
          <w:sz w:val="24"/>
          <w:szCs w:val="24"/>
        </w:rPr>
        <w:t xml:space="preserve">the impact of risk management on profitability of </w:t>
      </w:r>
      <w:proofErr w:type="spellStart"/>
      <w:r w:rsidRPr="00866A37">
        <w:rPr>
          <w:rFonts w:ascii="Times New Roman" w:hAnsi="Times New Roman" w:cs="Times New Roman"/>
          <w:b/>
          <w:sz w:val="24"/>
          <w:szCs w:val="24"/>
        </w:rPr>
        <w:t>gt</w:t>
      </w:r>
      <w:proofErr w:type="spellEnd"/>
      <w:r w:rsidRPr="00866A37">
        <w:rPr>
          <w:rFonts w:ascii="Times New Roman" w:hAnsi="Times New Roman" w:cs="Times New Roman"/>
          <w:b/>
          <w:sz w:val="24"/>
          <w:szCs w:val="24"/>
        </w:rPr>
        <w:t xml:space="preserve"> bank</w:t>
      </w:r>
      <w:r>
        <w:rPr>
          <w:rFonts w:ascii="Times New Roman" w:hAnsi="Times New Roman" w:cs="Times New Roman"/>
          <w:b/>
          <w:sz w:val="24"/>
          <w:szCs w:val="24"/>
        </w:rPr>
        <w:t>?</w:t>
      </w:r>
    </w:p>
    <w:p w14:paraId="36122C7D" w14:textId="77777777" w:rsidR="00866A37" w:rsidRPr="00866A37" w:rsidRDefault="00866A37" w:rsidP="00866A37">
      <w:pPr>
        <w:pStyle w:val="ListParagraph"/>
        <w:numPr>
          <w:ilvl w:val="0"/>
          <w:numId w:val="1"/>
        </w:numPr>
        <w:spacing w:line="360" w:lineRule="auto"/>
        <w:jc w:val="both"/>
        <w:rPr>
          <w:rFonts w:ascii="Times New Roman" w:hAnsi="Times New Roman" w:cs="Times New Roman"/>
          <w:sz w:val="24"/>
          <w:szCs w:val="24"/>
        </w:rPr>
      </w:pPr>
      <w:r w:rsidRPr="00866A37">
        <w:rPr>
          <w:rFonts w:ascii="Times New Roman" w:hAnsi="Times New Roman" w:cs="Times New Roman"/>
          <w:sz w:val="24"/>
          <w:szCs w:val="24"/>
        </w:rPr>
        <w:t>This study will help GT Bank and other financial institutions understand the direct connection between risk management practices and profitability. It highlights how managing risk proactively can lead to better financial outcomes and long-term stability.</w:t>
      </w:r>
    </w:p>
    <w:p w14:paraId="72417586" w14:textId="77777777" w:rsidR="00866A37" w:rsidRPr="00866A37" w:rsidRDefault="00866A37" w:rsidP="00866A37">
      <w:pPr>
        <w:pStyle w:val="ListParagraph"/>
        <w:numPr>
          <w:ilvl w:val="0"/>
          <w:numId w:val="1"/>
        </w:numPr>
        <w:spacing w:line="360" w:lineRule="auto"/>
        <w:jc w:val="both"/>
        <w:rPr>
          <w:rFonts w:ascii="Times New Roman" w:hAnsi="Times New Roman" w:cs="Times New Roman"/>
          <w:sz w:val="24"/>
          <w:szCs w:val="24"/>
        </w:rPr>
      </w:pPr>
      <w:r w:rsidRPr="00866A37">
        <w:rPr>
          <w:rFonts w:ascii="Times New Roman" w:hAnsi="Times New Roman" w:cs="Times New Roman"/>
          <w:sz w:val="24"/>
          <w:szCs w:val="24"/>
        </w:rPr>
        <w:t>It provides valuable insights for bank managers to design and implement effective risk control systems. With better strategies in place, they can reduce loan defaults, operational losses, and financial misstatements.</w:t>
      </w:r>
    </w:p>
    <w:p w14:paraId="544685C6" w14:textId="77777777" w:rsidR="00866A37" w:rsidRPr="00866A37" w:rsidRDefault="00866A37" w:rsidP="00866A37">
      <w:pPr>
        <w:pStyle w:val="ListParagraph"/>
        <w:numPr>
          <w:ilvl w:val="0"/>
          <w:numId w:val="1"/>
        </w:numPr>
        <w:spacing w:line="360" w:lineRule="auto"/>
        <w:jc w:val="both"/>
        <w:rPr>
          <w:rFonts w:ascii="Times New Roman" w:hAnsi="Times New Roman" w:cs="Times New Roman"/>
          <w:sz w:val="24"/>
          <w:szCs w:val="24"/>
        </w:rPr>
      </w:pPr>
      <w:r w:rsidRPr="00866A37">
        <w:rPr>
          <w:rFonts w:ascii="Times New Roman" w:hAnsi="Times New Roman" w:cs="Times New Roman"/>
          <w:sz w:val="24"/>
          <w:szCs w:val="24"/>
        </w:rPr>
        <w:t>The findings of this research will guide policy-makers and regulators in evaluating the effectiveness of risk management regulations. It will also support them in framing policies that promote financial health in the banking sector.</w:t>
      </w:r>
    </w:p>
    <w:p w14:paraId="3086CC94" w14:textId="77777777" w:rsidR="00866A37" w:rsidRPr="00866A37" w:rsidRDefault="00866A37" w:rsidP="00866A37">
      <w:pPr>
        <w:pStyle w:val="ListParagraph"/>
        <w:numPr>
          <w:ilvl w:val="0"/>
          <w:numId w:val="1"/>
        </w:numPr>
        <w:spacing w:line="360" w:lineRule="auto"/>
        <w:jc w:val="both"/>
        <w:rPr>
          <w:rFonts w:ascii="Times New Roman" w:hAnsi="Times New Roman" w:cs="Times New Roman"/>
          <w:sz w:val="24"/>
          <w:szCs w:val="24"/>
        </w:rPr>
      </w:pPr>
      <w:r w:rsidRPr="00866A37">
        <w:rPr>
          <w:rFonts w:ascii="Times New Roman" w:hAnsi="Times New Roman" w:cs="Times New Roman"/>
          <w:sz w:val="24"/>
          <w:szCs w:val="24"/>
        </w:rPr>
        <w:t>Investors and shareholders will benefit by gaining a deeper understanding of how GT Bank manages risks. This can help build trust and inform investment decisions based on the bank’s risk-return profile.</w:t>
      </w:r>
    </w:p>
    <w:p w14:paraId="3E6326D4" w14:textId="77777777" w:rsidR="00866A37" w:rsidRPr="00866A37" w:rsidRDefault="00866A37" w:rsidP="00866A37">
      <w:pPr>
        <w:pStyle w:val="ListParagraph"/>
        <w:numPr>
          <w:ilvl w:val="0"/>
          <w:numId w:val="1"/>
        </w:numPr>
        <w:spacing w:line="360" w:lineRule="auto"/>
        <w:jc w:val="both"/>
        <w:rPr>
          <w:rFonts w:ascii="Times New Roman" w:hAnsi="Times New Roman" w:cs="Times New Roman"/>
          <w:sz w:val="24"/>
          <w:szCs w:val="24"/>
        </w:rPr>
      </w:pPr>
      <w:r w:rsidRPr="00866A37">
        <w:rPr>
          <w:rFonts w:ascii="Times New Roman" w:hAnsi="Times New Roman" w:cs="Times New Roman"/>
          <w:sz w:val="24"/>
          <w:szCs w:val="24"/>
        </w:rPr>
        <w:t>The study contributes to academic knowledge by bridging the gap between theory and practical risk management in Nigerian banking. It can serve as a reference for future research in banking, finance, and risk governance.</w:t>
      </w:r>
    </w:p>
    <w:p w14:paraId="7CD55D6B" w14:textId="77777777" w:rsidR="00866A37" w:rsidRPr="00866A37" w:rsidRDefault="00866A37" w:rsidP="00866A37">
      <w:pPr>
        <w:pStyle w:val="ListParagraph"/>
        <w:numPr>
          <w:ilvl w:val="0"/>
          <w:numId w:val="1"/>
        </w:numPr>
        <w:spacing w:line="360" w:lineRule="auto"/>
        <w:jc w:val="both"/>
        <w:rPr>
          <w:rFonts w:ascii="Times New Roman" w:hAnsi="Times New Roman" w:cs="Times New Roman"/>
          <w:sz w:val="24"/>
          <w:szCs w:val="24"/>
        </w:rPr>
      </w:pPr>
      <w:r w:rsidRPr="00866A37">
        <w:rPr>
          <w:rFonts w:ascii="Times New Roman" w:hAnsi="Times New Roman" w:cs="Times New Roman"/>
          <w:sz w:val="24"/>
          <w:szCs w:val="24"/>
        </w:rPr>
        <w:t>It promotes transparency and accountability within the financial sector by showing how risk strategies affect performance. This can influence banks to adopt more responsible and compliant risk management practices.</w:t>
      </w:r>
    </w:p>
    <w:p w14:paraId="206DB9E0" w14:textId="77777777" w:rsidR="00866A37" w:rsidRPr="00866A37" w:rsidRDefault="00866A37" w:rsidP="00866A37">
      <w:pPr>
        <w:pStyle w:val="ListParagraph"/>
        <w:numPr>
          <w:ilvl w:val="0"/>
          <w:numId w:val="1"/>
        </w:numPr>
        <w:spacing w:line="360" w:lineRule="auto"/>
        <w:jc w:val="both"/>
        <w:rPr>
          <w:rFonts w:ascii="Times New Roman" w:hAnsi="Times New Roman" w:cs="Times New Roman"/>
          <w:sz w:val="24"/>
          <w:szCs w:val="24"/>
        </w:rPr>
      </w:pPr>
      <w:r w:rsidRPr="00866A37">
        <w:rPr>
          <w:rFonts w:ascii="Times New Roman" w:hAnsi="Times New Roman" w:cs="Times New Roman"/>
          <w:sz w:val="24"/>
          <w:szCs w:val="24"/>
        </w:rPr>
        <w:lastRenderedPageBreak/>
        <w:t>By focusing on a leading bank like GT Bank, the study offers a model that smaller banks can emulate. It provides a benchmark for setting up risk management frameworks that align with profitability goals.</w:t>
      </w:r>
    </w:p>
    <w:p w14:paraId="2C807E59" w14:textId="77777777" w:rsidR="00866A37" w:rsidRPr="00866A37" w:rsidRDefault="00866A37" w:rsidP="00866A37">
      <w:pPr>
        <w:pStyle w:val="ListParagraph"/>
        <w:numPr>
          <w:ilvl w:val="0"/>
          <w:numId w:val="1"/>
        </w:numPr>
        <w:spacing w:line="360" w:lineRule="auto"/>
        <w:jc w:val="both"/>
        <w:rPr>
          <w:rFonts w:ascii="Times New Roman" w:hAnsi="Times New Roman" w:cs="Times New Roman"/>
          <w:sz w:val="24"/>
          <w:szCs w:val="24"/>
        </w:rPr>
      </w:pPr>
      <w:r w:rsidRPr="00866A37">
        <w:rPr>
          <w:rFonts w:ascii="Times New Roman" w:hAnsi="Times New Roman" w:cs="Times New Roman"/>
          <w:sz w:val="24"/>
          <w:szCs w:val="24"/>
        </w:rPr>
        <w:t>The research encourages banks to use data-driven approaches in evaluating risk. It shows the importance of leveraging analytics to predict and control potential threats to income and growth.</w:t>
      </w:r>
    </w:p>
    <w:p w14:paraId="4A09C1EB" w14:textId="4D7187FE" w:rsidR="00866A37" w:rsidRDefault="00866A37" w:rsidP="00866A37">
      <w:pPr>
        <w:spacing w:line="360" w:lineRule="auto"/>
        <w:jc w:val="both"/>
        <w:rPr>
          <w:rFonts w:ascii="Times New Roman" w:hAnsi="Times New Roman" w:cs="Times New Roman"/>
          <w:b/>
          <w:sz w:val="24"/>
          <w:szCs w:val="24"/>
        </w:rPr>
      </w:pPr>
      <w:r w:rsidRPr="00866A37">
        <w:rPr>
          <w:rFonts w:ascii="Times New Roman" w:hAnsi="Times New Roman" w:cs="Times New Roman"/>
          <w:b/>
          <w:sz w:val="24"/>
          <w:szCs w:val="24"/>
        </w:rPr>
        <w:t xml:space="preserve">The impact of risk management on profitability of </w:t>
      </w:r>
      <w:proofErr w:type="spellStart"/>
      <w:r w:rsidRPr="00866A37">
        <w:rPr>
          <w:rFonts w:ascii="Times New Roman" w:hAnsi="Times New Roman" w:cs="Times New Roman"/>
          <w:b/>
          <w:sz w:val="24"/>
          <w:szCs w:val="24"/>
        </w:rPr>
        <w:t>gt</w:t>
      </w:r>
      <w:proofErr w:type="spellEnd"/>
      <w:r w:rsidRPr="00866A37">
        <w:rPr>
          <w:rFonts w:ascii="Times New Roman" w:hAnsi="Times New Roman" w:cs="Times New Roman"/>
          <w:b/>
          <w:sz w:val="24"/>
          <w:szCs w:val="24"/>
        </w:rPr>
        <w:t xml:space="preserve"> bank </w:t>
      </w:r>
      <w:r w:rsidRPr="00866A37">
        <w:rPr>
          <w:rFonts w:ascii="Times New Roman" w:hAnsi="Times New Roman" w:cs="Times New Roman"/>
          <w:b/>
          <w:sz w:val="24"/>
          <w:szCs w:val="24"/>
        </w:rPr>
        <w:t>advantages</w:t>
      </w:r>
    </w:p>
    <w:p w14:paraId="2C53ADA3" w14:textId="77777777" w:rsidR="00866A37" w:rsidRPr="00866A37" w:rsidRDefault="00866A37" w:rsidP="00866A37">
      <w:pPr>
        <w:pStyle w:val="ListParagraph"/>
        <w:numPr>
          <w:ilvl w:val="0"/>
          <w:numId w:val="2"/>
        </w:numPr>
        <w:spacing w:line="360" w:lineRule="auto"/>
        <w:jc w:val="both"/>
        <w:rPr>
          <w:rFonts w:ascii="Times New Roman" w:hAnsi="Times New Roman" w:cs="Times New Roman"/>
          <w:bCs/>
          <w:sz w:val="24"/>
          <w:szCs w:val="24"/>
        </w:rPr>
      </w:pPr>
      <w:r w:rsidRPr="00866A37">
        <w:rPr>
          <w:rFonts w:ascii="Times New Roman" w:hAnsi="Times New Roman" w:cs="Times New Roman"/>
          <w:bCs/>
          <w:sz w:val="24"/>
          <w:szCs w:val="24"/>
        </w:rPr>
        <w:t xml:space="preserve">This study provides a clear understanding of how effective risk management contributes to the financial success of GT Bank. It shows the importance of balancing risk and </w:t>
      </w:r>
      <w:proofErr w:type="gramStart"/>
      <w:r w:rsidRPr="00866A37">
        <w:rPr>
          <w:rFonts w:ascii="Times New Roman" w:hAnsi="Times New Roman" w:cs="Times New Roman"/>
          <w:bCs/>
          <w:sz w:val="24"/>
          <w:szCs w:val="24"/>
        </w:rPr>
        <w:t>return</w:t>
      </w:r>
      <w:proofErr w:type="gramEnd"/>
      <w:r w:rsidRPr="00866A37">
        <w:rPr>
          <w:rFonts w:ascii="Times New Roman" w:hAnsi="Times New Roman" w:cs="Times New Roman"/>
          <w:bCs/>
          <w:sz w:val="24"/>
          <w:szCs w:val="24"/>
        </w:rPr>
        <w:t xml:space="preserve"> for long-term profitability.</w:t>
      </w:r>
    </w:p>
    <w:p w14:paraId="21390934" w14:textId="77777777" w:rsidR="00866A37" w:rsidRPr="00866A37" w:rsidRDefault="00866A37" w:rsidP="00866A37">
      <w:pPr>
        <w:pStyle w:val="ListParagraph"/>
        <w:numPr>
          <w:ilvl w:val="0"/>
          <w:numId w:val="2"/>
        </w:numPr>
        <w:spacing w:line="360" w:lineRule="auto"/>
        <w:jc w:val="both"/>
        <w:rPr>
          <w:rFonts w:ascii="Times New Roman" w:hAnsi="Times New Roman" w:cs="Times New Roman"/>
          <w:bCs/>
          <w:sz w:val="24"/>
          <w:szCs w:val="24"/>
        </w:rPr>
      </w:pPr>
      <w:r w:rsidRPr="00866A37">
        <w:rPr>
          <w:rFonts w:ascii="Times New Roman" w:hAnsi="Times New Roman" w:cs="Times New Roman"/>
          <w:bCs/>
          <w:sz w:val="24"/>
          <w:szCs w:val="24"/>
        </w:rPr>
        <w:t>It helps in identifying weak areas in the bank’s risk management framework. Addressing these gaps can improve overall efficiency and reduce financial losses.</w:t>
      </w:r>
    </w:p>
    <w:p w14:paraId="2422D234" w14:textId="77777777" w:rsidR="00866A37" w:rsidRPr="00866A37" w:rsidRDefault="00866A37" w:rsidP="00866A37">
      <w:pPr>
        <w:pStyle w:val="ListParagraph"/>
        <w:numPr>
          <w:ilvl w:val="0"/>
          <w:numId w:val="2"/>
        </w:numPr>
        <w:spacing w:line="360" w:lineRule="auto"/>
        <w:jc w:val="both"/>
        <w:rPr>
          <w:rFonts w:ascii="Times New Roman" w:hAnsi="Times New Roman" w:cs="Times New Roman"/>
          <w:bCs/>
          <w:sz w:val="24"/>
          <w:szCs w:val="24"/>
        </w:rPr>
      </w:pPr>
      <w:r w:rsidRPr="00866A37">
        <w:rPr>
          <w:rFonts w:ascii="Times New Roman" w:hAnsi="Times New Roman" w:cs="Times New Roman"/>
          <w:bCs/>
          <w:sz w:val="24"/>
          <w:szCs w:val="24"/>
        </w:rPr>
        <w:t>The research supports strategic planning by linking risk practices to financial performance. This enables GT Bank to make better-informed decisions based on risk exposure.</w:t>
      </w:r>
    </w:p>
    <w:p w14:paraId="66E6E536" w14:textId="77777777" w:rsidR="00866A37" w:rsidRPr="00866A37" w:rsidRDefault="00866A37" w:rsidP="00866A37">
      <w:pPr>
        <w:pStyle w:val="ListParagraph"/>
        <w:numPr>
          <w:ilvl w:val="0"/>
          <w:numId w:val="2"/>
        </w:numPr>
        <w:spacing w:line="360" w:lineRule="auto"/>
        <w:jc w:val="both"/>
        <w:rPr>
          <w:rFonts w:ascii="Times New Roman" w:hAnsi="Times New Roman" w:cs="Times New Roman"/>
          <w:bCs/>
          <w:sz w:val="24"/>
          <w:szCs w:val="24"/>
        </w:rPr>
      </w:pPr>
      <w:r w:rsidRPr="00866A37">
        <w:rPr>
          <w:rFonts w:ascii="Times New Roman" w:hAnsi="Times New Roman" w:cs="Times New Roman"/>
          <w:bCs/>
          <w:sz w:val="24"/>
          <w:szCs w:val="24"/>
        </w:rPr>
        <w:t>It offers a practical reference for other banks aiming to improve profitability through sound risk governance. The study acts as a guide to adopting similar strategies successfully.</w:t>
      </w:r>
    </w:p>
    <w:p w14:paraId="42F43E08" w14:textId="77777777" w:rsidR="00866A37" w:rsidRPr="00866A37" w:rsidRDefault="00866A37" w:rsidP="00866A37">
      <w:pPr>
        <w:pStyle w:val="ListParagraph"/>
        <w:numPr>
          <w:ilvl w:val="0"/>
          <w:numId w:val="2"/>
        </w:numPr>
        <w:spacing w:line="360" w:lineRule="auto"/>
        <w:jc w:val="both"/>
        <w:rPr>
          <w:rFonts w:ascii="Times New Roman" w:hAnsi="Times New Roman" w:cs="Times New Roman"/>
          <w:bCs/>
          <w:sz w:val="24"/>
          <w:szCs w:val="24"/>
        </w:rPr>
      </w:pPr>
      <w:r w:rsidRPr="00866A37">
        <w:rPr>
          <w:rFonts w:ascii="Times New Roman" w:hAnsi="Times New Roman" w:cs="Times New Roman"/>
          <w:bCs/>
          <w:sz w:val="24"/>
          <w:szCs w:val="24"/>
        </w:rPr>
        <w:t>This study can assist in enhancing compliance with regulatory standards. It shows how aligning with risk-related policies can protect the bank from legal and financial penalties.</w:t>
      </w:r>
    </w:p>
    <w:p w14:paraId="2EFC8496" w14:textId="77777777" w:rsidR="00866A37" w:rsidRPr="00866A37" w:rsidRDefault="00866A37" w:rsidP="00866A37">
      <w:pPr>
        <w:pStyle w:val="ListParagraph"/>
        <w:numPr>
          <w:ilvl w:val="0"/>
          <w:numId w:val="2"/>
        </w:numPr>
        <w:spacing w:line="360" w:lineRule="auto"/>
        <w:jc w:val="both"/>
        <w:rPr>
          <w:rFonts w:ascii="Times New Roman" w:hAnsi="Times New Roman" w:cs="Times New Roman"/>
          <w:bCs/>
          <w:sz w:val="24"/>
          <w:szCs w:val="24"/>
        </w:rPr>
      </w:pPr>
      <w:r w:rsidRPr="00866A37">
        <w:rPr>
          <w:rFonts w:ascii="Times New Roman" w:hAnsi="Times New Roman" w:cs="Times New Roman"/>
          <w:bCs/>
          <w:sz w:val="24"/>
          <w:szCs w:val="24"/>
        </w:rPr>
        <w:t>It promotes better resource allocation by showing which areas of risk management yield the highest financial impact. This allows for smarter investment in risk control measures.</w:t>
      </w:r>
    </w:p>
    <w:p w14:paraId="28773381" w14:textId="77777777" w:rsidR="00866A37" w:rsidRPr="00866A37" w:rsidRDefault="00866A37" w:rsidP="00866A37">
      <w:pPr>
        <w:pStyle w:val="ListParagraph"/>
        <w:numPr>
          <w:ilvl w:val="0"/>
          <w:numId w:val="2"/>
        </w:numPr>
        <w:spacing w:line="360" w:lineRule="auto"/>
        <w:jc w:val="both"/>
        <w:rPr>
          <w:rFonts w:ascii="Times New Roman" w:hAnsi="Times New Roman" w:cs="Times New Roman"/>
          <w:bCs/>
          <w:sz w:val="24"/>
          <w:szCs w:val="24"/>
        </w:rPr>
      </w:pPr>
      <w:r w:rsidRPr="00866A37">
        <w:rPr>
          <w:rFonts w:ascii="Times New Roman" w:hAnsi="Times New Roman" w:cs="Times New Roman"/>
          <w:bCs/>
          <w:sz w:val="24"/>
          <w:szCs w:val="24"/>
        </w:rPr>
        <w:t>The research enhances staff awareness and training needs in risk-sensitive roles. By understanding the impact of their actions on profitability, employees can operate more cautiously.</w:t>
      </w:r>
    </w:p>
    <w:p w14:paraId="7FFF9A80" w14:textId="77777777" w:rsidR="00866A37" w:rsidRPr="00866A37" w:rsidRDefault="00866A37" w:rsidP="00866A37">
      <w:pPr>
        <w:pStyle w:val="ListParagraph"/>
        <w:numPr>
          <w:ilvl w:val="0"/>
          <w:numId w:val="2"/>
        </w:numPr>
        <w:spacing w:line="360" w:lineRule="auto"/>
        <w:jc w:val="both"/>
        <w:rPr>
          <w:rFonts w:ascii="Times New Roman" w:hAnsi="Times New Roman" w:cs="Times New Roman"/>
          <w:bCs/>
          <w:sz w:val="24"/>
          <w:szCs w:val="24"/>
        </w:rPr>
      </w:pPr>
      <w:r w:rsidRPr="00866A37">
        <w:rPr>
          <w:rFonts w:ascii="Times New Roman" w:hAnsi="Times New Roman" w:cs="Times New Roman"/>
          <w:bCs/>
          <w:sz w:val="24"/>
          <w:szCs w:val="24"/>
        </w:rPr>
        <w:t>It contributes to GT Bank’s corporate image as a well-governed, financially disciplined institution. This can attract investors, clients, and partners who value stability and performance.</w:t>
      </w:r>
    </w:p>
    <w:p w14:paraId="0BD71B03" w14:textId="77777777" w:rsidR="00866A37" w:rsidRPr="00866A37" w:rsidRDefault="00866A37" w:rsidP="00866A37">
      <w:pPr>
        <w:pStyle w:val="ListParagraph"/>
        <w:numPr>
          <w:ilvl w:val="0"/>
          <w:numId w:val="2"/>
        </w:numPr>
        <w:spacing w:line="360" w:lineRule="auto"/>
        <w:jc w:val="both"/>
        <w:rPr>
          <w:rFonts w:ascii="Times New Roman" w:hAnsi="Times New Roman" w:cs="Times New Roman"/>
          <w:bCs/>
          <w:sz w:val="24"/>
          <w:szCs w:val="24"/>
        </w:rPr>
      </w:pPr>
      <w:r w:rsidRPr="00866A37">
        <w:rPr>
          <w:rFonts w:ascii="Times New Roman" w:hAnsi="Times New Roman" w:cs="Times New Roman"/>
          <w:bCs/>
          <w:sz w:val="24"/>
          <w:szCs w:val="24"/>
        </w:rPr>
        <w:t>The study encourages innovation in risk management techniques. It highlights the importance of adapting to changing risk environments with modern tools and data analytics.</w:t>
      </w:r>
    </w:p>
    <w:p w14:paraId="5633F4F7" w14:textId="77777777" w:rsidR="00866A37" w:rsidRPr="00866A37" w:rsidRDefault="00866A37" w:rsidP="00866A37">
      <w:pPr>
        <w:pStyle w:val="ListParagraph"/>
        <w:numPr>
          <w:ilvl w:val="0"/>
          <w:numId w:val="2"/>
        </w:numPr>
        <w:spacing w:line="360" w:lineRule="auto"/>
        <w:jc w:val="both"/>
        <w:rPr>
          <w:rFonts w:ascii="Times New Roman" w:hAnsi="Times New Roman" w:cs="Times New Roman"/>
          <w:bCs/>
          <w:sz w:val="24"/>
          <w:szCs w:val="24"/>
        </w:rPr>
      </w:pPr>
      <w:r w:rsidRPr="00866A37">
        <w:rPr>
          <w:rFonts w:ascii="Times New Roman" w:hAnsi="Times New Roman" w:cs="Times New Roman"/>
          <w:bCs/>
          <w:sz w:val="24"/>
          <w:szCs w:val="24"/>
        </w:rPr>
        <w:t>Finally, it adds value to academic literature and business research. Scholars and students can benefit from real-world insights into the link between risk control and profitability in African banking.</w:t>
      </w:r>
    </w:p>
    <w:p w14:paraId="2CFE0163" w14:textId="77777777" w:rsidR="00866A37" w:rsidRDefault="00866A37" w:rsidP="00866A37">
      <w:pPr>
        <w:spacing w:line="360" w:lineRule="auto"/>
        <w:jc w:val="both"/>
        <w:rPr>
          <w:rFonts w:ascii="Times New Roman" w:hAnsi="Times New Roman" w:cs="Times New Roman"/>
          <w:b/>
          <w:sz w:val="24"/>
          <w:szCs w:val="24"/>
        </w:rPr>
      </w:pPr>
    </w:p>
    <w:p w14:paraId="417EBEFF" w14:textId="77777777" w:rsidR="00866A37" w:rsidRDefault="00866A37" w:rsidP="00866A37">
      <w:pPr>
        <w:spacing w:line="360" w:lineRule="auto"/>
        <w:jc w:val="both"/>
        <w:rPr>
          <w:rFonts w:ascii="Times New Roman" w:hAnsi="Times New Roman" w:cs="Times New Roman"/>
          <w:b/>
          <w:sz w:val="24"/>
          <w:szCs w:val="24"/>
        </w:rPr>
      </w:pPr>
      <w:r w:rsidRPr="00E63095">
        <w:rPr>
          <w:rFonts w:ascii="Times New Roman" w:hAnsi="Times New Roman" w:cs="Times New Roman"/>
          <w:b/>
          <w:sz w:val="24"/>
          <w:szCs w:val="24"/>
        </w:rPr>
        <w:lastRenderedPageBreak/>
        <w:t>INDUSTRY PROFILE</w:t>
      </w:r>
    </w:p>
    <w:p w14:paraId="3EDDE534" w14:textId="2BCB94F9" w:rsidR="00866A37" w:rsidRPr="00866A37" w:rsidRDefault="00866A37" w:rsidP="00866A3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66A37">
        <w:rPr>
          <w:rFonts w:ascii="Times New Roman" w:hAnsi="Times New Roman" w:cs="Times New Roman"/>
          <w:bCs/>
          <w:sz w:val="24"/>
          <w:szCs w:val="24"/>
        </w:rPr>
        <w:t>The banking industry plays a vital role in the economic development of any nation by mobilizing funds, providing credit, and facilitating trade and investment. In Nigeria, the banking sector is one of the most dynamic and regulated segments of the economy, contributing significantly to GDP growth, employment generation, and financial inclusion. The industry comprises commercial banks, microfinance institutions, merchant banks, and other financial service providers, with commercial banks like Guaranty Trust Bank (GT Bank) being at the forefront. The sector is regulated by the Central Bank of Nigeria (CBN), which enforces strict compliance standards to ensure financial stability and protect depositors' interests.</w:t>
      </w:r>
    </w:p>
    <w:p w14:paraId="61AEC59E" w14:textId="78E97123" w:rsidR="00866A37" w:rsidRPr="00866A37" w:rsidRDefault="00866A37" w:rsidP="00866A3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66A37">
        <w:rPr>
          <w:rFonts w:ascii="Times New Roman" w:hAnsi="Times New Roman" w:cs="Times New Roman"/>
          <w:bCs/>
          <w:sz w:val="24"/>
          <w:szCs w:val="24"/>
        </w:rPr>
        <w:t>Over the past two decades, the Nigerian banking industry has undergone significant reforms, including recapitalization, consolidation, and the adoption of international financial reporting standards (IFRS). These reforms were primarily aimed at strengthening the financial system, enhancing transparency, and improving risk management practices across the sector. Despite these efforts, Nigerian banks still face challenges such as credit risk, market volatility, liquidity constraints, and regulatory pressures. These risks have the potential to affect profitability, especially in an economy exposed to fluctuations in oil prices, inflation, and foreign exchange rates.</w:t>
      </w:r>
    </w:p>
    <w:p w14:paraId="08E0346A" w14:textId="18605C52" w:rsidR="00866A37" w:rsidRPr="00866A37" w:rsidRDefault="00866A37" w:rsidP="00866A3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66A37">
        <w:rPr>
          <w:rFonts w:ascii="Times New Roman" w:hAnsi="Times New Roman" w:cs="Times New Roman"/>
          <w:bCs/>
          <w:sz w:val="24"/>
          <w:szCs w:val="24"/>
        </w:rPr>
        <w:t>As competition intensifies and customers demand more secure and efficient services, risk management has become a central component of banking strategy. Banks that invest in robust risk management frameworks are better positioned to safeguard their assets, minimize non-performing loans, and maintain sustainable profit margins. The ability to identify, assess, and mitigate risks such as credit risk, operational risk, interest rate risk, and compliance risk is critical to maintaining investor confidence and achieving long-term growth.</w:t>
      </w:r>
    </w:p>
    <w:p w14:paraId="1C477D35" w14:textId="044F6155" w:rsidR="00866A37" w:rsidRPr="00866A37" w:rsidRDefault="00866A37" w:rsidP="00866A3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66A37">
        <w:rPr>
          <w:rFonts w:ascii="Times New Roman" w:hAnsi="Times New Roman" w:cs="Times New Roman"/>
          <w:bCs/>
          <w:sz w:val="24"/>
          <w:szCs w:val="24"/>
        </w:rPr>
        <w:t>GT Bank operates within this competitive and highly regulated landscape. As one of Nigeria’s most respected financial institutions, GT Bank is known for its strong corporate governance, innovative digital platforms, and consistent profitability. However, like other banks, it must navigate a complex risk environment that includes economic instability, evolving regulatory requirements, and technological threats such as cybercrime. Therefore, the bank’s risk management practices directly influence its financial performance and operational resilience.</w:t>
      </w:r>
    </w:p>
    <w:p w14:paraId="2604932E" w14:textId="77777777" w:rsidR="00866A37" w:rsidRPr="00866A37" w:rsidRDefault="00866A37" w:rsidP="00866A37">
      <w:pPr>
        <w:spacing w:line="360" w:lineRule="auto"/>
        <w:jc w:val="both"/>
        <w:rPr>
          <w:rFonts w:ascii="Times New Roman" w:hAnsi="Times New Roman" w:cs="Times New Roman"/>
          <w:b/>
          <w:sz w:val="24"/>
          <w:szCs w:val="24"/>
        </w:rPr>
      </w:pPr>
    </w:p>
    <w:p w14:paraId="146FBEAD" w14:textId="77777777" w:rsidR="00866A37" w:rsidRPr="00643432" w:rsidRDefault="00866A37" w:rsidP="00866A37">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lang w:val="en-US"/>
        </w:rPr>
        <w:lastRenderedPageBreak/>
        <w:t>1.4 STATEMENT OF THE PROBLEM</w:t>
      </w:r>
    </w:p>
    <w:p w14:paraId="7F74876E" w14:textId="46D8FDF4" w:rsidR="00866A37" w:rsidRPr="00866A37" w:rsidRDefault="00866A37" w:rsidP="00866A3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66A37">
        <w:rPr>
          <w:rFonts w:ascii="Times New Roman" w:hAnsi="Times New Roman" w:cs="Times New Roman"/>
          <w:bCs/>
          <w:sz w:val="24"/>
          <w:szCs w:val="24"/>
        </w:rPr>
        <w:t>In today’s increasingly volatile and competitive financial environment, banks are exposed to a variety of risks, including credit risk, operational risk, market risk, and liquidity risk. These risks, if not properly managed, can significantly affect a bank’s financial performance, operational stability, and long-term profitability. In Nigeria, where the banking sector operates in a relatively unpredictable economic climate, the challenge of managing these risks becomes even more critical. Despite the implementation of various risk management frameworks and regulatory policies, many banks continue to struggle with high levels of non-performing loans, financial losses, and declining profit margins.</w:t>
      </w:r>
    </w:p>
    <w:p w14:paraId="02934E5C" w14:textId="77777777" w:rsidR="00866A37" w:rsidRDefault="00866A37" w:rsidP="00866A3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66A37">
        <w:rPr>
          <w:rFonts w:ascii="Times New Roman" w:hAnsi="Times New Roman" w:cs="Times New Roman"/>
          <w:bCs/>
          <w:sz w:val="24"/>
          <w:szCs w:val="24"/>
        </w:rPr>
        <w:t>GT Bank, one of Nigeria's leading financial institutions, has maintained a strong reputation for financial discipline and innovative banking practices. However, the bank is not immune to the impact of risk factors that threaten profitability. Fluctuations in interest rates, currency instability, rising inflation, and exposure to bad debts are just a few of the challenges that can undermine performance. While the bank has established risk control mechanisms, there is limited publicly available research that critically examines how these risk management practices translate into improved profitability.</w:t>
      </w:r>
      <w:bookmarkStart w:id="3" w:name="_Hlk202098728"/>
    </w:p>
    <w:p w14:paraId="1BA1A507" w14:textId="54C41CD7" w:rsidR="00866A37" w:rsidRPr="00866A37" w:rsidRDefault="00866A37" w:rsidP="00866A37">
      <w:pPr>
        <w:spacing w:line="360" w:lineRule="auto"/>
        <w:jc w:val="both"/>
        <w:rPr>
          <w:rFonts w:ascii="Times New Roman" w:hAnsi="Times New Roman" w:cs="Times New Roman"/>
          <w:bCs/>
          <w:sz w:val="24"/>
          <w:szCs w:val="24"/>
        </w:rPr>
      </w:pPr>
      <w:r w:rsidRPr="00AD7255">
        <w:rPr>
          <w:rFonts w:ascii="Times New Roman" w:hAnsi="Times New Roman" w:cs="Times New Roman"/>
          <w:b/>
          <w:bCs/>
          <w:sz w:val="24"/>
          <w:szCs w:val="24"/>
        </w:rPr>
        <w:t>1.5 OBJECTIVES OF THE STUDY</w:t>
      </w:r>
      <w:bookmarkEnd w:id="3"/>
    </w:p>
    <w:p w14:paraId="594362D1" w14:textId="4B8CDB67" w:rsidR="00866A37" w:rsidRPr="00866A37" w:rsidRDefault="00866A37" w:rsidP="00866A37">
      <w:pPr>
        <w:pStyle w:val="ListParagraph"/>
        <w:numPr>
          <w:ilvl w:val="0"/>
          <w:numId w:val="2"/>
        </w:numPr>
        <w:spacing w:line="360" w:lineRule="auto"/>
        <w:jc w:val="both"/>
        <w:rPr>
          <w:rFonts w:ascii="Times New Roman" w:hAnsi="Times New Roman" w:cs="Times New Roman"/>
          <w:sz w:val="24"/>
          <w:szCs w:val="24"/>
        </w:rPr>
      </w:pPr>
      <w:r w:rsidRPr="00866A37">
        <w:rPr>
          <w:rFonts w:ascii="Times New Roman" w:hAnsi="Times New Roman" w:cs="Times New Roman"/>
          <w:sz w:val="24"/>
          <w:szCs w:val="24"/>
        </w:rPr>
        <w:t>To examine the relationship between risk management practices and profitability in GT Bank.</w:t>
      </w:r>
    </w:p>
    <w:p w14:paraId="0932C625" w14:textId="1E94BC5C" w:rsidR="00866A37" w:rsidRPr="00866A37" w:rsidRDefault="00866A37" w:rsidP="00866A37">
      <w:pPr>
        <w:pStyle w:val="ListParagraph"/>
        <w:numPr>
          <w:ilvl w:val="0"/>
          <w:numId w:val="2"/>
        </w:numPr>
        <w:spacing w:line="360" w:lineRule="auto"/>
        <w:jc w:val="both"/>
        <w:rPr>
          <w:rFonts w:ascii="Times New Roman" w:hAnsi="Times New Roman" w:cs="Times New Roman"/>
          <w:sz w:val="24"/>
          <w:szCs w:val="24"/>
        </w:rPr>
      </w:pPr>
      <w:r w:rsidRPr="00866A37">
        <w:rPr>
          <w:rFonts w:ascii="Times New Roman" w:hAnsi="Times New Roman" w:cs="Times New Roman"/>
          <w:sz w:val="24"/>
          <w:szCs w:val="24"/>
        </w:rPr>
        <w:t>To identify the types of risks that most significantly affect GT Bank’s financial performance.</w:t>
      </w:r>
    </w:p>
    <w:p w14:paraId="7BE8213A" w14:textId="580020F0" w:rsidR="00866A37" w:rsidRPr="00866A37" w:rsidRDefault="00866A37" w:rsidP="00866A37">
      <w:pPr>
        <w:pStyle w:val="ListParagraph"/>
        <w:numPr>
          <w:ilvl w:val="0"/>
          <w:numId w:val="2"/>
        </w:numPr>
        <w:spacing w:line="360" w:lineRule="auto"/>
        <w:jc w:val="both"/>
        <w:rPr>
          <w:rFonts w:ascii="Times New Roman" w:hAnsi="Times New Roman" w:cs="Times New Roman"/>
          <w:sz w:val="24"/>
          <w:szCs w:val="24"/>
        </w:rPr>
      </w:pPr>
      <w:r w:rsidRPr="00866A37">
        <w:rPr>
          <w:rFonts w:ascii="Times New Roman" w:hAnsi="Times New Roman" w:cs="Times New Roman"/>
          <w:sz w:val="24"/>
          <w:szCs w:val="24"/>
        </w:rPr>
        <w:t>To assess the effectiveness of GT Bank’s risk management framework in minimizing financial losses.</w:t>
      </w:r>
    </w:p>
    <w:p w14:paraId="134F9939" w14:textId="69775ABB" w:rsidR="00866A37" w:rsidRPr="00866A37" w:rsidRDefault="00866A37" w:rsidP="00866A37">
      <w:pPr>
        <w:pStyle w:val="ListParagraph"/>
        <w:numPr>
          <w:ilvl w:val="0"/>
          <w:numId w:val="2"/>
        </w:numPr>
        <w:spacing w:line="360" w:lineRule="auto"/>
        <w:jc w:val="both"/>
        <w:rPr>
          <w:rFonts w:ascii="Times New Roman" w:hAnsi="Times New Roman" w:cs="Times New Roman"/>
          <w:sz w:val="24"/>
          <w:szCs w:val="24"/>
        </w:rPr>
      </w:pPr>
      <w:r w:rsidRPr="00866A37">
        <w:rPr>
          <w:rFonts w:ascii="Times New Roman" w:hAnsi="Times New Roman" w:cs="Times New Roman"/>
          <w:sz w:val="24"/>
          <w:szCs w:val="24"/>
        </w:rPr>
        <w:t>To evaluate how credit risk management influences GT Bank’s return on assets and equity.</w:t>
      </w:r>
    </w:p>
    <w:p w14:paraId="6FB5C997" w14:textId="4BE4B620" w:rsidR="00866A37" w:rsidRPr="00866A37" w:rsidRDefault="00866A37" w:rsidP="00866A37">
      <w:pPr>
        <w:pStyle w:val="ListParagraph"/>
        <w:numPr>
          <w:ilvl w:val="0"/>
          <w:numId w:val="2"/>
        </w:numPr>
        <w:spacing w:line="360" w:lineRule="auto"/>
        <w:jc w:val="both"/>
        <w:rPr>
          <w:rFonts w:ascii="Times New Roman" w:hAnsi="Times New Roman" w:cs="Times New Roman"/>
          <w:sz w:val="24"/>
          <w:szCs w:val="24"/>
        </w:rPr>
      </w:pPr>
      <w:r w:rsidRPr="00866A37">
        <w:rPr>
          <w:rFonts w:ascii="Times New Roman" w:hAnsi="Times New Roman" w:cs="Times New Roman"/>
          <w:sz w:val="24"/>
          <w:szCs w:val="24"/>
        </w:rPr>
        <w:t xml:space="preserve">To </w:t>
      </w:r>
      <w:proofErr w:type="spellStart"/>
      <w:r w:rsidRPr="00866A37">
        <w:rPr>
          <w:rFonts w:ascii="Times New Roman" w:hAnsi="Times New Roman" w:cs="Times New Roman"/>
          <w:sz w:val="24"/>
          <w:szCs w:val="24"/>
        </w:rPr>
        <w:t>analyze</w:t>
      </w:r>
      <w:proofErr w:type="spellEnd"/>
      <w:r w:rsidRPr="00866A37">
        <w:rPr>
          <w:rFonts w:ascii="Times New Roman" w:hAnsi="Times New Roman" w:cs="Times New Roman"/>
          <w:sz w:val="24"/>
          <w:szCs w:val="24"/>
        </w:rPr>
        <w:t xml:space="preserve"> the role of operational and market risk in the bank’s overall profitability.</w:t>
      </w:r>
    </w:p>
    <w:p w14:paraId="2C03944D" w14:textId="5FC1A672" w:rsidR="00866A37" w:rsidRPr="00866A37" w:rsidRDefault="00866A37" w:rsidP="00866A37">
      <w:pPr>
        <w:pStyle w:val="ListParagraph"/>
        <w:numPr>
          <w:ilvl w:val="0"/>
          <w:numId w:val="2"/>
        </w:numPr>
        <w:spacing w:line="360" w:lineRule="auto"/>
        <w:jc w:val="both"/>
        <w:rPr>
          <w:rFonts w:ascii="Times New Roman" w:hAnsi="Times New Roman" w:cs="Times New Roman"/>
          <w:sz w:val="24"/>
          <w:szCs w:val="24"/>
        </w:rPr>
      </w:pPr>
      <w:r w:rsidRPr="00866A37">
        <w:rPr>
          <w:rFonts w:ascii="Times New Roman" w:hAnsi="Times New Roman" w:cs="Times New Roman"/>
          <w:sz w:val="24"/>
          <w:szCs w:val="24"/>
        </w:rPr>
        <w:t>To determine whether risk management strategies contribute to sustainable growth in GT Bank.</w:t>
      </w:r>
    </w:p>
    <w:p w14:paraId="42620D59" w14:textId="77777777" w:rsidR="00866A37" w:rsidRPr="00866A37" w:rsidRDefault="00866A37" w:rsidP="00866A37">
      <w:pPr>
        <w:spacing w:line="360" w:lineRule="auto"/>
        <w:jc w:val="both"/>
        <w:rPr>
          <w:rFonts w:ascii="Times New Roman" w:hAnsi="Times New Roman" w:cs="Times New Roman"/>
          <w:sz w:val="24"/>
          <w:szCs w:val="24"/>
        </w:rPr>
      </w:pPr>
    </w:p>
    <w:p w14:paraId="27912DB1" w14:textId="77777777" w:rsidR="00E75FD5" w:rsidRDefault="00E75FD5"/>
    <w:p w14:paraId="57F66FF0" w14:textId="77777777" w:rsidR="00866A37" w:rsidRDefault="00866A37"/>
    <w:p w14:paraId="4A25BB9F" w14:textId="77777777" w:rsidR="00866A37" w:rsidRDefault="00866A37"/>
    <w:p w14:paraId="0B987F54" w14:textId="77777777" w:rsidR="00866A37" w:rsidRDefault="00866A37" w:rsidP="00866A37">
      <w:pPr>
        <w:spacing w:line="360" w:lineRule="auto"/>
        <w:jc w:val="both"/>
        <w:rPr>
          <w:rFonts w:ascii="Times New Roman" w:hAnsi="Times New Roman" w:cs="Times New Roman"/>
          <w:b/>
          <w:bCs/>
          <w:sz w:val="24"/>
          <w:szCs w:val="24"/>
          <w:lang w:val="en-US"/>
        </w:rPr>
      </w:pPr>
      <w:r w:rsidRPr="00643432">
        <w:rPr>
          <w:rFonts w:ascii="Times New Roman" w:hAnsi="Times New Roman" w:cs="Times New Roman"/>
          <w:b/>
          <w:bCs/>
          <w:sz w:val="24"/>
          <w:szCs w:val="24"/>
          <w:lang w:val="en-US"/>
        </w:rPr>
        <w:lastRenderedPageBreak/>
        <w:t>1.6 SCOPE OF THE STUDY</w:t>
      </w:r>
    </w:p>
    <w:p w14:paraId="7CABCBD6" w14:textId="08D40BE8" w:rsidR="00866A37" w:rsidRP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This study focuses on examining the relationship between risk management and profitability, using Guaranty Trust Bank (GT Bank) as a case study. The scope covers the assessment of various risk types that affect banking operations, including credit risk, market risk, operational risk, and liquidity risk, and how these risks are managed by GT Bank to maintain financial performance. The research is limited to GT Bank Nigeria and does not include its subsidiaries in other countries, although insights drawn from the Nigerian operations may have implications for the bank’s wider network.</w:t>
      </w:r>
    </w:p>
    <w:p w14:paraId="65B7C302" w14:textId="588BFA07" w:rsidR="00866A37" w:rsidRP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The study evaluates risk management policies, frameworks, and tools adopted by the bank over a selected period (for example, 5 to 10 years, depending on data availability). Key financial indicators such as return on assets (ROA), return on equity (ROE), net interest margin (NIM), and non-performing loan ratios (NPLs) will be used to measure profitability. This study will also explore the internal control systems, compliance functions, and risk governance structures in place within GT Bank and how they contribute to minimizing losses and enhancing profitability.</w:t>
      </w:r>
    </w:p>
    <w:p w14:paraId="55C0FDB7" w14:textId="5E5A2E83" w:rsidR="00866A37" w:rsidRP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 xml:space="preserve">Furthermore, the research will involve </w:t>
      </w:r>
      <w:proofErr w:type="spellStart"/>
      <w:r w:rsidRPr="00866A37">
        <w:rPr>
          <w:rFonts w:ascii="Times New Roman" w:hAnsi="Times New Roman" w:cs="Times New Roman"/>
          <w:sz w:val="24"/>
          <w:szCs w:val="24"/>
        </w:rPr>
        <w:t>analyzing</w:t>
      </w:r>
      <w:proofErr w:type="spellEnd"/>
      <w:r w:rsidRPr="00866A37">
        <w:rPr>
          <w:rFonts w:ascii="Times New Roman" w:hAnsi="Times New Roman" w:cs="Times New Roman"/>
          <w:sz w:val="24"/>
          <w:szCs w:val="24"/>
        </w:rPr>
        <w:t xml:space="preserve"> both primary and secondary data sources. Primary data may include responses from selected GT Bank staff through interviews or questionnaires, while secondary data will include annual financial reports, risk disclosures, CBN publications, and industry reports. The study will focus only on the financial and operational aspects of risk management and will not delve deeply into non-financial risks such as reputational risk or strategic risk unless they directly relate to financial performance.</w:t>
      </w:r>
    </w:p>
    <w:p w14:paraId="67D23516" w14:textId="21B5957D" w:rsidR="00866A37" w:rsidRP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Geographically, the study is restricted to GT Bank’s operations in Nigeria due to ease of access to data and regulatory frameworks applicable within the Nigerian financial system. The time frame of the study will be clearly defined to provide a consistent basis for financial performance analysis and comparisons.</w:t>
      </w:r>
    </w:p>
    <w:p w14:paraId="064B8482" w14:textId="6D697684" w:rsid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In essence, this study aims to critically assess how risk management strategies influence the profitability of GT Bank within the Nigerian banking context. The findings will be valuable for bank managers, regulators, and financial analysts interested in improving risk governance to achieve stronger financial results. However, due to limitations in time and access, the study may not capture all possible variables or account for confidential risk management practices not disclosed publicly.</w:t>
      </w:r>
    </w:p>
    <w:p w14:paraId="51A38F49" w14:textId="77777777" w:rsidR="00866A37" w:rsidRDefault="00866A37" w:rsidP="00866A37">
      <w:pPr>
        <w:spacing w:line="360" w:lineRule="auto"/>
        <w:jc w:val="both"/>
        <w:rPr>
          <w:rFonts w:ascii="Times New Roman" w:hAnsi="Times New Roman" w:cs="Times New Roman"/>
          <w:b/>
          <w:bCs/>
          <w:sz w:val="24"/>
          <w:szCs w:val="24"/>
          <w:lang w:val="en-US"/>
        </w:rPr>
      </w:pPr>
      <w:r w:rsidRPr="006E2866">
        <w:rPr>
          <w:rFonts w:ascii="Times New Roman" w:hAnsi="Times New Roman" w:cs="Times New Roman"/>
          <w:b/>
          <w:bCs/>
          <w:sz w:val="24"/>
          <w:szCs w:val="24"/>
          <w:lang w:val="en-US"/>
        </w:rPr>
        <w:lastRenderedPageBreak/>
        <w:t>1.7 LIMITATIONS OF THE STUDY</w:t>
      </w:r>
    </w:p>
    <w:p w14:paraId="200B72BF" w14:textId="57CC6E3C" w:rsidR="00866A37" w:rsidRP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While this study aims to provide meaningful insights into the relationship between risk management and profitability at GT Bank, it is not without its limitations. One of the primary limitations is the availability and accessibility of data. Some of GT Bank’s internal risk management strategies, operational frameworks, and performance records are confidential and not disclosed in public reports. As a result, the study relies heavily on secondary data sources such as published financial statements, regulatory filings, and industry reports, which may not capture the full scope of the bank’s risk exposure or internal decision-making processes.</w:t>
      </w:r>
    </w:p>
    <w:p w14:paraId="723DCF4B" w14:textId="704830B2" w:rsidR="00866A37" w:rsidRP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Another significant limitation is the study’s geographical focus. The research is limited to GT Bank’s operations within Nigeria and does not take into account the performance or risk practices of its subsidiaries in other countries. Since risk management practices and financial results can vary across regions due to regulatory, economic, and operational differences, the findings may not be generalizable to GT Bank’s entire international operations or to other banks in different financial environments.</w:t>
      </w:r>
    </w:p>
    <w:p w14:paraId="48465C25" w14:textId="4743F65B" w:rsidR="00866A37" w:rsidRP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Time constraints also posed a limitation. The study is conducted within a fixed academic or research timeframe, which may not allow for a longitudinal analysis of risk management trends over an extended period. As a result, short-term fluctuations in financial performance or changes in risk policies may not be fully captured or explained in the research.</w:t>
      </w:r>
    </w:p>
    <w:p w14:paraId="4E49C07F" w14:textId="284525B7" w:rsidR="00866A37" w:rsidRP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Furthermore, the study may face limitations related to the scope of financial ratios used to measure profitability. While key indicators such as return on assets (ROA), return on equity (ROE), and net interest margin (NIM) are used in the analysis, these metrics may not fully reflect the complexity of bank profitability, especially when external factors like inflation, currency depreciation, or market shocks are involved.</w:t>
      </w:r>
    </w:p>
    <w:p w14:paraId="7E6AA5CB" w14:textId="77930209" w:rsidR="00866A37" w:rsidRPr="00866A37" w:rsidRDefault="00866A37" w:rsidP="00866A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6A37">
        <w:rPr>
          <w:rFonts w:ascii="Times New Roman" w:hAnsi="Times New Roman" w:cs="Times New Roman"/>
          <w:sz w:val="24"/>
          <w:szCs w:val="24"/>
        </w:rPr>
        <w:t>The study may also encounter challenges in obtaining accurate and unbiased responses from participants during primary data collection. Employees of the bank may be reluctant to provide detailed information about the bank’s internal risk practices due to confidentiality concerns or fear of disclosure, which could impact the quality and reliability of the data collected through interviews or questionnaires.</w:t>
      </w:r>
    </w:p>
    <w:p w14:paraId="013DECD6" w14:textId="77777777" w:rsidR="00866A37" w:rsidRDefault="00866A37">
      <w:pPr>
        <w:rPr>
          <w:rFonts w:ascii="Times New Roman" w:hAnsi="Times New Roman" w:cs="Times New Roman"/>
          <w:sz w:val="24"/>
          <w:szCs w:val="24"/>
        </w:rPr>
      </w:pPr>
    </w:p>
    <w:p w14:paraId="778370F2" w14:textId="77777777" w:rsidR="00866A37" w:rsidRDefault="00866A37">
      <w:pPr>
        <w:rPr>
          <w:rFonts w:ascii="Times New Roman" w:hAnsi="Times New Roman" w:cs="Times New Roman"/>
          <w:sz w:val="24"/>
          <w:szCs w:val="24"/>
        </w:rPr>
      </w:pPr>
    </w:p>
    <w:p w14:paraId="39E9AC21" w14:textId="77777777" w:rsidR="00866A37" w:rsidRDefault="00866A37">
      <w:pPr>
        <w:rPr>
          <w:rFonts w:ascii="Times New Roman" w:hAnsi="Times New Roman" w:cs="Times New Roman"/>
          <w:sz w:val="24"/>
          <w:szCs w:val="24"/>
        </w:rPr>
      </w:pPr>
    </w:p>
    <w:p w14:paraId="0F09E909" w14:textId="77777777" w:rsidR="00866A37" w:rsidRPr="00AD7255" w:rsidRDefault="00866A37" w:rsidP="00866A37">
      <w:pPr>
        <w:spacing w:line="360" w:lineRule="auto"/>
        <w:jc w:val="center"/>
        <w:rPr>
          <w:rFonts w:ascii="Times New Roman" w:hAnsi="Times New Roman" w:cs="Times New Roman"/>
          <w:b/>
          <w:bCs/>
          <w:sz w:val="24"/>
          <w:szCs w:val="24"/>
          <w:lang w:val="en-US"/>
        </w:rPr>
      </w:pPr>
      <w:bookmarkStart w:id="4" w:name="_Hlk202089904"/>
      <w:r w:rsidRPr="00AD7255">
        <w:rPr>
          <w:rFonts w:ascii="Times New Roman" w:hAnsi="Times New Roman" w:cs="Times New Roman"/>
          <w:b/>
          <w:bCs/>
          <w:sz w:val="24"/>
          <w:szCs w:val="24"/>
          <w:lang w:val="en-US"/>
        </w:rPr>
        <w:lastRenderedPageBreak/>
        <w:t>CHAPTER – II</w:t>
      </w:r>
    </w:p>
    <w:p w14:paraId="0A3DB319" w14:textId="77777777" w:rsidR="00866A37" w:rsidRDefault="00866A37" w:rsidP="00866A37">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4"/>
    <w:p w14:paraId="5783E69D" w14:textId="12364962" w:rsidR="00F82337" w:rsidRPr="00F82337" w:rsidRDefault="00F82337" w:rsidP="00F823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82337">
        <w:rPr>
          <w:rFonts w:ascii="Times New Roman" w:hAnsi="Times New Roman" w:cs="Times New Roman"/>
          <w:sz w:val="24"/>
          <w:szCs w:val="24"/>
        </w:rPr>
        <w:t>Risk management has become an essential component of modern banking operations due to increased financial uncertainties, global market volatility, and regulatory pressures. Numerous studies have been conducted to explore the relationship between risk management and profitability, particularly in the banking sector. This chapter presents a review of relevant literature that supports the theoretical foundation of this study and identifies gaps that justify the need for further research, especially in the Nigerian context and in relation to GT Bank.</w:t>
      </w:r>
    </w:p>
    <w:p w14:paraId="7A330174" w14:textId="02C726FC" w:rsidR="00F82337" w:rsidRPr="00F82337" w:rsidRDefault="00AA5B0E" w:rsidP="00F823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F82337" w:rsidRPr="00F82337">
        <w:rPr>
          <w:rFonts w:ascii="Times New Roman" w:hAnsi="Times New Roman" w:cs="Times New Roman"/>
          <w:b/>
          <w:bCs/>
          <w:sz w:val="24"/>
          <w:szCs w:val="24"/>
        </w:rPr>
        <w:t xml:space="preserve">Fatemi and </w:t>
      </w:r>
      <w:proofErr w:type="spellStart"/>
      <w:r w:rsidR="00F82337" w:rsidRPr="00F82337">
        <w:rPr>
          <w:rFonts w:ascii="Times New Roman" w:hAnsi="Times New Roman" w:cs="Times New Roman"/>
          <w:b/>
          <w:bCs/>
          <w:sz w:val="24"/>
          <w:szCs w:val="24"/>
        </w:rPr>
        <w:t>Fooladi</w:t>
      </w:r>
      <w:proofErr w:type="spellEnd"/>
      <w:r w:rsidR="00F82337" w:rsidRPr="00F82337">
        <w:rPr>
          <w:rFonts w:ascii="Times New Roman" w:hAnsi="Times New Roman" w:cs="Times New Roman"/>
          <w:b/>
          <w:bCs/>
          <w:sz w:val="24"/>
          <w:szCs w:val="24"/>
        </w:rPr>
        <w:t xml:space="preserve"> (2006)</w:t>
      </w:r>
      <w:r w:rsidR="00F82337" w:rsidRPr="00F82337">
        <w:rPr>
          <w:rFonts w:ascii="Times New Roman" w:hAnsi="Times New Roman" w:cs="Times New Roman"/>
          <w:sz w:val="24"/>
          <w:szCs w:val="24"/>
        </w:rPr>
        <w:t xml:space="preserve"> examined risk management practices in financial institutions and found that effective risk management frameworks significantly reduce exposure to losses and enhance financial performance. They emphasized the role of integrated risk strategies in ensuring sustainable profitability in banks. The study concluded that risk management is not just a defensive measure but a key contributor to profitability.</w:t>
      </w:r>
    </w:p>
    <w:p w14:paraId="11CBB8FA" w14:textId="286925C6" w:rsidR="00F82337" w:rsidRPr="00F82337" w:rsidRDefault="00AA5B0E" w:rsidP="00F823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F82337" w:rsidRPr="00F82337">
        <w:rPr>
          <w:rFonts w:ascii="Times New Roman" w:hAnsi="Times New Roman" w:cs="Times New Roman"/>
          <w:b/>
          <w:bCs/>
          <w:sz w:val="24"/>
          <w:szCs w:val="24"/>
        </w:rPr>
        <w:t>Ahmed, Takeda, and Thomas (1999)</w:t>
      </w:r>
      <w:r w:rsidR="00F82337" w:rsidRPr="00F82337">
        <w:rPr>
          <w:rFonts w:ascii="Times New Roman" w:hAnsi="Times New Roman" w:cs="Times New Roman"/>
          <w:sz w:val="24"/>
          <w:szCs w:val="24"/>
        </w:rPr>
        <w:t xml:space="preserve"> </w:t>
      </w:r>
      <w:proofErr w:type="spellStart"/>
      <w:r w:rsidR="00F82337" w:rsidRPr="00F82337">
        <w:rPr>
          <w:rFonts w:ascii="Times New Roman" w:hAnsi="Times New Roman" w:cs="Times New Roman"/>
          <w:sz w:val="24"/>
          <w:szCs w:val="24"/>
        </w:rPr>
        <w:t>analyzed</w:t>
      </w:r>
      <w:proofErr w:type="spellEnd"/>
      <w:r w:rsidR="00F82337" w:rsidRPr="00F82337">
        <w:rPr>
          <w:rFonts w:ascii="Times New Roman" w:hAnsi="Times New Roman" w:cs="Times New Roman"/>
          <w:sz w:val="24"/>
          <w:szCs w:val="24"/>
        </w:rPr>
        <w:t xml:space="preserve"> the association between loan loss provisions and bank risk and found that higher credit risk reduces profitability, especially when banks fail to implement sound risk assessment techniques. Their study also suggested that risk-adjusted capital allocation improves overall performance and investor confidence.</w:t>
      </w:r>
    </w:p>
    <w:p w14:paraId="4F840FC8" w14:textId="4507B700" w:rsidR="00F82337" w:rsidRPr="00F82337" w:rsidRDefault="00AA5B0E" w:rsidP="00F823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F82337" w:rsidRPr="00F82337">
        <w:rPr>
          <w:rFonts w:ascii="Times New Roman" w:hAnsi="Times New Roman" w:cs="Times New Roman"/>
          <w:b/>
          <w:bCs/>
          <w:sz w:val="24"/>
          <w:szCs w:val="24"/>
        </w:rPr>
        <w:t>Nocco and Stulz (2006)</w:t>
      </w:r>
      <w:r w:rsidR="00F82337" w:rsidRPr="00F82337">
        <w:rPr>
          <w:rFonts w:ascii="Times New Roman" w:hAnsi="Times New Roman" w:cs="Times New Roman"/>
          <w:sz w:val="24"/>
          <w:szCs w:val="24"/>
        </w:rPr>
        <w:t xml:space="preserve"> argued that enterprise risk management (ERM) adds value by aligning risk appetite with strategic objectives. They suggested that banks that adopt comprehensive ERM approaches are better equipped to deal with economic shocks, leading to consistent profits and shareholder value creation.</w:t>
      </w:r>
      <w:r>
        <w:rPr>
          <w:rFonts w:ascii="Times New Roman" w:hAnsi="Times New Roman" w:cs="Times New Roman"/>
          <w:sz w:val="24"/>
          <w:szCs w:val="24"/>
        </w:rPr>
        <w:t xml:space="preserve"> </w:t>
      </w:r>
    </w:p>
    <w:p w14:paraId="185E5801" w14:textId="6772BACD" w:rsidR="00F82337" w:rsidRPr="00F82337" w:rsidRDefault="00AA5B0E" w:rsidP="00F823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F82337" w:rsidRPr="00F82337">
        <w:rPr>
          <w:rFonts w:ascii="Times New Roman" w:hAnsi="Times New Roman" w:cs="Times New Roman"/>
          <w:b/>
          <w:bCs/>
          <w:sz w:val="24"/>
          <w:szCs w:val="24"/>
        </w:rPr>
        <w:t xml:space="preserve">Ifeanyi, </w:t>
      </w:r>
      <w:proofErr w:type="spellStart"/>
      <w:r w:rsidR="00F82337" w:rsidRPr="00F82337">
        <w:rPr>
          <w:rFonts w:ascii="Times New Roman" w:hAnsi="Times New Roman" w:cs="Times New Roman"/>
          <w:b/>
          <w:bCs/>
          <w:sz w:val="24"/>
          <w:szCs w:val="24"/>
        </w:rPr>
        <w:t>Odeniran</w:t>
      </w:r>
      <w:proofErr w:type="spellEnd"/>
      <w:r w:rsidR="00F82337" w:rsidRPr="00F82337">
        <w:rPr>
          <w:rFonts w:ascii="Times New Roman" w:hAnsi="Times New Roman" w:cs="Times New Roman"/>
          <w:b/>
          <w:bCs/>
          <w:sz w:val="24"/>
          <w:szCs w:val="24"/>
        </w:rPr>
        <w:t xml:space="preserve">, and </w:t>
      </w:r>
      <w:proofErr w:type="spellStart"/>
      <w:r w:rsidR="00F82337" w:rsidRPr="00F82337">
        <w:rPr>
          <w:rFonts w:ascii="Times New Roman" w:hAnsi="Times New Roman" w:cs="Times New Roman"/>
          <w:b/>
          <w:bCs/>
          <w:sz w:val="24"/>
          <w:szCs w:val="24"/>
        </w:rPr>
        <w:t>Olowolaju</w:t>
      </w:r>
      <w:proofErr w:type="spellEnd"/>
      <w:r w:rsidR="00F82337" w:rsidRPr="00F82337">
        <w:rPr>
          <w:rFonts w:ascii="Times New Roman" w:hAnsi="Times New Roman" w:cs="Times New Roman"/>
          <w:b/>
          <w:bCs/>
          <w:sz w:val="24"/>
          <w:szCs w:val="24"/>
        </w:rPr>
        <w:t xml:space="preserve"> (2016)</w:t>
      </w:r>
      <w:r w:rsidR="00F82337" w:rsidRPr="00F82337">
        <w:rPr>
          <w:rFonts w:ascii="Times New Roman" w:hAnsi="Times New Roman" w:cs="Times New Roman"/>
          <w:sz w:val="24"/>
          <w:szCs w:val="24"/>
        </w:rPr>
        <w:t xml:space="preserve"> studied Nigerian banks and concluded that inadequate risk assessment processes, especially in loan management, significantly contribute to financial distress. Their findings showed a positive correlation between credit risk control and profitability metrics such as ROA and ROE. The study highlighted the importance of internal controls and regulatory compliance in enhancing profitability.</w:t>
      </w:r>
    </w:p>
    <w:p w14:paraId="7662EADD" w14:textId="7D5D2D20" w:rsidR="00F82337" w:rsidRPr="00F82337" w:rsidRDefault="00AA5B0E" w:rsidP="00F823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F82337" w:rsidRPr="00F82337">
        <w:rPr>
          <w:rFonts w:ascii="Times New Roman" w:hAnsi="Times New Roman" w:cs="Times New Roman"/>
          <w:b/>
          <w:bCs/>
          <w:sz w:val="24"/>
          <w:szCs w:val="24"/>
        </w:rPr>
        <w:t xml:space="preserve">Kolapo, Ayeni, and </w:t>
      </w:r>
      <w:proofErr w:type="spellStart"/>
      <w:r w:rsidR="00F82337" w:rsidRPr="00F82337">
        <w:rPr>
          <w:rFonts w:ascii="Times New Roman" w:hAnsi="Times New Roman" w:cs="Times New Roman"/>
          <w:b/>
          <w:bCs/>
          <w:sz w:val="24"/>
          <w:szCs w:val="24"/>
        </w:rPr>
        <w:t>Oke</w:t>
      </w:r>
      <w:proofErr w:type="spellEnd"/>
      <w:r w:rsidR="00F82337" w:rsidRPr="00F82337">
        <w:rPr>
          <w:rFonts w:ascii="Times New Roman" w:hAnsi="Times New Roman" w:cs="Times New Roman"/>
          <w:b/>
          <w:bCs/>
          <w:sz w:val="24"/>
          <w:szCs w:val="24"/>
        </w:rPr>
        <w:t xml:space="preserve"> (2012)</w:t>
      </w:r>
      <w:r w:rsidR="00F82337" w:rsidRPr="00F82337">
        <w:rPr>
          <w:rFonts w:ascii="Times New Roman" w:hAnsi="Times New Roman" w:cs="Times New Roman"/>
          <w:sz w:val="24"/>
          <w:szCs w:val="24"/>
        </w:rPr>
        <w:t xml:space="preserve"> investigated the effect of credit risk on the performance of commercial banks in Nigeria. The results revealed that credit risk indicators like the ratio of non-performing loans to total loans have a significant negative impact on profitability. This supports the view that credit risk is a major determinant of financial health in Nigerian banks.</w:t>
      </w:r>
    </w:p>
    <w:p w14:paraId="4BD90B95" w14:textId="48690535" w:rsidR="00F82337" w:rsidRPr="00F82337" w:rsidRDefault="00AA5B0E" w:rsidP="00F823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w:t>
      </w:r>
      <w:proofErr w:type="spellStart"/>
      <w:r w:rsidR="00F82337" w:rsidRPr="00F82337">
        <w:rPr>
          <w:rFonts w:ascii="Times New Roman" w:hAnsi="Times New Roman" w:cs="Times New Roman"/>
          <w:b/>
          <w:bCs/>
          <w:sz w:val="24"/>
          <w:szCs w:val="24"/>
        </w:rPr>
        <w:t>Onaolapo</w:t>
      </w:r>
      <w:proofErr w:type="spellEnd"/>
      <w:r w:rsidR="00F82337" w:rsidRPr="00F82337">
        <w:rPr>
          <w:rFonts w:ascii="Times New Roman" w:hAnsi="Times New Roman" w:cs="Times New Roman"/>
          <w:b/>
          <w:bCs/>
          <w:sz w:val="24"/>
          <w:szCs w:val="24"/>
        </w:rPr>
        <w:t xml:space="preserve"> (2012)</w:t>
      </w:r>
      <w:r w:rsidR="00F82337" w:rsidRPr="00F82337">
        <w:rPr>
          <w:rFonts w:ascii="Times New Roman" w:hAnsi="Times New Roman" w:cs="Times New Roman"/>
          <w:sz w:val="24"/>
          <w:szCs w:val="24"/>
        </w:rPr>
        <w:t xml:space="preserve"> explored the impact of liquidity and operational risks on the financial performance of banks in Nigeria. The study found that poor liquidity management often results in financial instability, while effective operational controls can boost efficiency and profitability. The author recommended real-time monitoring systems for improved performance.</w:t>
      </w:r>
    </w:p>
    <w:p w14:paraId="609E312A" w14:textId="51B18CAB" w:rsidR="00F82337" w:rsidRPr="00F82337" w:rsidRDefault="00AA5B0E" w:rsidP="00F823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F82337" w:rsidRPr="00F82337">
        <w:rPr>
          <w:rFonts w:ascii="Times New Roman" w:hAnsi="Times New Roman" w:cs="Times New Roman"/>
          <w:b/>
          <w:bCs/>
          <w:sz w:val="24"/>
          <w:szCs w:val="24"/>
        </w:rPr>
        <w:t>Kargi (2011)</w:t>
      </w:r>
      <w:r w:rsidR="00F82337" w:rsidRPr="00F82337">
        <w:rPr>
          <w:rFonts w:ascii="Times New Roman" w:hAnsi="Times New Roman" w:cs="Times New Roman"/>
          <w:sz w:val="24"/>
          <w:szCs w:val="24"/>
        </w:rPr>
        <w:t xml:space="preserve"> examined the effect of risk management on the profitability of Nigerian banks, particularly in the post-recapitalization era. He discovered that banks with sound risk management practices recorded higher profitability and lower loan default rates. His findings support the need for robust internal frameworks tailored to the Nigerian market.</w:t>
      </w:r>
    </w:p>
    <w:p w14:paraId="2FD0F086" w14:textId="4AAACEC4" w:rsidR="00F82337" w:rsidRPr="00F82337" w:rsidRDefault="00AA5B0E" w:rsidP="00F823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F82337" w:rsidRPr="00F82337">
        <w:rPr>
          <w:rFonts w:ascii="Times New Roman" w:hAnsi="Times New Roman" w:cs="Times New Roman"/>
          <w:b/>
          <w:bCs/>
          <w:sz w:val="24"/>
          <w:szCs w:val="24"/>
        </w:rPr>
        <w:t>Olayinka and Oseni (2017)</w:t>
      </w:r>
      <w:r w:rsidR="00F82337" w:rsidRPr="00F82337">
        <w:rPr>
          <w:rFonts w:ascii="Times New Roman" w:hAnsi="Times New Roman" w:cs="Times New Roman"/>
          <w:sz w:val="24"/>
          <w:szCs w:val="24"/>
        </w:rPr>
        <w:t xml:space="preserve"> focused specifically on GT Bank and observed that the bank’s strong credit evaluation and risk controls contributed to its stable financial performance even during economic downturns. The study noted that risk mitigation strategies such as diversification, internal audit mechanisms, and compliance with regulatory standards were instrumental in maintaining profitability.</w:t>
      </w:r>
    </w:p>
    <w:p w14:paraId="7DA81D77" w14:textId="243EDDAC" w:rsidR="00F82337" w:rsidRPr="00F82337" w:rsidRDefault="00AA5B0E" w:rsidP="00F823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F82337" w:rsidRPr="00F82337">
        <w:rPr>
          <w:rFonts w:ascii="Times New Roman" w:hAnsi="Times New Roman" w:cs="Times New Roman"/>
          <w:b/>
          <w:bCs/>
          <w:sz w:val="24"/>
          <w:szCs w:val="24"/>
        </w:rPr>
        <w:t>Basel Committee on Banking Supervision (2001)</w:t>
      </w:r>
      <w:r w:rsidR="00F82337" w:rsidRPr="00F82337">
        <w:rPr>
          <w:rFonts w:ascii="Times New Roman" w:hAnsi="Times New Roman" w:cs="Times New Roman"/>
          <w:sz w:val="24"/>
          <w:szCs w:val="24"/>
        </w:rPr>
        <w:t xml:space="preserve"> emphasized the need for a strong risk management culture in banking institutions. The Basel framework outlines minimum capital requirements, supervisory review, and market discipline as essential tools for managing risk and enhancing financial soundness.</w:t>
      </w:r>
    </w:p>
    <w:p w14:paraId="357F67CD" w14:textId="2612270E" w:rsidR="00F82337" w:rsidRPr="00F82337" w:rsidRDefault="00AA5B0E" w:rsidP="00F823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82337" w:rsidRPr="00F82337">
        <w:rPr>
          <w:rFonts w:ascii="Times New Roman" w:hAnsi="Times New Roman" w:cs="Times New Roman"/>
          <w:sz w:val="24"/>
          <w:szCs w:val="24"/>
        </w:rPr>
        <w:t>From the reviewed literature, it is evident that risk management plays a critical role in determining the financial performance of banks. However, despite the growing body of research on the subject globally, there remains a relative lack of in-depth case studies focusing specifically on Nigerian banks such as GT Bank. Most prior studies either cover the entire banking sector broadly or focus only on a particular type of risk, such as credit or liquidity risk. This study aims to fill this gap by investigating how comprehensive risk management practices impact the profitability of GT Bank in Nigeria.</w:t>
      </w:r>
    </w:p>
    <w:p w14:paraId="640B8F44" w14:textId="77777777" w:rsidR="00866A37" w:rsidRDefault="00866A37"/>
    <w:p w14:paraId="2837B21C" w14:textId="77777777" w:rsidR="00AA5B0E" w:rsidRDefault="00AA5B0E"/>
    <w:p w14:paraId="75DB3D66" w14:textId="77777777" w:rsidR="00AA5B0E" w:rsidRDefault="00AA5B0E"/>
    <w:p w14:paraId="100B97F8" w14:textId="77777777" w:rsidR="00AA5B0E" w:rsidRDefault="00AA5B0E"/>
    <w:p w14:paraId="32101CD1" w14:textId="77777777" w:rsidR="00AA5B0E" w:rsidRDefault="00AA5B0E"/>
    <w:p w14:paraId="748C8DE3" w14:textId="77777777" w:rsidR="00AA5B0E" w:rsidRDefault="00AA5B0E"/>
    <w:p w14:paraId="0A9904D4" w14:textId="77777777" w:rsidR="00AA5B0E" w:rsidRPr="0078607C" w:rsidRDefault="00AA5B0E" w:rsidP="00AA5B0E">
      <w:pPr>
        <w:spacing w:line="360" w:lineRule="auto"/>
        <w:jc w:val="center"/>
        <w:rPr>
          <w:rFonts w:ascii="Times New Roman" w:hAnsi="Times New Roman" w:cs="Times New Roman"/>
          <w:b/>
          <w:bCs/>
          <w:sz w:val="24"/>
          <w:szCs w:val="24"/>
          <w:lang w:val="en-US"/>
        </w:rPr>
      </w:pPr>
      <w:bookmarkStart w:id="5" w:name="_Hlk202090009"/>
      <w:r w:rsidRPr="0078607C">
        <w:rPr>
          <w:rFonts w:ascii="Times New Roman" w:hAnsi="Times New Roman" w:cs="Times New Roman"/>
          <w:b/>
          <w:bCs/>
          <w:sz w:val="24"/>
          <w:szCs w:val="24"/>
          <w:lang w:val="en-US"/>
        </w:rPr>
        <w:lastRenderedPageBreak/>
        <w:t>CHAPTER – III</w:t>
      </w:r>
    </w:p>
    <w:p w14:paraId="2B5AF27D" w14:textId="77777777" w:rsidR="00AA5B0E" w:rsidRPr="0078607C" w:rsidRDefault="00AA5B0E" w:rsidP="00AA5B0E">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5"/>
    <w:p w14:paraId="5FA4148C" w14:textId="50E17546" w:rsidR="00AA5B0E" w:rsidRPr="00AA5B0E" w:rsidRDefault="00AA5B0E" w:rsidP="00AA5B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5B0E">
        <w:rPr>
          <w:rFonts w:ascii="Times New Roman" w:hAnsi="Times New Roman" w:cs="Times New Roman"/>
          <w:sz w:val="24"/>
          <w:szCs w:val="24"/>
        </w:rPr>
        <w:t>This chapter outlines the methods and procedures used in conducting the study. It explains the research design, population, sampling techniques, data collection methods, sources of data, and methods of data analysis used to investigate the impact of risk management on the profitability of GT Bank.</w:t>
      </w:r>
    </w:p>
    <w:p w14:paraId="26BA2C13" w14:textId="77777777" w:rsidR="00AA5B0E" w:rsidRPr="00AA5B0E" w:rsidRDefault="00AA5B0E" w:rsidP="00AA5B0E">
      <w:pPr>
        <w:spacing w:line="360" w:lineRule="auto"/>
        <w:jc w:val="both"/>
        <w:rPr>
          <w:rFonts w:ascii="Times New Roman" w:hAnsi="Times New Roman" w:cs="Times New Roman"/>
          <w:b/>
          <w:bCs/>
          <w:sz w:val="24"/>
          <w:szCs w:val="24"/>
        </w:rPr>
      </w:pPr>
      <w:r w:rsidRPr="00AA5B0E">
        <w:rPr>
          <w:rFonts w:ascii="Times New Roman" w:hAnsi="Times New Roman" w:cs="Times New Roman"/>
          <w:b/>
          <w:bCs/>
          <w:sz w:val="24"/>
          <w:szCs w:val="24"/>
        </w:rPr>
        <w:t>3.1 Research Design</w:t>
      </w:r>
    </w:p>
    <w:p w14:paraId="4F399F4E"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 xml:space="preserve">The study adopts a </w:t>
      </w:r>
      <w:r w:rsidRPr="00AA5B0E">
        <w:rPr>
          <w:rFonts w:ascii="Times New Roman" w:hAnsi="Times New Roman" w:cs="Times New Roman"/>
          <w:b/>
          <w:bCs/>
          <w:sz w:val="24"/>
          <w:szCs w:val="24"/>
        </w:rPr>
        <w:t>descriptive and analytical research design</w:t>
      </w:r>
      <w:r w:rsidRPr="00AA5B0E">
        <w:rPr>
          <w:rFonts w:ascii="Times New Roman" w:hAnsi="Times New Roman" w:cs="Times New Roman"/>
          <w:sz w:val="24"/>
          <w:szCs w:val="24"/>
        </w:rPr>
        <w:t>. This design allows for the systematic collection, analysis, and interpretation of data related to GT Bank’s risk management practices and financial performance. The descriptive aspect provides a detailed account of risk management strategies, while the analytical aspect helps in establishing relationships between risk control measures and profitability indicators such as Return on Assets (ROA), Return on Equity (ROE), and Net Interest Margin (NIM).</w:t>
      </w:r>
    </w:p>
    <w:p w14:paraId="7939D093" w14:textId="77777777" w:rsidR="00AA5B0E" w:rsidRPr="00AA5B0E" w:rsidRDefault="00AA5B0E" w:rsidP="00AA5B0E">
      <w:pPr>
        <w:spacing w:line="360" w:lineRule="auto"/>
        <w:jc w:val="both"/>
        <w:rPr>
          <w:rFonts w:ascii="Times New Roman" w:hAnsi="Times New Roman" w:cs="Times New Roman"/>
          <w:b/>
          <w:bCs/>
          <w:sz w:val="24"/>
          <w:szCs w:val="24"/>
        </w:rPr>
      </w:pPr>
      <w:r w:rsidRPr="00AA5B0E">
        <w:rPr>
          <w:rFonts w:ascii="Times New Roman" w:hAnsi="Times New Roman" w:cs="Times New Roman"/>
          <w:b/>
          <w:bCs/>
          <w:sz w:val="24"/>
          <w:szCs w:val="24"/>
        </w:rPr>
        <w:t>3.2 Population of the Study</w:t>
      </w:r>
    </w:p>
    <w:p w14:paraId="3A038B9E"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The population of the study consists of employees of GT Bank, particularly those working in the departments of risk management, finance, internal control, and compliance. Additionally, the study also considers published financial reports and publicly available documents from GT Bank as part of the data population for secondary analysis.</w:t>
      </w:r>
    </w:p>
    <w:p w14:paraId="4139B5F0" w14:textId="77777777" w:rsidR="00AA5B0E" w:rsidRPr="00AA5B0E" w:rsidRDefault="00AA5B0E" w:rsidP="00AA5B0E">
      <w:pPr>
        <w:spacing w:line="360" w:lineRule="auto"/>
        <w:jc w:val="both"/>
        <w:rPr>
          <w:rFonts w:ascii="Times New Roman" w:hAnsi="Times New Roman" w:cs="Times New Roman"/>
          <w:b/>
          <w:bCs/>
          <w:sz w:val="24"/>
          <w:szCs w:val="24"/>
        </w:rPr>
      </w:pPr>
      <w:r w:rsidRPr="00AA5B0E">
        <w:rPr>
          <w:rFonts w:ascii="Times New Roman" w:hAnsi="Times New Roman" w:cs="Times New Roman"/>
          <w:b/>
          <w:bCs/>
          <w:sz w:val="24"/>
          <w:szCs w:val="24"/>
        </w:rPr>
        <w:t>3.3 Sampling Technique and Sample Size</w:t>
      </w:r>
    </w:p>
    <w:p w14:paraId="5E059313"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 xml:space="preserve">The study uses a </w:t>
      </w:r>
      <w:r w:rsidRPr="00AA5B0E">
        <w:rPr>
          <w:rFonts w:ascii="Times New Roman" w:hAnsi="Times New Roman" w:cs="Times New Roman"/>
          <w:b/>
          <w:bCs/>
          <w:sz w:val="24"/>
          <w:szCs w:val="24"/>
        </w:rPr>
        <w:t>purposive sampling technique</w:t>
      </w:r>
      <w:r w:rsidRPr="00AA5B0E">
        <w:rPr>
          <w:rFonts w:ascii="Times New Roman" w:hAnsi="Times New Roman" w:cs="Times New Roman"/>
          <w:sz w:val="24"/>
          <w:szCs w:val="24"/>
        </w:rPr>
        <w:t xml:space="preserve">, focusing on a selected number of staff members in GT Bank with direct involvement in risk management and financial operations. A sample size of approximately </w:t>
      </w:r>
      <w:r w:rsidRPr="00AA5B0E">
        <w:rPr>
          <w:rFonts w:ascii="Times New Roman" w:hAnsi="Times New Roman" w:cs="Times New Roman"/>
          <w:b/>
          <w:bCs/>
          <w:sz w:val="24"/>
          <w:szCs w:val="24"/>
        </w:rPr>
        <w:t>30–50 respondents</w:t>
      </w:r>
      <w:r w:rsidRPr="00AA5B0E">
        <w:rPr>
          <w:rFonts w:ascii="Times New Roman" w:hAnsi="Times New Roman" w:cs="Times New Roman"/>
          <w:sz w:val="24"/>
          <w:szCs w:val="24"/>
        </w:rPr>
        <w:t xml:space="preserve"> from various branches and departments may be considered, depending on access and availability. The rationale for this technique is to ensure that only knowledgeable participants who are directly involved in risk-related functions are included in the study.</w:t>
      </w:r>
    </w:p>
    <w:p w14:paraId="631629D6" w14:textId="77777777" w:rsidR="00AA5B0E" w:rsidRPr="00AA5B0E" w:rsidRDefault="00AA5B0E" w:rsidP="00AA5B0E">
      <w:pPr>
        <w:spacing w:line="360" w:lineRule="auto"/>
        <w:jc w:val="both"/>
        <w:rPr>
          <w:rFonts w:ascii="Times New Roman" w:hAnsi="Times New Roman" w:cs="Times New Roman"/>
          <w:b/>
          <w:bCs/>
          <w:sz w:val="24"/>
          <w:szCs w:val="24"/>
        </w:rPr>
      </w:pPr>
      <w:r w:rsidRPr="00AA5B0E">
        <w:rPr>
          <w:rFonts w:ascii="Times New Roman" w:hAnsi="Times New Roman" w:cs="Times New Roman"/>
          <w:b/>
          <w:bCs/>
          <w:sz w:val="24"/>
          <w:szCs w:val="24"/>
        </w:rPr>
        <w:t>3.4 Sources of Data</w:t>
      </w:r>
    </w:p>
    <w:p w14:paraId="644FF093"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 xml:space="preserve">Both </w:t>
      </w:r>
      <w:r w:rsidRPr="00AA5B0E">
        <w:rPr>
          <w:rFonts w:ascii="Times New Roman" w:hAnsi="Times New Roman" w:cs="Times New Roman"/>
          <w:b/>
          <w:bCs/>
          <w:sz w:val="24"/>
          <w:szCs w:val="24"/>
        </w:rPr>
        <w:t>primary and secondary sources of data</w:t>
      </w:r>
      <w:r w:rsidRPr="00AA5B0E">
        <w:rPr>
          <w:rFonts w:ascii="Times New Roman" w:hAnsi="Times New Roman" w:cs="Times New Roman"/>
          <w:sz w:val="24"/>
          <w:szCs w:val="24"/>
        </w:rPr>
        <w:t xml:space="preserve"> are utilized:</w:t>
      </w:r>
    </w:p>
    <w:p w14:paraId="69CD1E94" w14:textId="77777777" w:rsidR="00AA5B0E" w:rsidRPr="00AA5B0E" w:rsidRDefault="00AA5B0E" w:rsidP="00AA5B0E">
      <w:pPr>
        <w:numPr>
          <w:ilvl w:val="0"/>
          <w:numId w:val="4"/>
        </w:numPr>
        <w:spacing w:line="360" w:lineRule="auto"/>
        <w:jc w:val="both"/>
        <w:rPr>
          <w:rFonts w:ascii="Times New Roman" w:hAnsi="Times New Roman" w:cs="Times New Roman"/>
          <w:sz w:val="24"/>
          <w:szCs w:val="24"/>
        </w:rPr>
      </w:pPr>
      <w:r w:rsidRPr="00AA5B0E">
        <w:rPr>
          <w:rFonts w:ascii="Times New Roman" w:hAnsi="Times New Roman" w:cs="Times New Roman"/>
          <w:b/>
          <w:bCs/>
          <w:sz w:val="24"/>
          <w:szCs w:val="24"/>
        </w:rPr>
        <w:t>Primary Data:</w:t>
      </w:r>
      <w:r w:rsidRPr="00AA5B0E">
        <w:rPr>
          <w:rFonts w:ascii="Times New Roman" w:hAnsi="Times New Roman" w:cs="Times New Roman"/>
          <w:sz w:val="24"/>
          <w:szCs w:val="24"/>
        </w:rPr>
        <w:t xml:space="preserve"> Collected through structured questionnaires and/or interviews with GT Bank staff in risk and finance departments.</w:t>
      </w:r>
    </w:p>
    <w:p w14:paraId="7D1AF22C" w14:textId="77777777" w:rsidR="00AA5B0E" w:rsidRPr="00AA5B0E" w:rsidRDefault="00AA5B0E" w:rsidP="00AA5B0E">
      <w:pPr>
        <w:numPr>
          <w:ilvl w:val="0"/>
          <w:numId w:val="4"/>
        </w:numPr>
        <w:spacing w:line="360" w:lineRule="auto"/>
        <w:jc w:val="both"/>
        <w:rPr>
          <w:rFonts w:ascii="Times New Roman" w:hAnsi="Times New Roman" w:cs="Times New Roman"/>
          <w:sz w:val="24"/>
          <w:szCs w:val="24"/>
        </w:rPr>
      </w:pPr>
      <w:r w:rsidRPr="00AA5B0E">
        <w:rPr>
          <w:rFonts w:ascii="Times New Roman" w:hAnsi="Times New Roman" w:cs="Times New Roman"/>
          <w:b/>
          <w:bCs/>
          <w:sz w:val="24"/>
          <w:szCs w:val="24"/>
        </w:rPr>
        <w:lastRenderedPageBreak/>
        <w:t>Secondary Data:</w:t>
      </w:r>
      <w:r w:rsidRPr="00AA5B0E">
        <w:rPr>
          <w:rFonts w:ascii="Times New Roman" w:hAnsi="Times New Roman" w:cs="Times New Roman"/>
          <w:sz w:val="24"/>
          <w:szCs w:val="24"/>
        </w:rPr>
        <w:t xml:space="preserve"> Includes annual financial reports of GT Bank, Central Bank of Nigeria (CBN) publications, industry reports, academic journals, and relevant books. These sources provide historical data on the bank’s risk exposure and profitability.</w:t>
      </w:r>
    </w:p>
    <w:p w14:paraId="05D0C5FB" w14:textId="77777777" w:rsidR="00AA5B0E" w:rsidRPr="00AA5B0E" w:rsidRDefault="00AA5B0E" w:rsidP="00AA5B0E">
      <w:pPr>
        <w:spacing w:line="360" w:lineRule="auto"/>
        <w:jc w:val="both"/>
        <w:rPr>
          <w:rFonts w:ascii="Times New Roman" w:hAnsi="Times New Roman" w:cs="Times New Roman"/>
          <w:b/>
          <w:bCs/>
          <w:sz w:val="24"/>
          <w:szCs w:val="24"/>
        </w:rPr>
      </w:pPr>
      <w:r w:rsidRPr="00AA5B0E">
        <w:rPr>
          <w:rFonts w:ascii="Times New Roman" w:hAnsi="Times New Roman" w:cs="Times New Roman"/>
          <w:b/>
          <w:bCs/>
          <w:sz w:val="24"/>
          <w:szCs w:val="24"/>
        </w:rPr>
        <w:t>3.5 Data Collection Instrument</w:t>
      </w:r>
    </w:p>
    <w:p w14:paraId="3547F3DE"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A structured questionnaire is developed and administered to selected GT Bank employees. The questionnaire is divided into sections covering demographic information, types of risks, risk management practices, and perceived impact on profitability. Where possible, semi-structured interviews may also be conducted to gain deeper insights.</w:t>
      </w:r>
    </w:p>
    <w:p w14:paraId="13CC0300" w14:textId="77777777" w:rsidR="00AA5B0E" w:rsidRPr="00AA5B0E" w:rsidRDefault="00AA5B0E" w:rsidP="00AA5B0E">
      <w:pPr>
        <w:spacing w:line="360" w:lineRule="auto"/>
        <w:jc w:val="both"/>
        <w:rPr>
          <w:rFonts w:ascii="Times New Roman" w:hAnsi="Times New Roman" w:cs="Times New Roman"/>
          <w:b/>
          <w:bCs/>
          <w:sz w:val="24"/>
          <w:szCs w:val="24"/>
        </w:rPr>
      </w:pPr>
      <w:r w:rsidRPr="00AA5B0E">
        <w:rPr>
          <w:rFonts w:ascii="Times New Roman" w:hAnsi="Times New Roman" w:cs="Times New Roman"/>
          <w:b/>
          <w:bCs/>
          <w:sz w:val="24"/>
          <w:szCs w:val="24"/>
        </w:rPr>
        <w:t>3.6 Method of Data Analysis</w:t>
      </w:r>
    </w:p>
    <w:p w14:paraId="149BCD2D"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 xml:space="preserve">The collected data is </w:t>
      </w:r>
      <w:proofErr w:type="spellStart"/>
      <w:r w:rsidRPr="00AA5B0E">
        <w:rPr>
          <w:rFonts w:ascii="Times New Roman" w:hAnsi="Times New Roman" w:cs="Times New Roman"/>
          <w:sz w:val="24"/>
          <w:szCs w:val="24"/>
        </w:rPr>
        <w:t>analyzed</w:t>
      </w:r>
      <w:proofErr w:type="spellEnd"/>
      <w:r w:rsidRPr="00AA5B0E">
        <w:rPr>
          <w:rFonts w:ascii="Times New Roman" w:hAnsi="Times New Roman" w:cs="Times New Roman"/>
          <w:sz w:val="24"/>
          <w:szCs w:val="24"/>
        </w:rPr>
        <w:t xml:space="preserve"> using both </w:t>
      </w:r>
      <w:r w:rsidRPr="00AA5B0E">
        <w:rPr>
          <w:rFonts w:ascii="Times New Roman" w:hAnsi="Times New Roman" w:cs="Times New Roman"/>
          <w:b/>
          <w:bCs/>
          <w:sz w:val="24"/>
          <w:szCs w:val="24"/>
        </w:rPr>
        <w:t>quantitative and qualitative methods</w:t>
      </w:r>
      <w:r w:rsidRPr="00AA5B0E">
        <w:rPr>
          <w:rFonts w:ascii="Times New Roman" w:hAnsi="Times New Roman" w:cs="Times New Roman"/>
          <w:sz w:val="24"/>
          <w:szCs w:val="24"/>
        </w:rPr>
        <w:t xml:space="preserve">. Statistical tools such as </w:t>
      </w:r>
      <w:r w:rsidRPr="00AA5B0E">
        <w:rPr>
          <w:rFonts w:ascii="Times New Roman" w:hAnsi="Times New Roman" w:cs="Times New Roman"/>
          <w:b/>
          <w:bCs/>
          <w:sz w:val="24"/>
          <w:szCs w:val="24"/>
        </w:rPr>
        <w:t>descriptive statistics (mean, percentages)</w:t>
      </w:r>
      <w:r w:rsidRPr="00AA5B0E">
        <w:rPr>
          <w:rFonts w:ascii="Times New Roman" w:hAnsi="Times New Roman" w:cs="Times New Roman"/>
          <w:sz w:val="24"/>
          <w:szCs w:val="24"/>
        </w:rPr>
        <w:t xml:space="preserve"> and </w:t>
      </w:r>
      <w:r w:rsidRPr="00AA5B0E">
        <w:rPr>
          <w:rFonts w:ascii="Times New Roman" w:hAnsi="Times New Roman" w:cs="Times New Roman"/>
          <w:b/>
          <w:bCs/>
          <w:sz w:val="24"/>
          <w:szCs w:val="24"/>
        </w:rPr>
        <w:t>inferential analysis (correlation and regression analysis)</w:t>
      </w:r>
      <w:r w:rsidRPr="00AA5B0E">
        <w:rPr>
          <w:rFonts w:ascii="Times New Roman" w:hAnsi="Times New Roman" w:cs="Times New Roman"/>
          <w:sz w:val="24"/>
          <w:szCs w:val="24"/>
        </w:rPr>
        <w:t xml:space="preserve"> are used to determine the relationship between risk management and profitability indicators. Microsoft Excel and/or SPSS software may be used for data analysis. Qualitative responses from interviews are summarized and interpreted to complement the quantitative findings.</w:t>
      </w:r>
    </w:p>
    <w:p w14:paraId="7D8F7CB9" w14:textId="77777777" w:rsidR="00AA5B0E" w:rsidRPr="00AA5B0E" w:rsidRDefault="00AA5B0E" w:rsidP="00AA5B0E">
      <w:pPr>
        <w:spacing w:line="360" w:lineRule="auto"/>
        <w:jc w:val="both"/>
        <w:rPr>
          <w:rFonts w:ascii="Times New Roman" w:hAnsi="Times New Roman" w:cs="Times New Roman"/>
          <w:b/>
          <w:bCs/>
          <w:sz w:val="24"/>
          <w:szCs w:val="24"/>
        </w:rPr>
      </w:pPr>
      <w:r w:rsidRPr="00AA5B0E">
        <w:rPr>
          <w:rFonts w:ascii="Times New Roman" w:hAnsi="Times New Roman" w:cs="Times New Roman"/>
          <w:b/>
          <w:bCs/>
          <w:sz w:val="24"/>
          <w:szCs w:val="24"/>
        </w:rPr>
        <w:t>3.7 Validity and Reliability of the Instrument</w:t>
      </w:r>
    </w:p>
    <w:p w14:paraId="04B0C749"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 xml:space="preserve">To ensure the </w:t>
      </w:r>
      <w:r w:rsidRPr="00AA5B0E">
        <w:rPr>
          <w:rFonts w:ascii="Times New Roman" w:hAnsi="Times New Roman" w:cs="Times New Roman"/>
          <w:b/>
          <w:bCs/>
          <w:sz w:val="24"/>
          <w:szCs w:val="24"/>
        </w:rPr>
        <w:t>validity</w:t>
      </w:r>
      <w:r w:rsidRPr="00AA5B0E">
        <w:rPr>
          <w:rFonts w:ascii="Times New Roman" w:hAnsi="Times New Roman" w:cs="Times New Roman"/>
          <w:sz w:val="24"/>
          <w:szCs w:val="24"/>
        </w:rPr>
        <w:t xml:space="preserve"> of the research instrument, the questionnaire is reviewed by experts in the field of banking and academic research. A pilot test is also conducted to refine the questions. </w:t>
      </w:r>
      <w:r w:rsidRPr="00AA5B0E">
        <w:rPr>
          <w:rFonts w:ascii="Times New Roman" w:hAnsi="Times New Roman" w:cs="Times New Roman"/>
          <w:b/>
          <w:bCs/>
          <w:sz w:val="24"/>
          <w:szCs w:val="24"/>
        </w:rPr>
        <w:t>Reliability</w:t>
      </w:r>
      <w:r w:rsidRPr="00AA5B0E">
        <w:rPr>
          <w:rFonts w:ascii="Times New Roman" w:hAnsi="Times New Roman" w:cs="Times New Roman"/>
          <w:sz w:val="24"/>
          <w:szCs w:val="24"/>
        </w:rPr>
        <w:t xml:space="preserve"> is measured using statistical tools such as Cronbach’s Alpha to ensure consistency in responses.</w:t>
      </w:r>
    </w:p>
    <w:p w14:paraId="21956896" w14:textId="77777777" w:rsidR="00AA5B0E" w:rsidRPr="00AA5B0E" w:rsidRDefault="00AA5B0E" w:rsidP="00AA5B0E">
      <w:pPr>
        <w:spacing w:line="360" w:lineRule="auto"/>
        <w:jc w:val="both"/>
        <w:rPr>
          <w:rFonts w:ascii="Times New Roman" w:hAnsi="Times New Roman" w:cs="Times New Roman"/>
          <w:b/>
          <w:bCs/>
          <w:sz w:val="24"/>
          <w:szCs w:val="24"/>
        </w:rPr>
      </w:pPr>
      <w:r w:rsidRPr="00AA5B0E">
        <w:rPr>
          <w:rFonts w:ascii="Times New Roman" w:hAnsi="Times New Roman" w:cs="Times New Roman"/>
          <w:b/>
          <w:bCs/>
          <w:sz w:val="24"/>
          <w:szCs w:val="24"/>
        </w:rPr>
        <w:t>3.8 Ethical Considerations</w:t>
      </w:r>
    </w:p>
    <w:p w14:paraId="7BD9F3B7"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Ethical standards are strictly observed throughout the research process. Participation in the study is voluntary, and respondents are assured of the confidentiality of their responses. Informed consent is obtained before data collection, and all information gathered is used strictly for academic purposes.</w:t>
      </w:r>
    </w:p>
    <w:p w14:paraId="6E565BDF" w14:textId="77777777" w:rsidR="00AA5B0E" w:rsidRPr="00AA5B0E" w:rsidRDefault="00AA5B0E" w:rsidP="00AA5B0E">
      <w:pPr>
        <w:spacing w:line="360" w:lineRule="auto"/>
        <w:jc w:val="both"/>
        <w:rPr>
          <w:rFonts w:ascii="Times New Roman" w:hAnsi="Times New Roman" w:cs="Times New Roman"/>
          <w:b/>
          <w:bCs/>
          <w:sz w:val="24"/>
          <w:szCs w:val="24"/>
        </w:rPr>
      </w:pPr>
      <w:r w:rsidRPr="00AA5B0E">
        <w:rPr>
          <w:rFonts w:ascii="Times New Roman" w:hAnsi="Times New Roman" w:cs="Times New Roman"/>
          <w:b/>
          <w:bCs/>
          <w:sz w:val="24"/>
          <w:szCs w:val="24"/>
        </w:rPr>
        <w:t>3.9 Limitations of the Methodology</w:t>
      </w:r>
    </w:p>
    <w:p w14:paraId="020F6371"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The study may face limitations such as restricted access to internal data, low response rate from employees due to confidentiality concerns, and time constraints. However, every effort is made to minimize bias and ensure the accuracy and credibility of the findings.</w:t>
      </w:r>
    </w:p>
    <w:p w14:paraId="4E947100" w14:textId="77777777" w:rsidR="00AA5B0E" w:rsidRPr="0078607C" w:rsidRDefault="00AA5B0E" w:rsidP="00AA5B0E">
      <w:pPr>
        <w:spacing w:line="360" w:lineRule="auto"/>
        <w:jc w:val="center"/>
        <w:rPr>
          <w:rFonts w:ascii="Times New Roman" w:hAnsi="Times New Roman" w:cs="Times New Roman"/>
          <w:sz w:val="24"/>
          <w:szCs w:val="24"/>
        </w:rPr>
      </w:pPr>
      <w:bookmarkStart w:id="6" w:name="_Hlk203212469"/>
      <w:r w:rsidRPr="0078607C">
        <w:rPr>
          <w:rFonts w:ascii="Times New Roman" w:hAnsi="Times New Roman" w:cs="Times New Roman"/>
          <w:b/>
          <w:sz w:val="24"/>
          <w:szCs w:val="24"/>
          <w:lang w:val="en-US"/>
        </w:rPr>
        <w:lastRenderedPageBreak/>
        <w:t>CHAPTER – IV</w:t>
      </w:r>
    </w:p>
    <w:p w14:paraId="2FBFE019" w14:textId="77777777" w:rsidR="00AA5B0E" w:rsidRDefault="00AA5B0E" w:rsidP="00AA5B0E">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F04E36A" w14:textId="77777777" w:rsidR="00AA5B0E" w:rsidRPr="004D7E4B" w:rsidRDefault="00AA5B0E" w:rsidP="00AA5B0E">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AA5B0E" w:rsidRPr="004D7E4B" w14:paraId="76FF725B"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29954C86" w14:textId="77777777" w:rsidR="00AA5B0E" w:rsidRPr="004D7E4B" w:rsidRDefault="00AA5B0E"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5FA583A0" w14:textId="77777777" w:rsidR="00AA5B0E" w:rsidRPr="004D7E4B" w:rsidRDefault="00AA5B0E"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6BB76DE2" w14:textId="77777777" w:rsidR="00AA5B0E" w:rsidRPr="004D7E4B" w:rsidRDefault="00AA5B0E"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AA5B0E" w:rsidRPr="004D7E4B" w14:paraId="2CC04B1E"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40D3059E" w14:textId="62B35D48" w:rsidR="00AA5B0E" w:rsidRPr="004D7E4B" w:rsidRDefault="00AA5B0E" w:rsidP="009067DA">
            <w:pPr>
              <w:spacing w:line="360" w:lineRule="auto"/>
              <w:jc w:val="center"/>
              <w:rPr>
                <w:rFonts w:ascii="Times New Roman" w:hAnsi="Times New Roman" w:cs="Times New Roman"/>
                <w:b/>
                <w:sz w:val="24"/>
                <w:szCs w:val="24"/>
                <w:lang w:val="en-US"/>
              </w:rPr>
            </w:pPr>
            <w:r w:rsidRPr="00AA5B0E">
              <w:rPr>
                <w:rFonts w:ascii="Times New Roman" w:hAnsi="Times New Roman" w:cs="Times New Roman"/>
                <w:b/>
                <w:sz w:val="24"/>
                <w:szCs w:val="24"/>
              </w:rPr>
              <w:t>20 – 29</w:t>
            </w:r>
          </w:p>
        </w:tc>
        <w:tc>
          <w:tcPr>
            <w:tcW w:w="3185" w:type="dxa"/>
            <w:tcBorders>
              <w:top w:val="single" w:sz="4" w:space="0" w:color="auto"/>
              <w:left w:val="single" w:sz="4" w:space="0" w:color="auto"/>
              <w:bottom w:val="single" w:sz="4" w:space="0" w:color="auto"/>
              <w:right w:val="single" w:sz="4" w:space="0" w:color="auto"/>
            </w:tcBorders>
            <w:hideMark/>
          </w:tcPr>
          <w:p w14:paraId="7A8B6246" w14:textId="34826B03" w:rsidR="00AA5B0E" w:rsidRPr="004D7E4B" w:rsidRDefault="00AA5B0E"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50461C80" w14:textId="77777777" w:rsidR="00AA5B0E" w:rsidRPr="004D7E4B" w:rsidRDefault="00AA5B0E"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AA5B0E" w:rsidRPr="004D7E4B" w14:paraId="3BADCAE7"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680E97F6" w14:textId="6AB7776D" w:rsidR="00AA5B0E" w:rsidRPr="004D7E4B" w:rsidRDefault="00AA5B0E" w:rsidP="009067DA">
            <w:pPr>
              <w:spacing w:line="360" w:lineRule="auto"/>
              <w:jc w:val="center"/>
              <w:rPr>
                <w:rFonts w:ascii="Times New Roman" w:hAnsi="Times New Roman" w:cs="Times New Roman"/>
                <w:b/>
                <w:sz w:val="24"/>
                <w:szCs w:val="24"/>
                <w:lang w:val="en-US"/>
              </w:rPr>
            </w:pPr>
            <w:r w:rsidRPr="00AA5B0E">
              <w:rPr>
                <w:rFonts w:ascii="Times New Roman" w:hAnsi="Times New Roman" w:cs="Times New Roman"/>
                <w:b/>
                <w:sz w:val="24"/>
                <w:szCs w:val="24"/>
              </w:rPr>
              <w:t>30 – 39</w:t>
            </w:r>
          </w:p>
        </w:tc>
        <w:tc>
          <w:tcPr>
            <w:tcW w:w="3185" w:type="dxa"/>
            <w:tcBorders>
              <w:top w:val="single" w:sz="4" w:space="0" w:color="auto"/>
              <w:left w:val="single" w:sz="4" w:space="0" w:color="auto"/>
              <w:bottom w:val="single" w:sz="4" w:space="0" w:color="auto"/>
              <w:right w:val="single" w:sz="4" w:space="0" w:color="auto"/>
            </w:tcBorders>
            <w:hideMark/>
          </w:tcPr>
          <w:p w14:paraId="12E89EF2" w14:textId="1917605B" w:rsidR="00AA5B0E" w:rsidRPr="004D7E4B" w:rsidRDefault="00AA5B0E"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w:t>
            </w:r>
          </w:p>
        </w:tc>
        <w:tc>
          <w:tcPr>
            <w:tcW w:w="3185" w:type="dxa"/>
            <w:tcBorders>
              <w:top w:val="single" w:sz="4" w:space="0" w:color="auto"/>
              <w:left w:val="single" w:sz="4" w:space="0" w:color="auto"/>
              <w:bottom w:val="single" w:sz="4" w:space="0" w:color="auto"/>
              <w:right w:val="single" w:sz="4" w:space="0" w:color="auto"/>
            </w:tcBorders>
            <w:hideMark/>
          </w:tcPr>
          <w:p w14:paraId="012676F2" w14:textId="02AF89A8" w:rsidR="00AA5B0E" w:rsidRPr="004D7E4B" w:rsidRDefault="00AA5B0E"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AA5B0E" w:rsidRPr="004D7E4B" w14:paraId="50BA42F3"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hideMark/>
          </w:tcPr>
          <w:p w14:paraId="154DC11C" w14:textId="04ADCABB" w:rsidR="00AA5B0E" w:rsidRPr="004D7E4B" w:rsidRDefault="00AA5B0E" w:rsidP="009067DA">
            <w:pPr>
              <w:spacing w:line="360" w:lineRule="auto"/>
              <w:jc w:val="center"/>
              <w:rPr>
                <w:rFonts w:ascii="Times New Roman" w:hAnsi="Times New Roman" w:cs="Times New Roman"/>
                <w:b/>
                <w:sz w:val="24"/>
                <w:szCs w:val="24"/>
                <w:lang w:val="en-US"/>
              </w:rPr>
            </w:pPr>
            <w:r w:rsidRPr="00AA5B0E">
              <w:rPr>
                <w:rFonts w:ascii="Times New Roman" w:hAnsi="Times New Roman" w:cs="Times New Roman"/>
                <w:b/>
                <w:sz w:val="24"/>
                <w:szCs w:val="24"/>
              </w:rPr>
              <w:t>40 – 49</w:t>
            </w:r>
          </w:p>
        </w:tc>
        <w:tc>
          <w:tcPr>
            <w:tcW w:w="3185" w:type="dxa"/>
            <w:tcBorders>
              <w:top w:val="single" w:sz="4" w:space="0" w:color="auto"/>
              <w:left w:val="single" w:sz="4" w:space="0" w:color="auto"/>
              <w:bottom w:val="single" w:sz="4" w:space="0" w:color="auto"/>
              <w:right w:val="single" w:sz="4" w:space="0" w:color="auto"/>
            </w:tcBorders>
            <w:hideMark/>
          </w:tcPr>
          <w:p w14:paraId="62F60F29" w14:textId="733D2D3C" w:rsidR="00AA5B0E" w:rsidRPr="004D7E4B" w:rsidRDefault="00AA5B0E"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w:t>
            </w:r>
          </w:p>
        </w:tc>
        <w:tc>
          <w:tcPr>
            <w:tcW w:w="3185" w:type="dxa"/>
            <w:tcBorders>
              <w:top w:val="single" w:sz="4" w:space="0" w:color="auto"/>
              <w:left w:val="single" w:sz="4" w:space="0" w:color="auto"/>
              <w:bottom w:val="single" w:sz="4" w:space="0" w:color="auto"/>
              <w:right w:val="single" w:sz="4" w:space="0" w:color="auto"/>
            </w:tcBorders>
            <w:hideMark/>
          </w:tcPr>
          <w:p w14:paraId="14B07662" w14:textId="035F0F4A" w:rsidR="00AA5B0E" w:rsidRPr="004D7E4B" w:rsidRDefault="00AA5B0E"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AA5B0E" w14:paraId="2AC78454"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14A74AB5" w14:textId="41256668" w:rsidR="00AA5B0E" w:rsidRPr="00EE3350" w:rsidRDefault="00AA5B0E" w:rsidP="009067DA">
            <w:pPr>
              <w:spacing w:line="360" w:lineRule="auto"/>
              <w:jc w:val="center"/>
              <w:rPr>
                <w:rFonts w:ascii="Times New Roman" w:hAnsi="Times New Roman" w:cs="Times New Roman"/>
                <w:b/>
                <w:sz w:val="24"/>
                <w:szCs w:val="24"/>
              </w:rPr>
            </w:pPr>
            <w:r w:rsidRPr="00AA5B0E">
              <w:rPr>
                <w:rFonts w:ascii="Times New Roman" w:hAnsi="Times New Roman" w:cs="Times New Roman"/>
                <w:b/>
                <w:sz w:val="24"/>
                <w:szCs w:val="24"/>
              </w:rPr>
              <w:t>50 and above</w:t>
            </w:r>
          </w:p>
        </w:tc>
        <w:tc>
          <w:tcPr>
            <w:tcW w:w="3185" w:type="dxa"/>
            <w:tcBorders>
              <w:top w:val="single" w:sz="4" w:space="0" w:color="auto"/>
              <w:left w:val="single" w:sz="4" w:space="0" w:color="auto"/>
              <w:bottom w:val="single" w:sz="4" w:space="0" w:color="auto"/>
              <w:right w:val="single" w:sz="4" w:space="0" w:color="auto"/>
            </w:tcBorders>
          </w:tcPr>
          <w:p w14:paraId="70E9C0D7" w14:textId="502B397C" w:rsidR="00AA5B0E" w:rsidRDefault="00AA5B0E"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p>
        </w:tc>
        <w:tc>
          <w:tcPr>
            <w:tcW w:w="3185" w:type="dxa"/>
            <w:tcBorders>
              <w:top w:val="single" w:sz="4" w:space="0" w:color="auto"/>
              <w:left w:val="single" w:sz="4" w:space="0" w:color="auto"/>
              <w:bottom w:val="single" w:sz="4" w:space="0" w:color="auto"/>
              <w:right w:val="single" w:sz="4" w:space="0" w:color="auto"/>
            </w:tcBorders>
          </w:tcPr>
          <w:p w14:paraId="5297F60F" w14:textId="63C45D09" w:rsidR="00AA5B0E" w:rsidRDefault="00AA5B0E"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AA5B0E" w:rsidRPr="004D7E4B" w14:paraId="4DBDDA51" w14:textId="77777777" w:rsidTr="009067DA">
        <w:trPr>
          <w:trHeight w:val="516"/>
        </w:trPr>
        <w:tc>
          <w:tcPr>
            <w:tcW w:w="3077" w:type="dxa"/>
            <w:tcBorders>
              <w:top w:val="single" w:sz="4" w:space="0" w:color="auto"/>
              <w:left w:val="single" w:sz="4" w:space="0" w:color="auto"/>
              <w:bottom w:val="single" w:sz="4" w:space="0" w:color="auto"/>
              <w:right w:val="single" w:sz="4" w:space="0" w:color="auto"/>
            </w:tcBorders>
            <w:hideMark/>
          </w:tcPr>
          <w:p w14:paraId="432C4D0D" w14:textId="77777777" w:rsidR="00AA5B0E" w:rsidRPr="004D7E4B" w:rsidRDefault="00AA5B0E"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594D0F4" w14:textId="0850149B" w:rsidR="00AA5B0E" w:rsidRPr="004D7E4B" w:rsidRDefault="00AA5B0E"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0920E355" w14:textId="77777777" w:rsidR="00AA5B0E" w:rsidRPr="004D7E4B" w:rsidRDefault="00AA5B0E"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076D363D" w14:textId="77777777" w:rsidR="00AA5B0E" w:rsidRDefault="00AA5B0E" w:rsidP="00AA5B0E">
      <w:pPr>
        <w:spacing w:line="360" w:lineRule="auto"/>
        <w:rPr>
          <w:rFonts w:ascii="Times New Roman" w:hAnsi="Times New Roman" w:cs="Times New Roman"/>
          <w:b/>
          <w:sz w:val="24"/>
          <w:szCs w:val="24"/>
          <w:lang w:val="en-US"/>
        </w:rPr>
      </w:pPr>
    </w:p>
    <w:p w14:paraId="03C6695A" w14:textId="77777777" w:rsidR="00AA5B0E" w:rsidRDefault="00AA5B0E" w:rsidP="00AA5B0E">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6"/>
    <w:p w14:paraId="6B15F899"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From the data presented, it is evident that the majority of respondents (45%) fall within the 30–39 age group, indicating that the bulk of participants are relatively young professionals with moderate work experience. This age bracket is typically associated with individuals who are actively involved in decision-making roles and operational activities in the bank, including risk management functions.</w:t>
      </w:r>
    </w:p>
    <w:p w14:paraId="44EEFEAB"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The 20–29 age group represents 25% of the respondents, suggesting a healthy proportion of younger employees who may be newer to the bank but could bring fresh perspectives and contemporary knowledge on risk practices and profitability strategies. This mix helps ensure a dynamic approach to risk management within the bank.</w:t>
      </w:r>
    </w:p>
    <w:p w14:paraId="1FACADFB"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Respondents aged 40–49 make up 20% of the sample, reflecting a group with potentially more experience and seniority. Their participation is critical for providing insights into the strategic and managerial aspects of risk management and its impact on profitability.</w:t>
      </w:r>
    </w:p>
    <w:p w14:paraId="3E9B3114"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The smallest segment, 10%, is aged 50 and above. This group likely comprises senior management or specialized experts whose experience can provide historical perspectives on how risk management has evolved and influenced the bank’s financial outcomes over time.</w:t>
      </w:r>
    </w:p>
    <w:p w14:paraId="6D46F1E3" w14:textId="77777777" w:rsidR="00AA5B0E" w:rsidRDefault="00AA5B0E"/>
    <w:p w14:paraId="274E0D11" w14:textId="77777777" w:rsidR="00AA5B0E" w:rsidRDefault="00AA5B0E"/>
    <w:p w14:paraId="52587C7C" w14:textId="77777777" w:rsidR="00AA5B0E" w:rsidRPr="00967E78" w:rsidRDefault="00AA5B0E" w:rsidP="00AA5B0E">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27AC811B" w14:textId="77777777" w:rsidR="00AA5B0E" w:rsidRPr="004D7E4B" w:rsidRDefault="00AA5B0E" w:rsidP="00AA5B0E">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AA5B0E" w:rsidRPr="004D7E4B" w14:paraId="259BCAA7"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1FE1BD68" w14:textId="77777777" w:rsidR="00AA5B0E" w:rsidRPr="004D7E4B" w:rsidRDefault="00AA5B0E"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22BF508" w14:textId="77777777" w:rsidR="00AA5B0E" w:rsidRPr="004D7E4B" w:rsidRDefault="00AA5B0E"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B63FADD" w14:textId="77777777" w:rsidR="00AA5B0E" w:rsidRPr="004D7E4B" w:rsidRDefault="00AA5B0E"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AA5B0E" w:rsidRPr="004D7E4B" w14:paraId="053D1669"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64BA1E64" w14:textId="77777777" w:rsidR="00AA5B0E" w:rsidRPr="004D7E4B" w:rsidRDefault="00AA5B0E"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32CC53C" w14:textId="7D9A7A43" w:rsidR="00AA5B0E" w:rsidRPr="004D7E4B" w:rsidRDefault="00AA5B0E"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26</w:t>
            </w:r>
          </w:p>
        </w:tc>
        <w:tc>
          <w:tcPr>
            <w:tcW w:w="2685" w:type="dxa"/>
            <w:tcBorders>
              <w:top w:val="single" w:sz="4" w:space="0" w:color="auto"/>
              <w:left w:val="single" w:sz="4" w:space="0" w:color="auto"/>
              <w:bottom w:val="single" w:sz="4" w:space="0" w:color="auto"/>
              <w:right w:val="single" w:sz="4" w:space="0" w:color="auto"/>
            </w:tcBorders>
            <w:hideMark/>
          </w:tcPr>
          <w:p w14:paraId="77975FA4" w14:textId="040A968E" w:rsidR="00AA5B0E" w:rsidRPr="004D7E4B" w:rsidRDefault="00AA5B0E"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65</w:t>
            </w:r>
            <w:r w:rsidRPr="004D7E4B">
              <w:rPr>
                <w:rFonts w:ascii="Times New Roman" w:hAnsi="Times New Roman" w:cs="Times New Roman"/>
                <w:bCs/>
                <w:sz w:val="24"/>
                <w:szCs w:val="24"/>
                <w:lang w:val="en-US"/>
              </w:rPr>
              <w:t>%</w:t>
            </w:r>
          </w:p>
        </w:tc>
      </w:tr>
      <w:tr w:rsidR="00AA5B0E" w:rsidRPr="004D7E4B" w14:paraId="5DD2CB8A"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13916921" w14:textId="77777777" w:rsidR="00AA5B0E" w:rsidRPr="004D7E4B" w:rsidRDefault="00AA5B0E"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C7AC631" w14:textId="5388360A" w:rsidR="00AA5B0E" w:rsidRPr="004D7E4B" w:rsidRDefault="00AA5B0E"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14</w:t>
            </w:r>
          </w:p>
        </w:tc>
        <w:tc>
          <w:tcPr>
            <w:tcW w:w="2685" w:type="dxa"/>
            <w:tcBorders>
              <w:top w:val="single" w:sz="4" w:space="0" w:color="auto"/>
              <w:left w:val="single" w:sz="4" w:space="0" w:color="auto"/>
              <w:bottom w:val="single" w:sz="4" w:space="0" w:color="auto"/>
              <w:right w:val="single" w:sz="4" w:space="0" w:color="auto"/>
            </w:tcBorders>
            <w:hideMark/>
          </w:tcPr>
          <w:p w14:paraId="1D123047" w14:textId="42B10D5F" w:rsidR="00AA5B0E" w:rsidRPr="004D7E4B" w:rsidRDefault="00AA5B0E"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35%</w:t>
            </w:r>
          </w:p>
        </w:tc>
      </w:tr>
      <w:tr w:rsidR="00AA5B0E" w:rsidRPr="004D7E4B" w14:paraId="048B74CF"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7AD74C5D" w14:textId="77777777" w:rsidR="00AA5B0E" w:rsidRPr="004D7E4B" w:rsidRDefault="00AA5B0E"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309986D2" w14:textId="3ABCF29B" w:rsidR="00AA5B0E" w:rsidRPr="004D7E4B" w:rsidRDefault="00AA5B0E" w:rsidP="009067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0CD5E3A9" w14:textId="77777777" w:rsidR="00AA5B0E" w:rsidRPr="004D7E4B" w:rsidRDefault="00AA5B0E"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50CD554" w14:textId="77777777" w:rsidR="00AA5B0E" w:rsidRDefault="00AA5B0E" w:rsidP="00AA5B0E">
      <w:pPr>
        <w:spacing w:line="360" w:lineRule="auto"/>
        <w:jc w:val="both"/>
        <w:rPr>
          <w:rFonts w:ascii="Times New Roman" w:hAnsi="Times New Roman" w:cs="Times New Roman"/>
          <w:bCs/>
          <w:sz w:val="24"/>
          <w:szCs w:val="24"/>
        </w:rPr>
      </w:pPr>
    </w:p>
    <w:p w14:paraId="66829B72" w14:textId="0860F732" w:rsidR="00AA5B0E" w:rsidRDefault="00AA5B0E" w:rsidP="00AA5B0E">
      <w:pP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INTERPRETATION:</w:t>
      </w:r>
    </w:p>
    <w:p w14:paraId="3E7BE1AC"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The gender distribution of the respondents reveals that a majority of 65% are male, while females constitute 35% of the sample. This indicates that male employees are more represented in the departments involved in risk management and profitability activities at GT Bank, which could reflect the general gender composition in the banking sector or within the selected sample group.</w:t>
      </w:r>
    </w:p>
    <w:p w14:paraId="318D52FC"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The presence of 35% female respondents shows a reasonable level of gender diversity in the workforce contributing to the study. This diversity is important as it brings different perspectives and approaches to risk management, which can positively influence decision-making and financial performance.</w:t>
      </w:r>
    </w:p>
    <w:p w14:paraId="15B55CAD"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Although males dominate the sample, the female representation is significant enough to ensure that the findings reflect a broad range of views. Encouraging gender balance in risk management roles may further enhance the effectiveness of policies aimed at improving profitability.</w:t>
      </w:r>
    </w:p>
    <w:p w14:paraId="69B10521" w14:textId="77777777" w:rsidR="00AA5B0E" w:rsidRPr="00AA5B0E" w:rsidRDefault="00AA5B0E" w:rsidP="00AA5B0E">
      <w:p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Overall, the gender distribution suggests that while GT Bank’s risk management and finance teams are somewhat male-dominated, both genders are actively involved in managing risks and driving the bank’s profitability.</w:t>
      </w:r>
    </w:p>
    <w:p w14:paraId="7AD295CB" w14:textId="77777777" w:rsidR="00AA5B0E" w:rsidRDefault="00AA5B0E" w:rsidP="00AA5B0E">
      <w:pPr>
        <w:spacing w:line="360" w:lineRule="auto"/>
        <w:jc w:val="both"/>
        <w:rPr>
          <w:rFonts w:ascii="Times New Roman" w:hAnsi="Times New Roman" w:cs="Times New Roman"/>
          <w:sz w:val="24"/>
          <w:szCs w:val="24"/>
        </w:rPr>
      </w:pPr>
    </w:p>
    <w:p w14:paraId="7E840042" w14:textId="77777777" w:rsidR="00AA5B0E" w:rsidRDefault="00AA5B0E" w:rsidP="00AA5B0E">
      <w:pPr>
        <w:spacing w:line="360" w:lineRule="auto"/>
        <w:jc w:val="both"/>
        <w:rPr>
          <w:rFonts w:ascii="Times New Roman" w:hAnsi="Times New Roman" w:cs="Times New Roman"/>
          <w:sz w:val="24"/>
          <w:szCs w:val="24"/>
        </w:rPr>
      </w:pPr>
    </w:p>
    <w:p w14:paraId="22AF8126" w14:textId="77777777" w:rsidR="00AA5B0E" w:rsidRDefault="00AA5B0E" w:rsidP="00AA5B0E">
      <w:pPr>
        <w:spacing w:line="360" w:lineRule="auto"/>
        <w:jc w:val="both"/>
        <w:rPr>
          <w:rFonts w:ascii="Times New Roman" w:hAnsi="Times New Roman" w:cs="Times New Roman"/>
          <w:sz w:val="24"/>
          <w:szCs w:val="24"/>
        </w:rPr>
      </w:pPr>
    </w:p>
    <w:p w14:paraId="20BC79CD" w14:textId="77777777" w:rsidR="00AA5B0E" w:rsidRDefault="00AA5B0E" w:rsidP="00AA5B0E">
      <w:pPr>
        <w:spacing w:line="360" w:lineRule="auto"/>
        <w:jc w:val="both"/>
        <w:rPr>
          <w:rFonts w:ascii="Times New Roman" w:hAnsi="Times New Roman" w:cs="Times New Roman"/>
          <w:sz w:val="24"/>
          <w:szCs w:val="24"/>
        </w:rPr>
      </w:pPr>
    </w:p>
    <w:p w14:paraId="503D6FB8" w14:textId="77777777" w:rsidR="00AA5B0E" w:rsidRDefault="00AA5B0E" w:rsidP="00AA5B0E">
      <w:pPr>
        <w:spacing w:line="360" w:lineRule="auto"/>
        <w:jc w:val="both"/>
        <w:rPr>
          <w:rFonts w:ascii="Times New Roman" w:hAnsi="Times New Roman" w:cs="Times New Roman"/>
          <w:b/>
          <w:bCs/>
          <w:sz w:val="24"/>
          <w:szCs w:val="24"/>
        </w:rPr>
      </w:pPr>
      <w:bookmarkStart w:id="7" w:name="_Hlk202090519"/>
      <w:r w:rsidRPr="007B042D">
        <w:rPr>
          <w:rFonts w:ascii="Times New Roman" w:hAnsi="Times New Roman" w:cs="Times New Roman"/>
          <w:b/>
          <w:bCs/>
          <w:sz w:val="24"/>
          <w:szCs w:val="24"/>
        </w:rPr>
        <w:lastRenderedPageBreak/>
        <w:t>CONCLUSION</w:t>
      </w:r>
    </w:p>
    <w:bookmarkEnd w:id="7"/>
    <w:p w14:paraId="43647925" w14:textId="7DD86C0B" w:rsidR="00AA5B0E" w:rsidRPr="00AA5B0E" w:rsidRDefault="00AA5B0E" w:rsidP="00AA5B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5B0E">
        <w:rPr>
          <w:rFonts w:ascii="Times New Roman" w:hAnsi="Times New Roman" w:cs="Times New Roman"/>
          <w:sz w:val="24"/>
          <w:szCs w:val="24"/>
        </w:rPr>
        <w:t>This study has examined the significant role that risk management plays in influencing the profitability of Guaranty Trust Bank (GT Bank). It is evident from the analysis that effective risk management practices are crucial in safeguarding the bank’s financial health and enhancing its profitability. By identifying, assessing, and mitigating key risks—such as credit risk, operational risk, market risk, and liquidity risk—GT Bank is better positioned to minimize losses, reduce non-performing loans, and sustain a steady growth in returns.</w:t>
      </w:r>
    </w:p>
    <w:p w14:paraId="008856FD" w14:textId="1451A01F" w:rsidR="00AA5B0E" w:rsidRPr="00AA5B0E" w:rsidRDefault="00AA5B0E" w:rsidP="00AA5B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5B0E">
        <w:rPr>
          <w:rFonts w:ascii="Times New Roman" w:hAnsi="Times New Roman" w:cs="Times New Roman"/>
          <w:sz w:val="24"/>
          <w:szCs w:val="24"/>
        </w:rPr>
        <w:t>The findings also underscore that the implementation of comprehensive risk management frameworks, coupled with strong internal controls and adherence to regulatory guidelines, contributes positively to the bank’s financial performance indicators such as Return on Assets (ROA) and Return on Equity (ROE). Moreover, the bank’s proactive approach to risk governance fosters investor confidence, promotes operational efficiency, and enhances its competitive advantage in the Nigerian banking industry.</w:t>
      </w:r>
    </w:p>
    <w:p w14:paraId="097DD386" w14:textId="005CC170" w:rsidR="00AA5B0E" w:rsidRPr="00AA5B0E" w:rsidRDefault="00AA5B0E" w:rsidP="00AA5B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5B0E">
        <w:rPr>
          <w:rFonts w:ascii="Times New Roman" w:hAnsi="Times New Roman" w:cs="Times New Roman"/>
          <w:sz w:val="24"/>
          <w:szCs w:val="24"/>
        </w:rPr>
        <w:t>However, the study recognizes that challenges remain, including economic volatility, regulatory changes, and technological risks, which require continuous improvement of risk management strategies. GT Bank’s ability to adapt and innovate in managing these risks will be critical to maintaining and improving profitability in the future.</w:t>
      </w:r>
    </w:p>
    <w:p w14:paraId="3B286438" w14:textId="671F9E54" w:rsidR="00AA5B0E" w:rsidRPr="00AA5B0E" w:rsidRDefault="00AA5B0E" w:rsidP="00AA5B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5B0E">
        <w:rPr>
          <w:rFonts w:ascii="Times New Roman" w:hAnsi="Times New Roman" w:cs="Times New Roman"/>
          <w:sz w:val="24"/>
          <w:szCs w:val="24"/>
        </w:rPr>
        <w:t>In conclusion, risk management is not merely a compliance requirement for GT Bank but a strategic tool that directly impacts its profitability and long-term sustainability. The study recommends that the bank continue to invest in advanced risk management technologies, staff training, and comprehensive risk assessment methodologies to further strengthen its risk posture and financial success.</w:t>
      </w:r>
    </w:p>
    <w:p w14:paraId="0C93772B" w14:textId="77777777" w:rsidR="00AA5B0E" w:rsidRDefault="00AA5B0E" w:rsidP="00AA5B0E">
      <w:pPr>
        <w:spacing w:line="360" w:lineRule="auto"/>
        <w:jc w:val="both"/>
        <w:rPr>
          <w:rFonts w:ascii="Times New Roman" w:hAnsi="Times New Roman" w:cs="Times New Roman"/>
          <w:sz w:val="24"/>
          <w:szCs w:val="24"/>
        </w:rPr>
      </w:pPr>
    </w:p>
    <w:p w14:paraId="43D0D196" w14:textId="77777777" w:rsidR="00AA5B0E" w:rsidRDefault="00AA5B0E" w:rsidP="00AA5B0E">
      <w:pPr>
        <w:spacing w:line="360" w:lineRule="auto"/>
        <w:jc w:val="both"/>
        <w:rPr>
          <w:rFonts w:ascii="Times New Roman" w:hAnsi="Times New Roman" w:cs="Times New Roman"/>
          <w:sz w:val="24"/>
          <w:szCs w:val="24"/>
        </w:rPr>
      </w:pPr>
    </w:p>
    <w:p w14:paraId="0D6EAE24" w14:textId="77777777" w:rsidR="00AA5B0E" w:rsidRDefault="00AA5B0E" w:rsidP="00AA5B0E">
      <w:pPr>
        <w:spacing w:line="360" w:lineRule="auto"/>
        <w:jc w:val="both"/>
        <w:rPr>
          <w:rFonts w:ascii="Times New Roman" w:hAnsi="Times New Roman" w:cs="Times New Roman"/>
          <w:sz w:val="24"/>
          <w:szCs w:val="24"/>
        </w:rPr>
      </w:pPr>
    </w:p>
    <w:p w14:paraId="356AA635" w14:textId="77777777" w:rsidR="00AA5B0E" w:rsidRDefault="00AA5B0E" w:rsidP="00AA5B0E">
      <w:pPr>
        <w:spacing w:line="360" w:lineRule="auto"/>
        <w:jc w:val="both"/>
        <w:rPr>
          <w:rFonts w:ascii="Times New Roman" w:hAnsi="Times New Roman" w:cs="Times New Roman"/>
          <w:sz w:val="24"/>
          <w:szCs w:val="24"/>
        </w:rPr>
      </w:pPr>
    </w:p>
    <w:p w14:paraId="0BFCA292" w14:textId="77777777" w:rsidR="00AA5B0E" w:rsidRDefault="00AA5B0E" w:rsidP="00AA5B0E">
      <w:pPr>
        <w:spacing w:line="360" w:lineRule="auto"/>
        <w:jc w:val="both"/>
        <w:rPr>
          <w:rFonts w:ascii="Times New Roman" w:hAnsi="Times New Roman" w:cs="Times New Roman"/>
          <w:sz w:val="24"/>
          <w:szCs w:val="24"/>
        </w:rPr>
      </w:pPr>
    </w:p>
    <w:p w14:paraId="64CE41EA" w14:textId="77777777" w:rsidR="00AA5B0E" w:rsidRDefault="00AA5B0E" w:rsidP="00AA5B0E">
      <w:pPr>
        <w:spacing w:line="360" w:lineRule="auto"/>
        <w:jc w:val="both"/>
        <w:rPr>
          <w:rFonts w:ascii="Times New Roman" w:hAnsi="Times New Roman" w:cs="Times New Roman"/>
          <w:sz w:val="24"/>
          <w:szCs w:val="24"/>
        </w:rPr>
      </w:pPr>
    </w:p>
    <w:p w14:paraId="06B4B9AD" w14:textId="77777777" w:rsidR="00AA5B0E" w:rsidRDefault="00AA5B0E" w:rsidP="00AA5B0E">
      <w:pPr>
        <w:spacing w:line="360" w:lineRule="auto"/>
        <w:jc w:val="both"/>
        <w:rPr>
          <w:rFonts w:ascii="Times New Roman" w:hAnsi="Times New Roman" w:cs="Times New Roman"/>
          <w:sz w:val="24"/>
          <w:szCs w:val="24"/>
        </w:rPr>
      </w:pPr>
    </w:p>
    <w:p w14:paraId="65C8F08F" w14:textId="77777777" w:rsidR="00AA5B0E" w:rsidRPr="007B042D" w:rsidRDefault="00AA5B0E" w:rsidP="00AA5B0E">
      <w:pPr>
        <w:spacing w:line="360" w:lineRule="auto"/>
        <w:jc w:val="center"/>
        <w:rPr>
          <w:rFonts w:ascii="Times New Roman" w:hAnsi="Times New Roman" w:cs="Times New Roman"/>
          <w:b/>
          <w:bCs/>
          <w:sz w:val="24"/>
          <w:szCs w:val="24"/>
          <w:lang w:val="en-US"/>
        </w:rPr>
      </w:pPr>
      <w:bookmarkStart w:id="8" w:name="_Hlk203474877"/>
      <w:bookmarkStart w:id="9" w:name="_Hlk203252345"/>
      <w:r w:rsidRPr="007B042D">
        <w:rPr>
          <w:rFonts w:ascii="Times New Roman" w:hAnsi="Times New Roman" w:cs="Times New Roman"/>
          <w:b/>
          <w:bCs/>
          <w:sz w:val="24"/>
          <w:szCs w:val="24"/>
          <w:lang w:val="en-US"/>
        </w:rPr>
        <w:lastRenderedPageBreak/>
        <w:t>BIBLIOGRAPHY</w:t>
      </w:r>
      <w:bookmarkEnd w:id="8"/>
    </w:p>
    <w:bookmarkEnd w:id="9"/>
    <w:p w14:paraId="56FE4186" w14:textId="77777777" w:rsidR="00AA5B0E" w:rsidRPr="00AA5B0E" w:rsidRDefault="00AA5B0E" w:rsidP="00AA5B0E">
      <w:pPr>
        <w:pStyle w:val="ListParagraph"/>
        <w:numPr>
          <w:ilvl w:val="0"/>
          <w:numId w:val="5"/>
        </w:num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 xml:space="preserve">Ahmed, A., Takeda, C., &amp; Thomas, S. (1999). Bank loan loss provisions and the earnings management hypothesis: Evidence from Japan. </w:t>
      </w:r>
      <w:r w:rsidRPr="00AA5B0E">
        <w:rPr>
          <w:rFonts w:ascii="Times New Roman" w:hAnsi="Times New Roman" w:cs="Times New Roman"/>
          <w:i/>
          <w:iCs/>
          <w:sz w:val="24"/>
          <w:szCs w:val="24"/>
        </w:rPr>
        <w:t>Journal of Accounting and Economics</w:t>
      </w:r>
      <w:r w:rsidRPr="00AA5B0E">
        <w:rPr>
          <w:rFonts w:ascii="Times New Roman" w:hAnsi="Times New Roman" w:cs="Times New Roman"/>
          <w:sz w:val="24"/>
          <w:szCs w:val="24"/>
        </w:rPr>
        <w:t>, 28(1), 67-102.</w:t>
      </w:r>
    </w:p>
    <w:p w14:paraId="73249A80" w14:textId="77777777" w:rsidR="00AA5B0E" w:rsidRPr="00AA5B0E" w:rsidRDefault="00AA5B0E" w:rsidP="00AA5B0E">
      <w:pPr>
        <w:pStyle w:val="ListParagraph"/>
        <w:numPr>
          <w:ilvl w:val="0"/>
          <w:numId w:val="5"/>
        </w:num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 xml:space="preserve">Basel Committee on Banking Supervision. (2001). </w:t>
      </w:r>
      <w:r w:rsidRPr="00AA5B0E">
        <w:rPr>
          <w:rFonts w:ascii="Times New Roman" w:hAnsi="Times New Roman" w:cs="Times New Roman"/>
          <w:i/>
          <w:iCs/>
          <w:sz w:val="24"/>
          <w:szCs w:val="24"/>
        </w:rPr>
        <w:t>Basel II: International Convergence of Capital Measurement and Capital Standards: A Revised Framework</w:t>
      </w:r>
      <w:r w:rsidRPr="00AA5B0E">
        <w:rPr>
          <w:rFonts w:ascii="Times New Roman" w:hAnsi="Times New Roman" w:cs="Times New Roman"/>
          <w:sz w:val="24"/>
          <w:szCs w:val="24"/>
        </w:rPr>
        <w:t>. Bank for International Settlements.</w:t>
      </w:r>
    </w:p>
    <w:p w14:paraId="5E48251F" w14:textId="77777777" w:rsidR="00AA5B0E" w:rsidRPr="00AA5B0E" w:rsidRDefault="00AA5B0E" w:rsidP="00AA5B0E">
      <w:pPr>
        <w:pStyle w:val="ListParagraph"/>
        <w:numPr>
          <w:ilvl w:val="0"/>
          <w:numId w:val="5"/>
        </w:num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 xml:space="preserve">Fatemi, A., &amp; </w:t>
      </w:r>
      <w:proofErr w:type="spellStart"/>
      <w:r w:rsidRPr="00AA5B0E">
        <w:rPr>
          <w:rFonts w:ascii="Times New Roman" w:hAnsi="Times New Roman" w:cs="Times New Roman"/>
          <w:sz w:val="24"/>
          <w:szCs w:val="24"/>
        </w:rPr>
        <w:t>Fooladi</w:t>
      </w:r>
      <w:proofErr w:type="spellEnd"/>
      <w:r w:rsidRPr="00AA5B0E">
        <w:rPr>
          <w:rFonts w:ascii="Times New Roman" w:hAnsi="Times New Roman" w:cs="Times New Roman"/>
          <w:sz w:val="24"/>
          <w:szCs w:val="24"/>
        </w:rPr>
        <w:t xml:space="preserve">, I. (2006). Credit risk management: A survey of practices. </w:t>
      </w:r>
      <w:r w:rsidRPr="00AA5B0E">
        <w:rPr>
          <w:rFonts w:ascii="Times New Roman" w:hAnsi="Times New Roman" w:cs="Times New Roman"/>
          <w:i/>
          <w:iCs/>
          <w:sz w:val="24"/>
          <w:szCs w:val="24"/>
        </w:rPr>
        <w:t>Managerial Finance</w:t>
      </w:r>
      <w:r w:rsidRPr="00AA5B0E">
        <w:rPr>
          <w:rFonts w:ascii="Times New Roman" w:hAnsi="Times New Roman" w:cs="Times New Roman"/>
          <w:sz w:val="24"/>
          <w:szCs w:val="24"/>
        </w:rPr>
        <w:t>, 32(3), 227-233.</w:t>
      </w:r>
    </w:p>
    <w:p w14:paraId="10C50396" w14:textId="77777777" w:rsidR="00AA5B0E" w:rsidRPr="00AA5B0E" w:rsidRDefault="00AA5B0E" w:rsidP="00AA5B0E">
      <w:pPr>
        <w:pStyle w:val="ListParagraph"/>
        <w:numPr>
          <w:ilvl w:val="0"/>
          <w:numId w:val="5"/>
        </w:num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 xml:space="preserve">Ifeanyi, O. C., </w:t>
      </w:r>
      <w:proofErr w:type="spellStart"/>
      <w:r w:rsidRPr="00AA5B0E">
        <w:rPr>
          <w:rFonts w:ascii="Times New Roman" w:hAnsi="Times New Roman" w:cs="Times New Roman"/>
          <w:sz w:val="24"/>
          <w:szCs w:val="24"/>
        </w:rPr>
        <w:t>Odeniran</w:t>
      </w:r>
      <w:proofErr w:type="spellEnd"/>
      <w:r w:rsidRPr="00AA5B0E">
        <w:rPr>
          <w:rFonts w:ascii="Times New Roman" w:hAnsi="Times New Roman" w:cs="Times New Roman"/>
          <w:sz w:val="24"/>
          <w:szCs w:val="24"/>
        </w:rPr>
        <w:t xml:space="preserve">, S. A., &amp; </w:t>
      </w:r>
      <w:proofErr w:type="spellStart"/>
      <w:r w:rsidRPr="00AA5B0E">
        <w:rPr>
          <w:rFonts w:ascii="Times New Roman" w:hAnsi="Times New Roman" w:cs="Times New Roman"/>
          <w:sz w:val="24"/>
          <w:szCs w:val="24"/>
        </w:rPr>
        <w:t>Olowolaju</w:t>
      </w:r>
      <w:proofErr w:type="spellEnd"/>
      <w:r w:rsidRPr="00AA5B0E">
        <w:rPr>
          <w:rFonts w:ascii="Times New Roman" w:hAnsi="Times New Roman" w:cs="Times New Roman"/>
          <w:sz w:val="24"/>
          <w:szCs w:val="24"/>
        </w:rPr>
        <w:t xml:space="preserve">, T. (2016). Credit risk management and financial performance of Nigerian banks. </w:t>
      </w:r>
      <w:r w:rsidRPr="00AA5B0E">
        <w:rPr>
          <w:rFonts w:ascii="Times New Roman" w:hAnsi="Times New Roman" w:cs="Times New Roman"/>
          <w:i/>
          <w:iCs/>
          <w:sz w:val="24"/>
          <w:szCs w:val="24"/>
        </w:rPr>
        <w:t>International Journal of Banking and Finance</w:t>
      </w:r>
      <w:r w:rsidRPr="00AA5B0E">
        <w:rPr>
          <w:rFonts w:ascii="Times New Roman" w:hAnsi="Times New Roman" w:cs="Times New Roman"/>
          <w:sz w:val="24"/>
          <w:szCs w:val="24"/>
        </w:rPr>
        <w:t>, 5(4), 45-60.</w:t>
      </w:r>
    </w:p>
    <w:p w14:paraId="7127457D" w14:textId="77777777" w:rsidR="00AA5B0E" w:rsidRPr="00AA5B0E" w:rsidRDefault="00AA5B0E" w:rsidP="00AA5B0E">
      <w:pPr>
        <w:pStyle w:val="ListParagraph"/>
        <w:numPr>
          <w:ilvl w:val="0"/>
          <w:numId w:val="5"/>
        </w:num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 xml:space="preserve">Kargi, H. S. (2011). Credit risk and the performance of Nigerian banks. </w:t>
      </w:r>
      <w:r w:rsidRPr="00AA5B0E">
        <w:rPr>
          <w:rFonts w:ascii="Times New Roman" w:hAnsi="Times New Roman" w:cs="Times New Roman"/>
          <w:i/>
          <w:iCs/>
          <w:sz w:val="24"/>
          <w:szCs w:val="24"/>
        </w:rPr>
        <w:t>Ahmadu Bello University Journal of Financial Management</w:t>
      </w:r>
      <w:r w:rsidRPr="00AA5B0E">
        <w:rPr>
          <w:rFonts w:ascii="Times New Roman" w:hAnsi="Times New Roman" w:cs="Times New Roman"/>
          <w:sz w:val="24"/>
          <w:szCs w:val="24"/>
        </w:rPr>
        <w:t>, 2(1), 25-34.</w:t>
      </w:r>
    </w:p>
    <w:p w14:paraId="0AA1CEDD" w14:textId="77777777" w:rsidR="00AA5B0E" w:rsidRPr="00AA5B0E" w:rsidRDefault="00AA5B0E" w:rsidP="00AA5B0E">
      <w:pPr>
        <w:pStyle w:val="ListParagraph"/>
        <w:numPr>
          <w:ilvl w:val="0"/>
          <w:numId w:val="5"/>
        </w:num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 xml:space="preserve">Kolapo, T. F., Ayeni, R. K., &amp; </w:t>
      </w:r>
      <w:proofErr w:type="spellStart"/>
      <w:r w:rsidRPr="00AA5B0E">
        <w:rPr>
          <w:rFonts w:ascii="Times New Roman" w:hAnsi="Times New Roman" w:cs="Times New Roman"/>
          <w:sz w:val="24"/>
          <w:szCs w:val="24"/>
        </w:rPr>
        <w:t>Oke</w:t>
      </w:r>
      <w:proofErr w:type="spellEnd"/>
      <w:r w:rsidRPr="00AA5B0E">
        <w:rPr>
          <w:rFonts w:ascii="Times New Roman" w:hAnsi="Times New Roman" w:cs="Times New Roman"/>
          <w:sz w:val="24"/>
          <w:szCs w:val="24"/>
        </w:rPr>
        <w:t xml:space="preserve">, M. O. (2012). Credit risk and commercial banks’ performance in Nigeria: A panel model approach. </w:t>
      </w:r>
      <w:r w:rsidRPr="00AA5B0E">
        <w:rPr>
          <w:rFonts w:ascii="Times New Roman" w:hAnsi="Times New Roman" w:cs="Times New Roman"/>
          <w:i/>
          <w:iCs/>
          <w:sz w:val="24"/>
          <w:szCs w:val="24"/>
        </w:rPr>
        <w:t>Australian Journal of Business and Management Research</w:t>
      </w:r>
      <w:r w:rsidRPr="00AA5B0E">
        <w:rPr>
          <w:rFonts w:ascii="Times New Roman" w:hAnsi="Times New Roman" w:cs="Times New Roman"/>
          <w:sz w:val="24"/>
          <w:szCs w:val="24"/>
        </w:rPr>
        <w:t>, 2(2), 31-38.</w:t>
      </w:r>
    </w:p>
    <w:p w14:paraId="7C89B0E6" w14:textId="77777777" w:rsidR="00AA5B0E" w:rsidRPr="00AA5B0E" w:rsidRDefault="00AA5B0E" w:rsidP="00AA5B0E">
      <w:pPr>
        <w:pStyle w:val="ListParagraph"/>
        <w:numPr>
          <w:ilvl w:val="0"/>
          <w:numId w:val="5"/>
        </w:num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 xml:space="preserve">Nocco, B. W., &amp; Stulz, R. M. (2006). Enterprise risk management: Theory and practice. </w:t>
      </w:r>
      <w:r w:rsidRPr="00AA5B0E">
        <w:rPr>
          <w:rFonts w:ascii="Times New Roman" w:hAnsi="Times New Roman" w:cs="Times New Roman"/>
          <w:i/>
          <w:iCs/>
          <w:sz w:val="24"/>
          <w:szCs w:val="24"/>
        </w:rPr>
        <w:t>Journal of Applied Corporate Finance</w:t>
      </w:r>
      <w:r w:rsidRPr="00AA5B0E">
        <w:rPr>
          <w:rFonts w:ascii="Times New Roman" w:hAnsi="Times New Roman" w:cs="Times New Roman"/>
          <w:sz w:val="24"/>
          <w:szCs w:val="24"/>
        </w:rPr>
        <w:t>, 18(4), 8-20.</w:t>
      </w:r>
    </w:p>
    <w:p w14:paraId="495465BC" w14:textId="77777777" w:rsidR="00AA5B0E" w:rsidRPr="00AA5B0E" w:rsidRDefault="00AA5B0E" w:rsidP="00AA5B0E">
      <w:pPr>
        <w:pStyle w:val="ListParagraph"/>
        <w:numPr>
          <w:ilvl w:val="0"/>
          <w:numId w:val="5"/>
        </w:numPr>
        <w:spacing w:line="360" w:lineRule="auto"/>
        <w:jc w:val="both"/>
        <w:rPr>
          <w:rFonts w:ascii="Times New Roman" w:hAnsi="Times New Roman" w:cs="Times New Roman"/>
          <w:sz w:val="24"/>
          <w:szCs w:val="24"/>
        </w:rPr>
      </w:pPr>
      <w:r w:rsidRPr="00AA5B0E">
        <w:rPr>
          <w:rFonts w:ascii="Times New Roman" w:hAnsi="Times New Roman" w:cs="Times New Roman"/>
          <w:sz w:val="24"/>
          <w:szCs w:val="24"/>
        </w:rPr>
        <w:t xml:space="preserve">Olayinka, A. T., &amp; Oseni, K. A. (2017). Risk management practices and profitability of banks: A case study of GT Bank. </w:t>
      </w:r>
      <w:r w:rsidRPr="00AA5B0E">
        <w:rPr>
          <w:rFonts w:ascii="Times New Roman" w:hAnsi="Times New Roman" w:cs="Times New Roman"/>
          <w:i/>
          <w:iCs/>
          <w:sz w:val="24"/>
          <w:szCs w:val="24"/>
        </w:rPr>
        <w:t>Journal of Banking and Finance</w:t>
      </w:r>
      <w:r w:rsidRPr="00AA5B0E">
        <w:rPr>
          <w:rFonts w:ascii="Times New Roman" w:hAnsi="Times New Roman" w:cs="Times New Roman"/>
          <w:sz w:val="24"/>
          <w:szCs w:val="24"/>
        </w:rPr>
        <w:t>, 4(3), 110-120.</w:t>
      </w:r>
    </w:p>
    <w:p w14:paraId="45CFB2A4" w14:textId="77777777" w:rsidR="00AA5B0E" w:rsidRPr="00AA5B0E" w:rsidRDefault="00AA5B0E" w:rsidP="00AA5B0E">
      <w:pPr>
        <w:pStyle w:val="ListParagraph"/>
        <w:numPr>
          <w:ilvl w:val="0"/>
          <w:numId w:val="5"/>
        </w:numPr>
        <w:spacing w:line="360" w:lineRule="auto"/>
        <w:jc w:val="both"/>
        <w:rPr>
          <w:rFonts w:ascii="Times New Roman" w:hAnsi="Times New Roman" w:cs="Times New Roman"/>
          <w:sz w:val="24"/>
          <w:szCs w:val="24"/>
        </w:rPr>
      </w:pPr>
      <w:proofErr w:type="spellStart"/>
      <w:r w:rsidRPr="00AA5B0E">
        <w:rPr>
          <w:rFonts w:ascii="Times New Roman" w:hAnsi="Times New Roman" w:cs="Times New Roman"/>
          <w:sz w:val="24"/>
          <w:szCs w:val="24"/>
        </w:rPr>
        <w:t>Onaolapo</w:t>
      </w:r>
      <w:proofErr w:type="spellEnd"/>
      <w:r w:rsidRPr="00AA5B0E">
        <w:rPr>
          <w:rFonts w:ascii="Times New Roman" w:hAnsi="Times New Roman" w:cs="Times New Roman"/>
          <w:sz w:val="24"/>
          <w:szCs w:val="24"/>
        </w:rPr>
        <w:t xml:space="preserve">, A. R. (2012). Liquidity risk management and bank profitability: Evidence from Nigeria. </w:t>
      </w:r>
      <w:r w:rsidRPr="00AA5B0E">
        <w:rPr>
          <w:rFonts w:ascii="Times New Roman" w:hAnsi="Times New Roman" w:cs="Times New Roman"/>
          <w:i/>
          <w:iCs/>
          <w:sz w:val="24"/>
          <w:szCs w:val="24"/>
        </w:rPr>
        <w:t>Nigerian Journal of Banking and Finance</w:t>
      </w:r>
      <w:r w:rsidRPr="00AA5B0E">
        <w:rPr>
          <w:rFonts w:ascii="Times New Roman" w:hAnsi="Times New Roman" w:cs="Times New Roman"/>
          <w:sz w:val="24"/>
          <w:szCs w:val="24"/>
        </w:rPr>
        <w:t>, 6(1), 77-89.</w:t>
      </w:r>
    </w:p>
    <w:p w14:paraId="6ACBE94A" w14:textId="77777777" w:rsidR="00AA5B0E" w:rsidRPr="00AA5B0E" w:rsidRDefault="00AA5B0E" w:rsidP="00AA5B0E">
      <w:pPr>
        <w:spacing w:line="360" w:lineRule="auto"/>
        <w:jc w:val="both"/>
        <w:rPr>
          <w:rFonts w:ascii="Times New Roman" w:hAnsi="Times New Roman" w:cs="Times New Roman"/>
          <w:sz w:val="24"/>
          <w:szCs w:val="24"/>
        </w:rPr>
      </w:pPr>
    </w:p>
    <w:sectPr w:rsidR="00AA5B0E" w:rsidRPr="00AA5B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2BFC"/>
    <w:multiLevelType w:val="hybridMultilevel"/>
    <w:tmpl w:val="2F7E6C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20057E"/>
    <w:multiLevelType w:val="hybridMultilevel"/>
    <w:tmpl w:val="B97A12F6"/>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1BD32C6E"/>
    <w:multiLevelType w:val="multilevel"/>
    <w:tmpl w:val="461C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0E4525"/>
    <w:multiLevelType w:val="hybridMultilevel"/>
    <w:tmpl w:val="CCA0C9C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7B7745EF"/>
    <w:multiLevelType w:val="hybridMultilevel"/>
    <w:tmpl w:val="653AE2B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2829162">
    <w:abstractNumId w:val="3"/>
  </w:num>
  <w:num w:numId="2" w16cid:durableId="142158209">
    <w:abstractNumId w:val="4"/>
  </w:num>
  <w:num w:numId="3" w16cid:durableId="1814906060">
    <w:abstractNumId w:val="0"/>
  </w:num>
  <w:num w:numId="4" w16cid:durableId="934094281">
    <w:abstractNumId w:val="2"/>
  </w:num>
  <w:num w:numId="5" w16cid:durableId="8499497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2FA"/>
    <w:rsid w:val="0020187E"/>
    <w:rsid w:val="0026103A"/>
    <w:rsid w:val="00866A37"/>
    <w:rsid w:val="008F7F7B"/>
    <w:rsid w:val="009222FA"/>
    <w:rsid w:val="00AA5B0E"/>
    <w:rsid w:val="00D60C6F"/>
    <w:rsid w:val="00E75FD5"/>
    <w:rsid w:val="00F823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E4A26"/>
  <w15:chartTrackingRefBased/>
  <w15:docId w15:val="{4255E655-46E8-4F57-8A10-E66BFD95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03A"/>
  </w:style>
  <w:style w:type="paragraph" w:styleId="Heading1">
    <w:name w:val="heading 1"/>
    <w:basedOn w:val="Normal"/>
    <w:next w:val="Normal"/>
    <w:link w:val="Heading1Char"/>
    <w:uiPriority w:val="9"/>
    <w:qFormat/>
    <w:rsid w:val="009222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222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22F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22F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22F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22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22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22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22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2F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222F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22F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22F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22F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22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22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22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22FA"/>
    <w:rPr>
      <w:rFonts w:eastAsiaTheme="majorEastAsia" w:cstheme="majorBidi"/>
      <w:color w:val="272727" w:themeColor="text1" w:themeTint="D8"/>
    </w:rPr>
  </w:style>
  <w:style w:type="paragraph" w:styleId="Title">
    <w:name w:val="Title"/>
    <w:basedOn w:val="Normal"/>
    <w:next w:val="Normal"/>
    <w:link w:val="TitleChar"/>
    <w:uiPriority w:val="10"/>
    <w:qFormat/>
    <w:rsid w:val="009222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2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22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22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22FA"/>
    <w:pPr>
      <w:spacing w:before="160"/>
      <w:jc w:val="center"/>
    </w:pPr>
    <w:rPr>
      <w:i/>
      <w:iCs/>
      <w:color w:val="404040" w:themeColor="text1" w:themeTint="BF"/>
    </w:rPr>
  </w:style>
  <w:style w:type="character" w:customStyle="1" w:styleId="QuoteChar">
    <w:name w:val="Quote Char"/>
    <w:basedOn w:val="DefaultParagraphFont"/>
    <w:link w:val="Quote"/>
    <w:uiPriority w:val="29"/>
    <w:rsid w:val="009222FA"/>
    <w:rPr>
      <w:i/>
      <w:iCs/>
      <w:color w:val="404040" w:themeColor="text1" w:themeTint="BF"/>
    </w:rPr>
  </w:style>
  <w:style w:type="paragraph" w:styleId="ListParagraph">
    <w:name w:val="List Paragraph"/>
    <w:basedOn w:val="Normal"/>
    <w:uiPriority w:val="34"/>
    <w:qFormat/>
    <w:rsid w:val="009222FA"/>
    <w:pPr>
      <w:ind w:left="720"/>
      <w:contextualSpacing/>
    </w:pPr>
  </w:style>
  <w:style w:type="character" w:styleId="IntenseEmphasis">
    <w:name w:val="Intense Emphasis"/>
    <w:basedOn w:val="DefaultParagraphFont"/>
    <w:uiPriority w:val="21"/>
    <w:qFormat/>
    <w:rsid w:val="009222FA"/>
    <w:rPr>
      <w:i/>
      <w:iCs/>
      <w:color w:val="2F5496" w:themeColor="accent1" w:themeShade="BF"/>
    </w:rPr>
  </w:style>
  <w:style w:type="paragraph" w:styleId="IntenseQuote">
    <w:name w:val="Intense Quote"/>
    <w:basedOn w:val="Normal"/>
    <w:next w:val="Normal"/>
    <w:link w:val="IntenseQuoteChar"/>
    <w:uiPriority w:val="30"/>
    <w:qFormat/>
    <w:rsid w:val="009222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22FA"/>
    <w:rPr>
      <w:i/>
      <w:iCs/>
      <w:color w:val="2F5496" w:themeColor="accent1" w:themeShade="BF"/>
    </w:rPr>
  </w:style>
  <w:style w:type="character" w:styleId="IntenseReference">
    <w:name w:val="Intense Reference"/>
    <w:basedOn w:val="DefaultParagraphFont"/>
    <w:uiPriority w:val="32"/>
    <w:qFormat/>
    <w:rsid w:val="009222F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15</Pages>
  <Words>4749</Words>
  <Characters>27074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2025-07-27T08:50:00Z</dcterms:created>
  <dcterms:modified xsi:type="dcterms:W3CDTF">2025-07-27T11:42:00Z</dcterms:modified>
</cp:coreProperties>
</file>