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71F032" w14:textId="77777777" w:rsidR="001F45B4" w:rsidRPr="00DA2E13" w:rsidRDefault="001F45B4" w:rsidP="001F45B4">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11187A98" w14:textId="77777777" w:rsidR="001F45B4" w:rsidRPr="00DA2E13" w:rsidRDefault="001F45B4" w:rsidP="001F45B4">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0128C765" w14:textId="451C41F4" w:rsidR="001F45B4" w:rsidRPr="001F45B4" w:rsidRDefault="001F45B4" w:rsidP="001F45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F45B4">
        <w:rPr>
          <w:rFonts w:ascii="Times New Roman" w:hAnsi="Times New Roman" w:cs="Times New Roman"/>
          <w:sz w:val="24"/>
          <w:szCs w:val="24"/>
        </w:rPr>
        <w:t>Disaster risk management (DRM) has become a critical area of focus for nations around the world, particularly those that are prone to frequent and severe natural disasters. Among such countries, China and Japan stand out due to their geographical positioning, socio-economic structures, population densities, and historical exposure to diverse natural hazards. Both countries are located in the Pacific Ring of Fire, making them vulnerable to earthquakes, tsunamis, typhoons, floods, and landslides. However, while their vulnerabilities may be similar, their approaches to disaster risk management reflect differences in governance, cultural attitudes, technological investment, and historical experience.</w:t>
      </w:r>
    </w:p>
    <w:p w14:paraId="14762A9C" w14:textId="041AA772" w:rsidR="001F45B4" w:rsidRPr="001F45B4" w:rsidRDefault="001F45B4" w:rsidP="001F45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F45B4">
        <w:rPr>
          <w:rFonts w:ascii="Times New Roman" w:hAnsi="Times New Roman" w:cs="Times New Roman"/>
          <w:sz w:val="24"/>
          <w:szCs w:val="24"/>
        </w:rPr>
        <w:t>Japan, with its long history of coping with seismic activity, has developed one of the most advanced and institutionalized disaster risk management systems in the world. Its policies are rooted in a strong legal framework and supported by state-of-the-art technology, regular public drills, and a deeply ingrained culture of preparedness. The 1995 Great Hanshin Earthquake and the 2011 Great East Japan Earthquake, followed by a devastating tsunami and nuclear disaster, further solidified the country’s commitment to enhancing resilience and disaster mitigation strategies. In contrast, China, with its vast landmass and regional diversity, faces a broader range of disasters, including earthquakes in the western provinces, typhoons along the southeast coast, and seasonal flooding in the major river basins. Its disaster risk management has evolved significantly, especially since the 2008 Wenchuan Earthquake, which acted as a major turning point in reforming emergency response mechanisms and improving infrastructure resilience.</w:t>
      </w:r>
    </w:p>
    <w:p w14:paraId="144D7001" w14:textId="077BA2EE" w:rsidR="001F45B4" w:rsidRPr="001F45B4" w:rsidRDefault="001F45B4" w:rsidP="001F45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F45B4">
        <w:rPr>
          <w:rFonts w:ascii="Times New Roman" w:hAnsi="Times New Roman" w:cs="Times New Roman"/>
          <w:sz w:val="24"/>
          <w:szCs w:val="24"/>
        </w:rPr>
        <w:t>In both countries, DRM is closely linked to national development planning and urbanization policies. Japan integrates disaster preparedness into every layer of governance, from central ministries to local municipalities, often emphasizing community-based strategies and education. The Japanese government's meticulous attention to zoning laws, building codes, and early warning systems has helped reduce mortality rates despite frequent disasters. Meanwhile, China has adopted a more centralized model, with the government playing a dominant role in disaster response and recovery. Recent years have seen a greater emphasis on risk reduction rather than just emergency response, as evidenced by massive investments in infrastructure, the expansion of early warning systems, and the use of artificial intelligence and satellite monitoring.</w:t>
      </w:r>
    </w:p>
    <w:p w14:paraId="79CE805B" w14:textId="79376045" w:rsidR="001F45B4" w:rsidRPr="001F45B4" w:rsidRDefault="001F45B4" w:rsidP="001F45B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1F45B4">
        <w:rPr>
          <w:rFonts w:ascii="Times New Roman" w:hAnsi="Times New Roman" w:cs="Times New Roman"/>
          <w:sz w:val="24"/>
          <w:szCs w:val="24"/>
        </w:rPr>
        <w:t>International cooperation and knowledge-sharing also play a role in shaping the DRM practices in both countries. Japan, often considered a global leader in disaster resilience, actively shares its expertise through development aid, conferences, and partnerships, especially in Asia. China, too, has begun to expand its influence in global disaster risk reduction efforts through initiatives like the Belt and Road Initiative, where it promotes resilience among partner nations. However, both countries face ongoing challenges, such as aging populations, urban congestion, and the increasing frequency of extreme weather events due to climate change, which demand constant innovation and adaptation in disaster risk governance.</w:t>
      </w:r>
    </w:p>
    <w:p w14:paraId="5EEB2A07" w14:textId="6E04DEF4" w:rsidR="00E75FD5" w:rsidRDefault="001F45B4" w:rsidP="001F45B4">
      <w:pPr>
        <w:spacing w:line="360" w:lineRule="auto"/>
        <w:jc w:val="both"/>
        <w:rPr>
          <w:rFonts w:ascii="Times New Roman" w:hAnsi="Times New Roman" w:cs="Times New Roman"/>
          <w:b/>
          <w:sz w:val="24"/>
          <w:szCs w:val="24"/>
        </w:rPr>
      </w:pPr>
      <w:bookmarkStart w:id="1" w:name="_Hlk202099740"/>
      <w:bookmarkStart w:id="2" w:name="_Hlk203252668"/>
      <w:bookmarkStart w:id="3" w:name="_Hlk204629475"/>
      <w:r w:rsidRPr="00DA2E13">
        <w:rPr>
          <w:rFonts w:ascii="Times New Roman" w:hAnsi="Times New Roman" w:cs="Times New Roman"/>
          <w:b/>
          <w:sz w:val="24"/>
          <w:szCs w:val="24"/>
          <w:lang w:val="en-US"/>
        </w:rPr>
        <w:t>What are the benefits of</w:t>
      </w:r>
      <w:bookmarkEnd w:id="1"/>
      <w:bookmarkEnd w:id="2"/>
      <w:r w:rsidRPr="001F45B4">
        <w:t xml:space="preserve"> </w:t>
      </w:r>
      <w:bookmarkEnd w:id="3"/>
      <w:r w:rsidRPr="001F45B4">
        <w:rPr>
          <w:rFonts w:ascii="Times New Roman" w:hAnsi="Times New Roman" w:cs="Times New Roman"/>
          <w:b/>
          <w:sz w:val="24"/>
          <w:szCs w:val="24"/>
        </w:rPr>
        <w:t xml:space="preserve">disaster risk management in </w:t>
      </w:r>
      <w:proofErr w:type="spellStart"/>
      <w:r w:rsidRPr="001F45B4">
        <w:rPr>
          <w:rFonts w:ascii="Times New Roman" w:hAnsi="Times New Roman" w:cs="Times New Roman"/>
          <w:b/>
          <w:sz w:val="24"/>
          <w:szCs w:val="24"/>
        </w:rPr>
        <w:t>china</w:t>
      </w:r>
      <w:proofErr w:type="spellEnd"/>
      <w:r w:rsidRPr="001F45B4">
        <w:rPr>
          <w:rFonts w:ascii="Times New Roman" w:hAnsi="Times New Roman" w:cs="Times New Roman"/>
          <w:b/>
          <w:sz w:val="24"/>
          <w:szCs w:val="24"/>
        </w:rPr>
        <w:t xml:space="preserve"> and </w:t>
      </w:r>
      <w:r>
        <w:rPr>
          <w:rFonts w:ascii="Times New Roman" w:hAnsi="Times New Roman" w:cs="Times New Roman"/>
          <w:b/>
          <w:sz w:val="24"/>
          <w:szCs w:val="24"/>
        </w:rPr>
        <w:t>Japan?</w:t>
      </w:r>
    </w:p>
    <w:p w14:paraId="023DB26F" w14:textId="1878309C" w:rsidR="001F45B4" w:rsidRPr="001F45B4" w:rsidRDefault="001F45B4" w:rsidP="001F45B4">
      <w:pPr>
        <w:pStyle w:val="ListParagraph"/>
        <w:numPr>
          <w:ilvl w:val="0"/>
          <w:numId w:val="1"/>
        </w:numPr>
        <w:tabs>
          <w:tab w:val="clear" w:pos="720"/>
          <w:tab w:val="num" w:pos="360"/>
        </w:tabs>
        <w:spacing w:line="360" w:lineRule="auto"/>
        <w:ind w:left="360"/>
        <w:jc w:val="both"/>
        <w:rPr>
          <w:rFonts w:ascii="Times New Roman" w:hAnsi="Times New Roman" w:cs="Times New Roman"/>
          <w:sz w:val="24"/>
          <w:szCs w:val="24"/>
        </w:rPr>
      </w:pPr>
      <w:r w:rsidRPr="001F45B4">
        <w:rPr>
          <w:rFonts w:ascii="Times New Roman" w:hAnsi="Times New Roman" w:cs="Times New Roman"/>
          <w:sz w:val="24"/>
          <w:szCs w:val="24"/>
        </w:rPr>
        <w:t xml:space="preserve">Understanding the contrasting approaches of China and Japan offers valuable insights into how different governance models handle disaster risks. Japan's decentralized, community-focused system and China's centralized, state-led model both have unique strengths. </w:t>
      </w:r>
    </w:p>
    <w:p w14:paraId="6E9B9696" w14:textId="3B90B799" w:rsidR="001F45B4" w:rsidRPr="001F45B4" w:rsidRDefault="001F45B4">
      <w:pPr>
        <w:numPr>
          <w:ilvl w:val="0"/>
          <w:numId w:val="1"/>
        </w:numPr>
        <w:tabs>
          <w:tab w:val="clear" w:pos="720"/>
          <w:tab w:val="num" w:pos="360"/>
        </w:tabs>
        <w:spacing w:line="360" w:lineRule="auto"/>
        <w:ind w:left="360"/>
        <w:jc w:val="both"/>
        <w:rPr>
          <w:rFonts w:ascii="Times New Roman" w:hAnsi="Times New Roman" w:cs="Times New Roman"/>
          <w:sz w:val="24"/>
          <w:szCs w:val="24"/>
        </w:rPr>
      </w:pPr>
      <w:r w:rsidRPr="001F45B4">
        <w:rPr>
          <w:rFonts w:ascii="Times New Roman" w:hAnsi="Times New Roman" w:cs="Times New Roman"/>
          <w:sz w:val="24"/>
          <w:szCs w:val="24"/>
        </w:rPr>
        <w:t xml:space="preserve">This study highlights the role of technology and innovation in reducing disaster impacts. Japan’s use of early warning systems and China's application of AI and satellite monitoring show how modern tools can enhance preparedness. </w:t>
      </w:r>
    </w:p>
    <w:p w14:paraId="11471060" w14:textId="77777777" w:rsidR="001F45B4" w:rsidRDefault="001F45B4" w:rsidP="001F45B4">
      <w:pPr>
        <w:numPr>
          <w:ilvl w:val="0"/>
          <w:numId w:val="2"/>
        </w:numPr>
        <w:tabs>
          <w:tab w:val="clear" w:pos="720"/>
          <w:tab w:val="num" w:pos="360"/>
        </w:tabs>
        <w:spacing w:line="360" w:lineRule="auto"/>
        <w:ind w:left="360"/>
        <w:jc w:val="both"/>
        <w:rPr>
          <w:rFonts w:ascii="Times New Roman" w:hAnsi="Times New Roman" w:cs="Times New Roman"/>
          <w:sz w:val="24"/>
          <w:szCs w:val="24"/>
        </w:rPr>
      </w:pPr>
      <w:r w:rsidRPr="001F45B4">
        <w:rPr>
          <w:rFonts w:ascii="Times New Roman" w:hAnsi="Times New Roman" w:cs="Times New Roman"/>
          <w:sz w:val="24"/>
          <w:szCs w:val="24"/>
        </w:rPr>
        <w:t xml:space="preserve">Examining how each country integrates disaster management into urban planning and infrastructure development offers lessons in long-term resilience building. Japan’s strict building codes and China’s large-scale infrastructure projects reflect proactive strategies. </w:t>
      </w:r>
    </w:p>
    <w:p w14:paraId="0EBC9874" w14:textId="07137A4A" w:rsidR="001F45B4" w:rsidRPr="001F45B4" w:rsidRDefault="001F45B4" w:rsidP="001F45B4">
      <w:pPr>
        <w:numPr>
          <w:ilvl w:val="0"/>
          <w:numId w:val="2"/>
        </w:numPr>
        <w:tabs>
          <w:tab w:val="clear" w:pos="720"/>
          <w:tab w:val="num" w:pos="360"/>
        </w:tabs>
        <w:spacing w:line="360" w:lineRule="auto"/>
        <w:ind w:left="360"/>
        <w:jc w:val="both"/>
        <w:rPr>
          <w:rFonts w:ascii="Times New Roman" w:hAnsi="Times New Roman" w:cs="Times New Roman"/>
          <w:sz w:val="24"/>
          <w:szCs w:val="24"/>
        </w:rPr>
      </w:pPr>
      <w:proofErr w:type="spellStart"/>
      <w:r w:rsidRPr="001F45B4">
        <w:rPr>
          <w:rFonts w:ascii="Times New Roman" w:hAnsi="Times New Roman" w:cs="Times New Roman"/>
          <w:sz w:val="24"/>
          <w:szCs w:val="24"/>
        </w:rPr>
        <w:t>Analyzing</w:t>
      </w:r>
      <w:proofErr w:type="spellEnd"/>
      <w:r w:rsidRPr="001F45B4">
        <w:rPr>
          <w:rFonts w:ascii="Times New Roman" w:hAnsi="Times New Roman" w:cs="Times New Roman"/>
          <w:sz w:val="24"/>
          <w:szCs w:val="24"/>
        </w:rPr>
        <w:t xml:space="preserve"> community involvement and public education in disaster risk management showcases the importance of societal readiness. Japan’s culture of preparedness and China’s growing emphasis on public awareness contribute significantly to disaster response. This underlines the role of civic engagement in reducing casualties and damage.</w:t>
      </w:r>
    </w:p>
    <w:p w14:paraId="227B8F13" w14:textId="77777777" w:rsidR="001F45B4" w:rsidRPr="001F45B4" w:rsidRDefault="001F45B4" w:rsidP="001F45B4">
      <w:pPr>
        <w:numPr>
          <w:ilvl w:val="0"/>
          <w:numId w:val="4"/>
        </w:numPr>
        <w:tabs>
          <w:tab w:val="clear" w:pos="720"/>
          <w:tab w:val="num" w:pos="360"/>
        </w:tabs>
        <w:spacing w:line="360" w:lineRule="auto"/>
        <w:ind w:left="360"/>
        <w:jc w:val="both"/>
        <w:rPr>
          <w:rFonts w:ascii="Times New Roman" w:hAnsi="Times New Roman" w:cs="Times New Roman"/>
          <w:sz w:val="24"/>
          <w:szCs w:val="24"/>
        </w:rPr>
      </w:pPr>
      <w:r w:rsidRPr="001F45B4">
        <w:rPr>
          <w:rFonts w:ascii="Times New Roman" w:hAnsi="Times New Roman" w:cs="Times New Roman"/>
          <w:sz w:val="24"/>
          <w:szCs w:val="24"/>
        </w:rPr>
        <w:t>This comparative study supports international collaboration in disaster risk reduction. By understanding how China and Japan approach global cooperation, countries can better coordinate aid, share resources, and implement regional early warning systems. Such collaboration is essential in an era of transboundary climate risks.</w:t>
      </w:r>
    </w:p>
    <w:p w14:paraId="3F750BFE" w14:textId="77777777" w:rsidR="001F45B4" w:rsidRPr="001F45B4" w:rsidRDefault="001F45B4" w:rsidP="001F45B4">
      <w:pPr>
        <w:numPr>
          <w:ilvl w:val="0"/>
          <w:numId w:val="5"/>
        </w:numPr>
        <w:tabs>
          <w:tab w:val="clear" w:pos="720"/>
          <w:tab w:val="num" w:pos="360"/>
        </w:tabs>
        <w:spacing w:line="360" w:lineRule="auto"/>
        <w:ind w:left="360"/>
        <w:jc w:val="both"/>
        <w:rPr>
          <w:rFonts w:ascii="Times New Roman" w:hAnsi="Times New Roman" w:cs="Times New Roman"/>
          <w:sz w:val="24"/>
          <w:szCs w:val="24"/>
        </w:rPr>
      </w:pPr>
      <w:r w:rsidRPr="001F45B4">
        <w:rPr>
          <w:rFonts w:ascii="Times New Roman" w:hAnsi="Times New Roman" w:cs="Times New Roman"/>
          <w:sz w:val="24"/>
          <w:szCs w:val="24"/>
        </w:rPr>
        <w:t>The study reveals how past disasters shape future policy and resilience strategies. Both nations have used major catastrophes as catalysts for reform and innovation in their disaster management systems. These lessons are invaluable for other countries recovering from or preparing for major disasters.</w:t>
      </w:r>
    </w:p>
    <w:p w14:paraId="4535D808" w14:textId="070B6522" w:rsidR="001F45B4" w:rsidRPr="001F45B4" w:rsidRDefault="001F45B4" w:rsidP="001F45B4">
      <w:pPr>
        <w:numPr>
          <w:ilvl w:val="0"/>
          <w:numId w:val="6"/>
        </w:numPr>
        <w:tabs>
          <w:tab w:val="clear" w:pos="720"/>
          <w:tab w:val="num" w:pos="360"/>
        </w:tabs>
        <w:spacing w:line="360" w:lineRule="auto"/>
        <w:ind w:left="360"/>
        <w:jc w:val="both"/>
        <w:rPr>
          <w:rFonts w:ascii="Times New Roman" w:hAnsi="Times New Roman" w:cs="Times New Roman"/>
          <w:sz w:val="24"/>
          <w:szCs w:val="24"/>
        </w:rPr>
      </w:pPr>
      <w:r w:rsidRPr="001F45B4">
        <w:rPr>
          <w:rFonts w:ascii="Times New Roman" w:hAnsi="Times New Roman" w:cs="Times New Roman"/>
          <w:sz w:val="24"/>
          <w:szCs w:val="24"/>
        </w:rPr>
        <w:lastRenderedPageBreak/>
        <w:t>By evaluating the financial and institutional mechanisms behind disaster response, the study informs more efficient resource allocation. Japan’s insurance systems and China’s emergency relief funds highlight different funding models.</w:t>
      </w:r>
    </w:p>
    <w:p w14:paraId="72864DE1" w14:textId="54B9DD08" w:rsidR="001F45B4" w:rsidRDefault="001F45B4">
      <w:pPr>
        <w:numPr>
          <w:ilvl w:val="0"/>
          <w:numId w:val="7"/>
        </w:numPr>
        <w:tabs>
          <w:tab w:val="clear" w:pos="720"/>
          <w:tab w:val="num" w:pos="360"/>
        </w:tabs>
        <w:spacing w:line="360" w:lineRule="auto"/>
        <w:ind w:left="360"/>
        <w:jc w:val="both"/>
        <w:rPr>
          <w:rFonts w:ascii="Times New Roman" w:hAnsi="Times New Roman" w:cs="Times New Roman"/>
          <w:sz w:val="24"/>
          <w:szCs w:val="24"/>
        </w:rPr>
      </w:pPr>
      <w:r w:rsidRPr="001F45B4">
        <w:rPr>
          <w:rFonts w:ascii="Times New Roman" w:hAnsi="Times New Roman" w:cs="Times New Roman"/>
          <w:sz w:val="24"/>
          <w:szCs w:val="24"/>
        </w:rPr>
        <w:t xml:space="preserve">It contributes to climate change adaptation efforts by showcasing how two vulnerable nations are adjusting to more frequent and severe natural events. Both countries are integrating climate risk into national planning, offering scalable models for others. </w:t>
      </w:r>
    </w:p>
    <w:p w14:paraId="63DDC4F1" w14:textId="26BB1766" w:rsidR="001F45B4" w:rsidRDefault="001F45B4" w:rsidP="001F45B4">
      <w:pPr>
        <w:spacing w:line="360" w:lineRule="auto"/>
        <w:jc w:val="both"/>
        <w:rPr>
          <w:rFonts w:ascii="Times New Roman" w:hAnsi="Times New Roman" w:cs="Times New Roman"/>
          <w:b/>
          <w:sz w:val="24"/>
          <w:szCs w:val="24"/>
        </w:rPr>
      </w:pPr>
      <w:r w:rsidRPr="001F45B4">
        <w:rPr>
          <w:rFonts w:ascii="Times New Roman" w:hAnsi="Times New Roman" w:cs="Times New Roman"/>
          <w:b/>
          <w:sz w:val="24"/>
          <w:szCs w:val="24"/>
        </w:rPr>
        <w:t xml:space="preserve">Disaster risk management in </w:t>
      </w:r>
      <w:proofErr w:type="spellStart"/>
      <w:r w:rsidRPr="001F45B4">
        <w:rPr>
          <w:rFonts w:ascii="Times New Roman" w:hAnsi="Times New Roman" w:cs="Times New Roman"/>
          <w:b/>
          <w:sz w:val="24"/>
          <w:szCs w:val="24"/>
        </w:rPr>
        <w:t>china</w:t>
      </w:r>
      <w:proofErr w:type="spellEnd"/>
      <w:r w:rsidRPr="001F45B4">
        <w:rPr>
          <w:rFonts w:ascii="Times New Roman" w:hAnsi="Times New Roman" w:cs="Times New Roman"/>
          <w:b/>
          <w:sz w:val="24"/>
          <w:szCs w:val="24"/>
        </w:rPr>
        <w:t xml:space="preserve"> and </w:t>
      </w:r>
      <w:proofErr w:type="spellStart"/>
      <w:r>
        <w:rPr>
          <w:rFonts w:ascii="Times New Roman" w:hAnsi="Times New Roman" w:cs="Times New Roman"/>
          <w:b/>
          <w:sz w:val="24"/>
          <w:szCs w:val="24"/>
        </w:rPr>
        <w:t>japan</w:t>
      </w:r>
      <w:proofErr w:type="spellEnd"/>
      <w:r w:rsidRPr="00C74137">
        <w:rPr>
          <w:rFonts w:ascii="Times New Roman" w:hAnsi="Times New Roman" w:cs="Times New Roman"/>
          <w:b/>
          <w:sz w:val="24"/>
          <w:szCs w:val="24"/>
        </w:rPr>
        <w:t xml:space="preserve"> </w:t>
      </w:r>
      <w:bookmarkStart w:id="4" w:name="_Hlk204529214"/>
      <w:bookmarkStart w:id="5" w:name="_Hlk204629529"/>
      <w:r w:rsidRPr="00C74137">
        <w:rPr>
          <w:rFonts w:ascii="Times New Roman" w:hAnsi="Times New Roman" w:cs="Times New Roman"/>
          <w:b/>
          <w:sz w:val="24"/>
          <w:szCs w:val="24"/>
        </w:rPr>
        <w:t>advantages</w:t>
      </w:r>
      <w:bookmarkEnd w:id="5"/>
    </w:p>
    <w:bookmarkEnd w:id="4"/>
    <w:p w14:paraId="373E98DB" w14:textId="17E8B22E" w:rsidR="00393403" w:rsidRPr="00393403" w:rsidRDefault="00393403">
      <w:pPr>
        <w:pStyle w:val="ListParagraph"/>
        <w:numPr>
          <w:ilvl w:val="0"/>
          <w:numId w:val="15"/>
        </w:numPr>
        <w:tabs>
          <w:tab w:val="clear" w:pos="720"/>
          <w:tab w:val="num" w:pos="360"/>
        </w:tabs>
        <w:spacing w:line="360" w:lineRule="auto"/>
        <w:ind w:left="360"/>
        <w:jc w:val="both"/>
        <w:rPr>
          <w:rFonts w:ascii="Times New Roman" w:hAnsi="Times New Roman" w:cs="Times New Roman"/>
          <w:sz w:val="24"/>
          <w:szCs w:val="24"/>
        </w:rPr>
      </w:pPr>
      <w:r w:rsidRPr="00393403">
        <w:rPr>
          <w:rFonts w:ascii="Times New Roman" w:hAnsi="Times New Roman" w:cs="Times New Roman"/>
          <w:sz w:val="24"/>
          <w:szCs w:val="24"/>
        </w:rPr>
        <w:t xml:space="preserve">This study allows a deeper understanding of how two major economies with high disaster exposure manage risk. By exploring their unique systems, we gain perspective on balancing rapid development with safety. </w:t>
      </w:r>
    </w:p>
    <w:p w14:paraId="3AD7067A" w14:textId="0C6FB9EA" w:rsidR="00393403" w:rsidRPr="00393403" w:rsidRDefault="00393403">
      <w:pPr>
        <w:numPr>
          <w:ilvl w:val="0"/>
          <w:numId w:val="8"/>
        </w:numPr>
        <w:tabs>
          <w:tab w:val="clear" w:pos="720"/>
          <w:tab w:val="num" w:pos="360"/>
        </w:tabs>
        <w:spacing w:line="360" w:lineRule="auto"/>
        <w:ind w:left="360"/>
        <w:jc w:val="both"/>
        <w:rPr>
          <w:rFonts w:ascii="Times New Roman" w:hAnsi="Times New Roman" w:cs="Times New Roman"/>
          <w:sz w:val="24"/>
          <w:szCs w:val="24"/>
        </w:rPr>
      </w:pPr>
      <w:r w:rsidRPr="00393403">
        <w:rPr>
          <w:rFonts w:ascii="Times New Roman" w:hAnsi="Times New Roman" w:cs="Times New Roman"/>
          <w:sz w:val="24"/>
          <w:szCs w:val="24"/>
        </w:rPr>
        <w:t>It offers a valuable comparison between centralized and decentralized disaster management models. China’s top-down approach and Japan’s bottom-up strategy provide contrasting methods to achieve resilience</w:t>
      </w:r>
      <w:r>
        <w:rPr>
          <w:rFonts w:ascii="Times New Roman" w:hAnsi="Times New Roman" w:cs="Times New Roman"/>
          <w:sz w:val="24"/>
          <w:szCs w:val="24"/>
        </w:rPr>
        <w:t>.</w:t>
      </w:r>
    </w:p>
    <w:p w14:paraId="5871A0A2" w14:textId="68D302A2" w:rsidR="00393403" w:rsidRPr="00393403" w:rsidRDefault="00393403">
      <w:pPr>
        <w:numPr>
          <w:ilvl w:val="0"/>
          <w:numId w:val="9"/>
        </w:numPr>
        <w:tabs>
          <w:tab w:val="clear" w:pos="720"/>
          <w:tab w:val="num" w:pos="360"/>
        </w:tabs>
        <w:spacing w:line="360" w:lineRule="auto"/>
        <w:ind w:left="360"/>
        <w:jc w:val="both"/>
        <w:rPr>
          <w:rFonts w:ascii="Times New Roman" w:hAnsi="Times New Roman" w:cs="Times New Roman"/>
          <w:sz w:val="24"/>
          <w:szCs w:val="24"/>
        </w:rPr>
      </w:pPr>
      <w:r w:rsidRPr="00393403">
        <w:rPr>
          <w:rFonts w:ascii="Times New Roman" w:hAnsi="Times New Roman" w:cs="Times New Roman"/>
          <w:sz w:val="24"/>
          <w:szCs w:val="24"/>
        </w:rPr>
        <w:t xml:space="preserve">The study emphasizes the importance of preparedness and public awareness in minimizing disaster impacts. Japan’s well-established culture of disaster drills and China’s expanding education efforts demonstrate this clearly. </w:t>
      </w:r>
    </w:p>
    <w:p w14:paraId="6DC083DD" w14:textId="2430E435" w:rsidR="00393403" w:rsidRPr="00393403" w:rsidRDefault="00393403">
      <w:pPr>
        <w:numPr>
          <w:ilvl w:val="0"/>
          <w:numId w:val="10"/>
        </w:numPr>
        <w:tabs>
          <w:tab w:val="clear" w:pos="720"/>
          <w:tab w:val="num" w:pos="360"/>
        </w:tabs>
        <w:spacing w:line="360" w:lineRule="auto"/>
        <w:ind w:left="360"/>
        <w:jc w:val="both"/>
        <w:rPr>
          <w:rFonts w:ascii="Times New Roman" w:hAnsi="Times New Roman" w:cs="Times New Roman"/>
          <w:sz w:val="24"/>
          <w:szCs w:val="24"/>
        </w:rPr>
      </w:pPr>
      <w:r w:rsidRPr="00393403">
        <w:rPr>
          <w:rFonts w:ascii="Times New Roman" w:hAnsi="Times New Roman" w:cs="Times New Roman"/>
          <w:sz w:val="24"/>
          <w:szCs w:val="24"/>
        </w:rPr>
        <w:t xml:space="preserve">Learning from past disasters in both countries helps predict future responses and policy improvements. Major events like the 2008 Wenchuan Earthquake and the 2011 </w:t>
      </w:r>
      <w:proofErr w:type="spellStart"/>
      <w:r w:rsidRPr="00393403">
        <w:rPr>
          <w:rFonts w:ascii="Times New Roman" w:hAnsi="Times New Roman" w:cs="Times New Roman"/>
          <w:sz w:val="24"/>
          <w:szCs w:val="24"/>
        </w:rPr>
        <w:t>Tōhoku</w:t>
      </w:r>
      <w:proofErr w:type="spellEnd"/>
      <w:r w:rsidRPr="00393403">
        <w:rPr>
          <w:rFonts w:ascii="Times New Roman" w:hAnsi="Times New Roman" w:cs="Times New Roman"/>
          <w:sz w:val="24"/>
          <w:szCs w:val="24"/>
        </w:rPr>
        <w:t xml:space="preserve"> disaster have shaped national strategies. </w:t>
      </w:r>
    </w:p>
    <w:p w14:paraId="1F64B8C9" w14:textId="77777777" w:rsidR="00393403" w:rsidRPr="00393403" w:rsidRDefault="00393403" w:rsidP="00393403">
      <w:pPr>
        <w:numPr>
          <w:ilvl w:val="0"/>
          <w:numId w:val="11"/>
        </w:numPr>
        <w:tabs>
          <w:tab w:val="clear" w:pos="720"/>
          <w:tab w:val="num" w:pos="360"/>
        </w:tabs>
        <w:spacing w:line="360" w:lineRule="auto"/>
        <w:ind w:left="360"/>
        <w:jc w:val="both"/>
        <w:rPr>
          <w:rFonts w:ascii="Times New Roman" w:hAnsi="Times New Roman" w:cs="Times New Roman"/>
          <w:sz w:val="24"/>
          <w:szCs w:val="24"/>
        </w:rPr>
      </w:pPr>
      <w:r w:rsidRPr="00393403">
        <w:rPr>
          <w:rFonts w:ascii="Times New Roman" w:hAnsi="Times New Roman" w:cs="Times New Roman"/>
          <w:sz w:val="24"/>
          <w:szCs w:val="24"/>
        </w:rPr>
        <w:t>It showcases how investments in infrastructure and technology can significantly reduce risk. Japan’s earthquake-resistant buildings and China’s smart monitoring systems are prime examples. These advancements offer models for integrating resilience into development planning.</w:t>
      </w:r>
    </w:p>
    <w:p w14:paraId="23974E80" w14:textId="433D39CB" w:rsidR="00393403" w:rsidRPr="00393403" w:rsidRDefault="00393403">
      <w:pPr>
        <w:numPr>
          <w:ilvl w:val="0"/>
          <w:numId w:val="12"/>
        </w:numPr>
        <w:tabs>
          <w:tab w:val="clear" w:pos="720"/>
          <w:tab w:val="num" w:pos="360"/>
        </w:tabs>
        <w:spacing w:line="360" w:lineRule="auto"/>
        <w:ind w:left="360"/>
        <w:jc w:val="both"/>
        <w:rPr>
          <w:rFonts w:ascii="Times New Roman" w:hAnsi="Times New Roman" w:cs="Times New Roman"/>
          <w:sz w:val="24"/>
          <w:szCs w:val="24"/>
        </w:rPr>
      </w:pPr>
      <w:r w:rsidRPr="00393403">
        <w:rPr>
          <w:rFonts w:ascii="Times New Roman" w:hAnsi="Times New Roman" w:cs="Times New Roman"/>
          <w:sz w:val="24"/>
          <w:szCs w:val="24"/>
        </w:rPr>
        <w:t xml:space="preserve">The study highlights how legal frameworks and institutional coordination affect disaster outcomes. Japan’s clear laws and coordinated agencies enable fast, organized responses, while China’s large-scale mobilization capacity ensures efficiency. </w:t>
      </w:r>
    </w:p>
    <w:p w14:paraId="13CE51DA" w14:textId="77777777" w:rsidR="00393403" w:rsidRPr="00393403" w:rsidRDefault="00393403" w:rsidP="00393403">
      <w:pPr>
        <w:numPr>
          <w:ilvl w:val="0"/>
          <w:numId w:val="13"/>
        </w:numPr>
        <w:tabs>
          <w:tab w:val="clear" w:pos="720"/>
          <w:tab w:val="num" w:pos="360"/>
        </w:tabs>
        <w:spacing w:line="360" w:lineRule="auto"/>
        <w:ind w:left="360"/>
        <w:jc w:val="both"/>
        <w:rPr>
          <w:rFonts w:ascii="Times New Roman" w:hAnsi="Times New Roman" w:cs="Times New Roman"/>
          <w:sz w:val="24"/>
          <w:szCs w:val="24"/>
        </w:rPr>
      </w:pPr>
      <w:r w:rsidRPr="00393403">
        <w:rPr>
          <w:rFonts w:ascii="Times New Roman" w:hAnsi="Times New Roman" w:cs="Times New Roman"/>
          <w:sz w:val="24"/>
          <w:szCs w:val="24"/>
        </w:rPr>
        <w:t>This research encourages global cooperation through shared knowledge and best practices. Both China and Japan engage in international disaster relief and capacity-building. Their experiences can inform global frameworks like the Sendai Framework for Disaster Risk Reduction.</w:t>
      </w:r>
    </w:p>
    <w:p w14:paraId="14F94CDF" w14:textId="77777777" w:rsidR="00E63095" w:rsidRDefault="00E63095" w:rsidP="00E63095">
      <w:pPr>
        <w:spacing w:line="360" w:lineRule="auto"/>
        <w:jc w:val="both"/>
        <w:rPr>
          <w:rFonts w:ascii="Times New Roman" w:hAnsi="Times New Roman" w:cs="Times New Roman"/>
          <w:b/>
          <w:sz w:val="24"/>
          <w:szCs w:val="24"/>
        </w:rPr>
      </w:pPr>
      <w:bookmarkStart w:id="6" w:name="_Hlk202098488"/>
      <w:bookmarkStart w:id="7" w:name="_Hlk204529259"/>
      <w:r w:rsidRPr="00E63095">
        <w:rPr>
          <w:rFonts w:ascii="Times New Roman" w:hAnsi="Times New Roman" w:cs="Times New Roman"/>
          <w:b/>
          <w:sz w:val="24"/>
          <w:szCs w:val="24"/>
        </w:rPr>
        <w:lastRenderedPageBreak/>
        <w:t>INDUSTRY PROFILE</w:t>
      </w:r>
    </w:p>
    <w:bookmarkEnd w:id="7"/>
    <w:p w14:paraId="07D579D8" w14:textId="3E87119B" w:rsidR="00E63095" w:rsidRPr="00E63095" w:rsidRDefault="00E63095" w:rsidP="00E6309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63095">
        <w:rPr>
          <w:rFonts w:ascii="Times New Roman" w:hAnsi="Times New Roman" w:cs="Times New Roman"/>
          <w:bCs/>
          <w:sz w:val="24"/>
          <w:szCs w:val="24"/>
        </w:rPr>
        <w:t>The disaster risk management (DRM) industry in China and Japan represents a highly structured, multi-sectoral field that integrates public institutions, private enterprises, academic research, and community organizations. As two of the most disaster-prone countries in Asia, both nations have developed robust industries focused on disaster prevention, mitigation, preparedness, response, and recovery. The DRM industry in each country includes government bodies, construction and engineering firms, technology providers, insurance companies, logistics companies, training and consulting services, and emergency product manufacturers.</w:t>
      </w:r>
    </w:p>
    <w:p w14:paraId="23B01542" w14:textId="77777777" w:rsidR="00E63095" w:rsidRPr="00E63095" w:rsidRDefault="00E63095" w:rsidP="00E63095">
      <w:pPr>
        <w:spacing w:line="360" w:lineRule="auto"/>
        <w:jc w:val="both"/>
        <w:rPr>
          <w:rFonts w:ascii="Times New Roman" w:hAnsi="Times New Roman" w:cs="Times New Roman"/>
          <w:b/>
          <w:sz w:val="24"/>
          <w:szCs w:val="24"/>
        </w:rPr>
      </w:pPr>
      <w:r w:rsidRPr="00E63095">
        <w:rPr>
          <w:rFonts w:ascii="Times New Roman" w:hAnsi="Times New Roman" w:cs="Times New Roman"/>
          <w:b/>
          <w:sz w:val="24"/>
          <w:szCs w:val="24"/>
        </w:rPr>
        <w:t>China</w:t>
      </w:r>
    </w:p>
    <w:p w14:paraId="352C4AE3" w14:textId="17F4E728" w:rsidR="00E63095" w:rsidRPr="00E63095" w:rsidRDefault="00E63095" w:rsidP="00E6309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63095">
        <w:rPr>
          <w:rFonts w:ascii="Times New Roman" w:hAnsi="Times New Roman" w:cs="Times New Roman"/>
          <w:bCs/>
          <w:sz w:val="24"/>
          <w:szCs w:val="24"/>
        </w:rPr>
        <w:t>In China, the disaster risk management industry is heavily influenced by centralized governance. The Ministry of Emergency Management (MEM), established in 2018, oversees national disaster response and integrates various sectors, including natural disasters, workplace safety, and fire rescue. The state plays a dominant role, but in recent years, private companies and startups have increasingly contributed to the industry, particularly in areas like data analytics, geospatial technology, and AI-driven early warning systems.</w:t>
      </w:r>
    </w:p>
    <w:p w14:paraId="7F41ABFF" w14:textId="13FAB537" w:rsidR="00E63095" w:rsidRPr="00E63095" w:rsidRDefault="00E63095" w:rsidP="00E6309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63095">
        <w:rPr>
          <w:rFonts w:ascii="Times New Roman" w:hAnsi="Times New Roman" w:cs="Times New Roman"/>
          <w:bCs/>
          <w:sz w:val="24"/>
          <w:szCs w:val="24"/>
        </w:rPr>
        <w:t xml:space="preserve">China’s DRM sector has witnessed rapid growth following major disasters such as the 2008 Wenchuan Earthquake and recurring floods. As a result, there has been significant investment in resilient infrastructure, emergency equipment production, disaster-proof urban planning, and satellite-based monitoring systems. </w:t>
      </w:r>
    </w:p>
    <w:p w14:paraId="2786D66D" w14:textId="77777777" w:rsidR="00E63095" w:rsidRPr="00E63095" w:rsidRDefault="00E63095" w:rsidP="00E63095">
      <w:pPr>
        <w:spacing w:line="360" w:lineRule="auto"/>
        <w:jc w:val="both"/>
        <w:rPr>
          <w:rFonts w:ascii="Times New Roman" w:hAnsi="Times New Roman" w:cs="Times New Roman"/>
          <w:b/>
          <w:sz w:val="24"/>
          <w:szCs w:val="24"/>
        </w:rPr>
      </w:pPr>
      <w:r w:rsidRPr="00E63095">
        <w:rPr>
          <w:rFonts w:ascii="Times New Roman" w:hAnsi="Times New Roman" w:cs="Times New Roman"/>
          <w:b/>
          <w:sz w:val="24"/>
          <w:szCs w:val="24"/>
        </w:rPr>
        <w:t>Japan</w:t>
      </w:r>
    </w:p>
    <w:p w14:paraId="5B36E60B" w14:textId="400F5C2C" w:rsidR="00E63095" w:rsidRPr="00E63095" w:rsidRDefault="00643432" w:rsidP="00E63095">
      <w:pPr>
        <w:spacing w:line="360" w:lineRule="auto"/>
        <w:jc w:val="both"/>
        <w:rPr>
          <w:rFonts w:ascii="Times New Roman" w:hAnsi="Times New Roman" w:cs="Times New Roman"/>
          <w:b/>
          <w:sz w:val="24"/>
          <w:szCs w:val="24"/>
        </w:rPr>
      </w:pPr>
      <w:r>
        <w:rPr>
          <w:rFonts w:ascii="Times New Roman" w:hAnsi="Times New Roman" w:cs="Times New Roman"/>
          <w:bCs/>
          <w:sz w:val="24"/>
          <w:szCs w:val="24"/>
        </w:rPr>
        <w:t xml:space="preserve">           </w:t>
      </w:r>
      <w:r w:rsidR="00E63095" w:rsidRPr="00E63095">
        <w:rPr>
          <w:rFonts w:ascii="Times New Roman" w:hAnsi="Times New Roman" w:cs="Times New Roman"/>
          <w:bCs/>
          <w:sz w:val="24"/>
          <w:szCs w:val="24"/>
        </w:rPr>
        <w:t>Japan’s disaster risk management industry is one of the most advanced and mature in the world. Its development is rooted in the country’s long history of frequent earthquakes, tsunamis, and typhoons. The Japanese government, through institutions such as the Cabinet Office (Disaster Management Bureau), Japan Meteorological Agency (JMA), and Fire and Disaster Management Agency (FDMA), works closely with both local authorities and the private sector to ensure a coordinated national system.</w:t>
      </w:r>
    </w:p>
    <w:p w14:paraId="35E0A89E" w14:textId="77777777" w:rsidR="00643432" w:rsidRDefault="00643432" w:rsidP="00643432">
      <w:pPr>
        <w:spacing w:line="360" w:lineRule="auto"/>
        <w:jc w:val="both"/>
        <w:rPr>
          <w:rFonts w:ascii="Times New Roman" w:hAnsi="Times New Roman" w:cs="Times New Roman"/>
          <w:b/>
          <w:sz w:val="24"/>
          <w:szCs w:val="24"/>
        </w:rPr>
      </w:pPr>
      <w:r>
        <w:rPr>
          <w:rFonts w:ascii="Times New Roman" w:hAnsi="Times New Roman" w:cs="Times New Roman"/>
          <w:bCs/>
          <w:sz w:val="24"/>
          <w:szCs w:val="24"/>
        </w:rPr>
        <w:t xml:space="preserve">            </w:t>
      </w:r>
      <w:r w:rsidR="00E63095" w:rsidRPr="00E63095">
        <w:rPr>
          <w:rFonts w:ascii="Times New Roman" w:hAnsi="Times New Roman" w:cs="Times New Roman"/>
          <w:bCs/>
          <w:sz w:val="24"/>
          <w:szCs w:val="24"/>
        </w:rPr>
        <w:t xml:space="preserve">The DRM industry in Japan is characterized by a strong legal and institutional framework, comprehensive risk education, and a high level of community participation. Engineering and architectural firms are at the forefront of the industry, developing earthquake-resistant infrastructure and retrofitting older buildings. </w:t>
      </w:r>
      <w:bookmarkStart w:id="8" w:name="_Hlk203251571"/>
      <w:bookmarkEnd w:id="6"/>
    </w:p>
    <w:p w14:paraId="76AB2752" w14:textId="1B480B27" w:rsidR="00643432" w:rsidRPr="00643432" w:rsidRDefault="00643432" w:rsidP="00643432">
      <w:pPr>
        <w:spacing w:line="360" w:lineRule="auto"/>
        <w:jc w:val="both"/>
        <w:rPr>
          <w:rFonts w:ascii="Times New Roman" w:hAnsi="Times New Roman" w:cs="Times New Roman"/>
          <w:b/>
          <w:sz w:val="24"/>
          <w:szCs w:val="24"/>
        </w:rPr>
      </w:pPr>
      <w:bookmarkStart w:id="9" w:name="_Hlk204529319"/>
      <w:r w:rsidRPr="00AD7255">
        <w:rPr>
          <w:rFonts w:ascii="Times New Roman" w:hAnsi="Times New Roman" w:cs="Times New Roman"/>
          <w:b/>
          <w:sz w:val="24"/>
          <w:szCs w:val="24"/>
          <w:lang w:val="en-US"/>
        </w:rPr>
        <w:lastRenderedPageBreak/>
        <w:t>1.4 STATEMENT OF THE PROBLEM</w:t>
      </w:r>
    </w:p>
    <w:bookmarkEnd w:id="8"/>
    <w:bookmarkEnd w:id="9"/>
    <w:p w14:paraId="1A6D0A8A" w14:textId="3DF7A4E5" w:rsidR="00643432" w:rsidRPr="00643432" w:rsidRDefault="00643432" w:rsidP="0064343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43432">
        <w:rPr>
          <w:rFonts w:ascii="Times New Roman" w:hAnsi="Times New Roman" w:cs="Times New Roman"/>
          <w:sz w:val="24"/>
          <w:szCs w:val="24"/>
        </w:rPr>
        <w:t>Despite significant advancements in disaster risk management (DRM), both China and Japan continue to face critical challenges in effectively mitigating the impacts of natural disasters. Frequent occurrences of earthquakes, tsunamis, floods, and typhoons in these countries pose severe threats to human lives, infrastructure, and economic stability. While both nations have invested heavily in disaster preparedness, response, and recovery mechanisms, recurring disasters highlight existing gaps in coordination, public awareness, risk communication, and adaptation to climate-related threats.</w:t>
      </w:r>
    </w:p>
    <w:p w14:paraId="6439FEA9" w14:textId="57D5FD87" w:rsidR="00643432" w:rsidRPr="00643432" w:rsidRDefault="00643432" w:rsidP="0064343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43432">
        <w:rPr>
          <w:rFonts w:ascii="Times New Roman" w:hAnsi="Times New Roman" w:cs="Times New Roman"/>
          <w:sz w:val="24"/>
          <w:szCs w:val="24"/>
        </w:rPr>
        <w:t>In China, the centralized nature of its DRM system often leads to delayed local response, limited community involvement, and challenges in inter-agency coordination, particularly in rural and less-developed regions. Additionally, rapid urbanization and uneven infrastructure development increase exposure to hazards, especially in high-risk zones. Although technological tools are expanding, integration into local risk management strategies remains inconsistent.</w:t>
      </w:r>
    </w:p>
    <w:p w14:paraId="1FEB91E2" w14:textId="3C577E2C" w:rsidR="00643432" w:rsidRDefault="00643432" w:rsidP="0064343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43432">
        <w:rPr>
          <w:rFonts w:ascii="Times New Roman" w:hAnsi="Times New Roman" w:cs="Times New Roman"/>
          <w:sz w:val="24"/>
          <w:szCs w:val="24"/>
        </w:rPr>
        <w:t>In Japan, despite having one of the most advanced DRM systems globally, issues persist such as the aging population's vulnerability, overreliance on technology, and bureaucratic rigidity during large-scale emergencies. Moreover, the memory of past events like the 2011 Great East Japan Earthquake shows that even the best-prepared systems can be overwhelmed, calling for constant innovation and reform.</w:t>
      </w:r>
    </w:p>
    <w:p w14:paraId="4C57C7E2" w14:textId="77777777" w:rsidR="00643432" w:rsidRDefault="00643432" w:rsidP="00643432">
      <w:pPr>
        <w:spacing w:line="360" w:lineRule="auto"/>
        <w:jc w:val="both"/>
        <w:rPr>
          <w:rFonts w:ascii="Times New Roman" w:hAnsi="Times New Roman" w:cs="Times New Roman"/>
          <w:b/>
          <w:bCs/>
          <w:sz w:val="24"/>
          <w:szCs w:val="24"/>
        </w:rPr>
      </w:pPr>
      <w:bookmarkStart w:id="10" w:name="_Hlk202098728"/>
      <w:bookmarkStart w:id="11" w:name="_Hlk204529346"/>
      <w:r w:rsidRPr="00AD7255">
        <w:rPr>
          <w:rFonts w:ascii="Times New Roman" w:hAnsi="Times New Roman" w:cs="Times New Roman"/>
          <w:b/>
          <w:bCs/>
          <w:sz w:val="24"/>
          <w:szCs w:val="24"/>
        </w:rPr>
        <w:t>1.5 OBJECTIVES OF THE STUDY</w:t>
      </w:r>
      <w:bookmarkEnd w:id="10"/>
    </w:p>
    <w:bookmarkEnd w:id="11"/>
    <w:p w14:paraId="27279852" w14:textId="2D781390" w:rsidR="00643432" w:rsidRPr="00643432" w:rsidRDefault="00643432" w:rsidP="00643432">
      <w:pPr>
        <w:pStyle w:val="ListParagraph"/>
        <w:numPr>
          <w:ilvl w:val="0"/>
          <w:numId w:val="17"/>
        </w:numPr>
        <w:spacing w:line="360" w:lineRule="auto"/>
        <w:jc w:val="both"/>
        <w:rPr>
          <w:rFonts w:ascii="Times New Roman" w:hAnsi="Times New Roman" w:cs="Times New Roman"/>
          <w:sz w:val="24"/>
          <w:szCs w:val="24"/>
        </w:rPr>
      </w:pPr>
      <w:r w:rsidRPr="00643432">
        <w:rPr>
          <w:rFonts w:ascii="Times New Roman" w:hAnsi="Times New Roman" w:cs="Times New Roman"/>
          <w:sz w:val="24"/>
          <w:szCs w:val="24"/>
        </w:rPr>
        <w:t>To examine the disaster risk management frameworks implemented in China and Japan.</w:t>
      </w:r>
    </w:p>
    <w:p w14:paraId="350B4A52" w14:textId="41EF6D9F" w:rsidR="00643432" w:rsidRPr="00643432" w:rsidRDefault="00643432" w:rsidP="00643432">
      <w:pPr>
        <w:pStyle w:val="ListParagraph"/>
        <w:numPr>
          <w:ilvl w:val="0"/>
          <w:numId w:val="17"/>
        </w:numPr>
        <w:spacing w:line="360" w:lineRule="auto"/>
        <w:jc w:val="both"/>
        <w:rPr>
          <w:rFonts w:ascii="Times New Roman" w:hAnsi="Times New Roman" w:cs="Times New Roman"/>
          <w:sz w:val="24"/>
          <w:szCs w:val="24"/>
        </w:rPr>
      </w:pPr>
      <w:r w:rsidRPr="00643432">
        <w:rPr>
          <w:rFonts w:ascii="Times New Roman" w:hAnsi="Times New Roman" w:cs="Times New Roman"/>
          <w:sz w:val="24"/>
          <w:szCs w:val="24"/>
        </w:rPr>
        <w:t>To compare the roles of government, private sector, and communities in managing disasters.</w:t>
      </w:r>
    </w:p>
    <w:p w14:paraId="0D2EFF0A" w14:textId="51A39769" w:rsidR="00643432" w:rsidRPr="00643432" w:rsidRDefault="00643432" w:rsidP="00643432">
      <w:pPr>
        <w:pStyle w:val="ListParagraph"/>
        <w:numPr>
          <w:ilvl w:val="0"/>
          <w:numId w:val="17"/>
        </w:numPr>
        <w:spacing w:line="360" w:lineRule="auto"/>
        <w:jc w:val="both"/>
        <w:rPr>
          <w:rFonts w:ascii="Times New Roman" w:hAnsi="Times New Roman" w:cs="Times New Roman"/>
          <w:sz w:val="24"/>
          <w:szCs w:val="24"/>
        </w:rPr>
      </w:pPr>
      <w:r w:rsidRPr="00643432">
        <w:rPr>
          <w:rFonts w:ascii="Times New Roman" w:hAnsi="Times New Roman" w:cs="Times New Roman"/>
          <w:sz w:val="24"/>
          <w:szCs w:val="24"/>
        </w:rPr>
        <w:t xml:space="preserve">To </w:t>
      </w:r>
      <w:proofErr w:type="spellStart"/>
      <w:r w:rsidRPr="00643432">
        <w:rPr>
          <w:rFonts w:ascii="Times New Roman" w:hAnsi="Times New Roman" w:cs="Times New Roman"/>
          <w:sz w:val="24"/>
          <w:szCs w:val="24"/>
        </w:rPr>
        <w:t>analyze</w:t>
      </w:r>
      <w:proofErr w:type="spellEnd"/>
      <w:r w:rsidRPr="00643432">
        <w:rPr>
          <w:rFonts w:ascii="Times New Roman" w:hAnsi="Times New Roman" w:cs="Times New Roman"/>
          <w:sz w:val="24"/>
          <w:szCs w:val="24"/>
        </w:rPr>
        <w:t xml:space="preserve"> the effectiveness of early warning systems and emergency response mechanisms.</w:t>
      </w:r>
    </w:p>
    <w:p w14:paraId="5EFACE8A" w14:textId="0ED03C0A" w:rsidR="00643432" w:rsidRPr="00643432" w:rsidRDefault="00643432" w:rsidP="00643432">
      <w:pPr>
        <w:pStyle w:val="ListParagraph"/>
        <w:numPr>
          <w:ilvl w:val="0"/>
          <w:numId w:val="17"/>
        </w:numPr>
        <w:spacing w:line="360" w:lineRule="auto"/>
        <w:jc w:val="both"/>
        <w:rPr>
          <w:rFonts w:ascii="Times New Roman" w:hAnsi="Times New Roman" w:cs="Times New Roman"/>
          <w:sz w:val="24"/>
          <w:szCs w:val="24"/>
        </w:rPr>
      </w:pPr>
      <w:r w:rsidRPr="00643432">
        <w:rPr>
          <w:rFonts w:ascii="Times New Roman" w:hAnsi="Times New Roman" w:cs="Times New Roman"/>
          <w:sz w:val="24"/>
          <w:szCs w:val="24"/>
        </w:rPr>
        <w:t>To identify strengths and weaknesses in each country's disaster preparedness strategies.</w:t>
      </w:r>
    </w:p>
    <w:p w14:paraId="56D26EE8" w14:textId="2E353285" w:rsidR="00643432" w:rsidRPr="00643432" w:rsidRDefault="00643432" w:rsidP="00643432">
      <w:pPr>
        <w:pStyle w:val="ListParagraph"/>
        <w:numPr>
          <w:ilvl w:val="0"/>
          <w:numId w:val="17"/>
        </w:numPr>
        <w:spacing w:line="360" w:lineRule="auto"/>
        <w:jc w:val="both"/>
        <w:rPr>
          <w:rFonts w:ascii="Times New Roman" w:hAnsi="Times New Roman" w:cs="Times New Roman"/>
          <w:sz w:val="24"/>
          <w:szCs w:val="24"/>
        </w:rPr>
      </w:pPr>
      <w:r w:rsidRPr="00643432">
        <w:rPr>
          <w:rFonts w:ascii="Times New Roman" w:hAnsi="Times New Roman" w:cs="Times New Roman"/>
          <w:sz w:val="24"/>
          <w:szCs w:val="24"/>
        </w:rPr>
        <w:t>To assess the role of technology and innovation in disaster risk reduction efforts.</w:t>
      </w:r>
    </w:p>
    <w:p w14:paraId="61F58DE6" w14:textId="64A20995" w:rsidR="00643432" w:rsidRPr="00643432" w:rsidRDefault="00643432" w:rsidP="00643432">
      <w:pPr>
        <w:pStyle w:val="ListParagraph"/>
        <w:numPr>
          <w:ilvl w:val="0"/>
          <w:numId w:val="17"/>
        </w:numPr>
        <w:spacing w:line="360" w:lineRule="auto"/>
        <w:jc w:val="both"/>
        <w:rPr>
          <w:rFonts w:ascii="Times New Roman" w:hAnsi="Times New Roman" w:cs="Times New Roman"/>
          <w:sz w:val="24"/>
          <w:szCs w:val="24"/>
        </w:rPr>
      </w:pPr>
      <w:r w:rsidRPr="00643432">
        <w:rPr>
          <w:rFonts w:ascii="Times New Roman" w:hAnsi="Times New Roman" w:cs="Times New Roman"/>
          <w:sz w:val="24"/>
          <w:szCs w:val="24"/>
        </w:rPr>
        <w:t>To explore the influence of past disasters on current risk management policies.</w:t>
      </w:r>
    </w:p>
    <w:p w14:paraId="268C354F" w14:textId="13382AFC" w:rsidR="00643432" w:rsidRPr="00643432" w:rsidRDefault="00643432" w:rsidP="00643432">
      <w:pPr>
        <w:pStyle w:val="ListParagraph"/>
        <w:numPr>
          <w:ilvl w:val="0"/>
          <w:numId w:val="17"/>
        </w:numPr>
        <w:spacing w:line="360" w:lineRule="auto"/>
        <w:jc w:val="both"/>
        <w:rPr>
          <w:rFonts w:ascii="Times New Roman" w:hAnsi="Times New Roman" w:cs="Times New Roman"/>
          <w:sz w:val="24"/>
          <w:szCs w:val="24"/>
        </w:rPr>
      </w:pPr>
      <w:r w:rsidRPr="00643432">
        <w:rPr>
          <w:rFonts w:ascii="Times New Roman" w:hAnsi="Times New Roman" w:cs="Times New Roman"/>
          <w:sz w:val="24"/>
          <w:szCs w:val="24"/>
        </w:rPr>
        <w:t>To evaluate the integration of disaster risk management into urban planning and infrastructure.</w:t>
      </w:r>
    </w:p>
    <w:p w14:paraId="6BE5CBFF" w14:textId="1017CAC8" w:rsidR="00643432" w:rsidRPr="00643432" w:rsidRDefault="00643432" w:rsidP="00643432">
      <w:pPr>
        <w:pStyle w:val="ListParagraph"/>
        <w:numPr>
          <w:ilvl w:val="0"/>
          <w:numId w:val="17"/>
        </w:numPr>
        <w:spacing w:line="360" w:lineRule="auto"/>
        <w:jc w:val="both"/>
        <w:rPr>
          <w:rFonts w:ascii="Times New Roman" w:hAnsi="Times New Roman" w:cs="Times New Roman"/>
          <w:sz w:val="24"/>
          <w:szCs w:val="24"/>
        </w:rPr>
      </w:pPr>
      <w:bookmarkStart w:id="12" w:name="_Hlk204629896"/>
      <w:r w:rsidRPr="00643432">
        <w:rPr>
          <w:rFonts w:ascii="Times New Roman" w:hAnsi="Times New Roman" w:cs="Times New Roman"/>
          <w:sz w:val="24"/>
          <w:szCs w:val="24"/>
        </w:rPr>
        <w:t>To understand the level of public awareness and education in disaster preparedness.</w:t>
      </w:r>
    </w:p>
    <w:p w14:paraId="3A64A0E1" w14:textId="77777777" w:rsidR="00643432" w:rsidRDefault="00643432" w:rsidP="00643432">
      <w:pPr>
        <w:spacing w:line="360" w:lineRule="auto"/>
        <w:jc w:val="both"/>
        <w:rPr>
          <w:rFonts w:ascii="Times New Roman" w:hAnsi="Times New Roman" w:cs="Times New Roman"/>
          <w:b/>
          <w:bCs/>
          <w:sz w:val="24"/>
          <w:szCs w:val="24"/>
          <w:lang w:val="en-US"/>
        </w:rPr>
      </w:pPr>
      <w:bookmarkStart w:id="13" w:name="_Hlk204529368"/>
      <w:r w:rsidRPr="00643432">
        <w:rPr>
          <w:rFonts w:ascii="Times New Roman" w:hAnsi="Times New Roman" w:cs="Times New Roman"/>
          <w:b/>
          <w:bCs/>
          <w:sz w:val="24"/>
          <w:szCs w:val="24"/>
          <w:lang w:val="en-US"/>
        </w:rPr>
        <w:lastRenderedPageBreak/>
        <w:t>1.6 SCOPE OF THE STUDY</w:t>
      </w:r>
    </w:p>
    <w:p w14:paraId="5688952E" w14:textId="02F9381E" w:rsidR="00643432" w:rsidRPr="00643432" w:rsidRDefault="00643432" w:rsidP="00643432">
      <w:pPr>
        <w:spacing w:line="360" w:lineRule="auto"/>
        <w:jc w:val="both"/>
        <w:rPr>
          <w:rFonts w:ascii="Times New Roman" w:hAnsi="Times New Roman" w:cs="Times New Roman"/>
          <w:sz w:val="24"/>
          <w:szCs w:val="24"/>
        </w:rPr>
      </w:pPr>
      <w:bookmarkStart w:id="14" w:name="_Hlk202098815"/>
      <w:bookmarkEnd w:id="12"/>
      <w:bookmarkEnd w:id="13"/>
      <w:r>
        <w:rPr>
          <w:rFonts w:ascii="Times New Roman" w:hAnsi="Times New Roman" w:cs="Times New Roman"/>
          <w:sz w:val="24"/>
          <w:szCs w:val="24"/>
        </w:rPr>
        <w:t xml:space="preserve">              </w:t>
      </w:r>
      <w:r w:rsidRPr="00643432">
        <w:rPr>
          <w:rFonts w:ascii="Times New Roman" w:hAnsi="Times New Roman" w:cs="Times New Roman"/>
          <w:sz w:val="24"/>
          <w:szCs w:val="24"/>
        </w:rPr>
        <w:t>This study provides an in-depth comparative analysis of disaster risk management (DRM) systems in China and Japan, focusing on how both countries plan for, respond to, and recover from natural disasters. The scope covers the full disaster management cycle—mitigation, preparedness, response, and recovery—with a primary emphasis on natural hazards such as earthquakes, floods, typhoons, tsunamis, and landslides, which are common in both countries due to their geographical and climatic conditions.</w:t>
      </w:r>
    </w:p>
    <w:p w14:paraId="50CFFB7F" w14:textId="375A3E37" w:rsidR="00643432" w:rsidRPr="00643432" w:rsidRDefault="00643432" w:rsidP="0064343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43432">
        <w:rPr>
          <w:rFonts w:ascii="Times New Roman" w:hAnsi="Times New Roman" w:cs="Times New Roman"/>
          <w:sz w:val="24"/>
          <w:szCs w:val="24"/>
        </w:rPr>
        <w:t>The study examines the institutional frameworks and legal systems that form the backbone of disaster risk governance in each country. It explores the roles and responsibilities of national government agencies (such as Japan’s Cabinet Office for Disaster Management and China’s Ministry of Emergency Management), as well as the involvement of local governments, emergency services, and regional disaster management authorities. It investigates how inter-agency coordination and multi-level governance affect the efficiency of DRM systems in both nations.</w:t>
      </w:r>
    </w:p>
    <w:p w14:paraId="55F025A8" w14:textId="2A3E0652" w:rsidR="00643432" w:rsidRPr="00643432" w:rsidRDefault="00643432" w:rsidP="0064343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43432">
        <w:rPr>
          <w:rFonts w:ascii="Times New Roman" w:hAnsi="Times New Roman" w:cs="Times New Roman"/>
          <w:sz w:val="24"/>
          <w:szCs w:val="24"/>
        </w:rPr>
        <w:t>A significant part of the study focuses on the technological dimension of DRM, including the use of early warning systems, GIS mapping, satellite data, artificial intelligence, and earthquake-resistant infrastructure. It assesses how both countries use science, research, and innovation to reduce disaster risks and improve emergency response capabilities. The role of education, training, public awareness, and community engagement is also considered, as these are crucial to building a culture of safety and preparedness.</w:t>
      </w:r>
    </w:p>
    <w:p w14:paraId="78E174CC" w14:textId="1DE13BEE" w:rsidR="00643432" w:rsidRPr="00643432" w:rsidRDefault="00643432" w:rsidP="0064343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43432">
        <w:rPr>
          <w:rFonts w:ascii="Times New Roman" w:hAnsi="Times New Roman" w:cs="Times New Roman"/>
          <w:sz w:val="24"/>
          <w:szCs w:val="24"/>
        </w:rPr>
        <w:t xml:space="preserve">The study further </w:t>
      </w:r>
      <w:proofErr w:type="spellStart"/>
      <w:r w:rsidRPr="00643432">
        <w:rPr>
          <w:rFonts w:ascii="Times New Roman" w:hAnsi="Times New Roman" w:cs="Times New Roman"/>
          <w:sz w:val="24"/>
          <w:szCs w:val="24"/>
        </w:rPr>
        <w:t>analyzes</w:t>
      </w:r>
      <w:proofErr w:type="spellEnd"/>
      <w:r w:rsidRPr="00643432">
        <w:rPr>
          <w:rFonts w:ascii="Times New Roman" w:hAnsi="Times New Roman" w:cs="Times New Roman"/>
          <w:sz w:val="24"/>
          <w:szCs w:val="24"/>
        </w:rPr>
        <w:t xml:space="preserve"> how historical disasters—such as the 2008 Wenchuan Earthquake in China and the 2011 Great East Japan Earthquake—have acted as catalysts for policy change and institutional reform. It explores policy shifts, funding mechanisms, and infrastructure investments that followed such disasters and evaluates how lessons learned have been incorporated into current practices.</w:t>
      </w:r>
    </w:p>
    <w:p w14:paraId="7C4A9CFC" w14:textId="11F54285" w:rsidR="00643432" w:rsidRPr="00643432" w:rsidRDefault="00643432" w:rsidP="0064343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43432">
        <w:rPr>
          <w:rFonts w:ascii="Times New Roman" w:hAnsi="Times New Roman" w:cs="Times New Roman"/>
          <w:sz w:val="24"/>
          <w:szCs w:val="24"/>
        </w:rPr>
        <w:t>Additionally, the research touches upon the economic and social dimensions of disaster risk management, including the role of insurance, disaster financing, social vulnerability, population density, urbanization, and the protection of critical infrastructure. It examines how the DRM systems in both countries address challenges posed by climate change, such as increased frequency and severity of extreme weather events.</w:t>
      </w:r>
    </w:p>
    <w:p w14:paraId="1614EDBC" w14:textId="77777777" w:rsidR="00643432" w:rsidRDefault="00643432" w:rsidP="00643432">
      <w:pPr>
        <w:spacing w:line="360" w:lineRule="auto"/>
        <w:jc w:val="both"/>
        <w:rPr>
          <w:rFonts w:ascii="Times New Roman" w:hAnsi="Times New Roman" w:cs="Times New Roman"/>
          <w:b/>
          <w:bCs/>
          <w:sz w:val="24"/>
          <w:szCs w:val="24"/>
          <w:lang w:val="en-US"/>
        </w:rPr>
      </w:pPr>
      <w:bookmarkStart w:id="15" w:name="_Hlk204529410"/>
      <w:r w:rsidRPr="006E2866">
        <w:rPr>
          <w:rFonts w:ascii="Times New Roman" w:hAnsi="Times New Roman" w:cs="Times New Roman"/>
          <w:b/>
          <w:bCs/>
          <w:sz w:val="24"/>
          <w:szCs w:val="24"/>
          <w:lang w:val="en-US"/>
        </w:rPr>
        <w:t>1.7 LIMITATIONS OF THE STUDY</w:t>
      </w:r>
      <w:bookmarkEnd w:id="14"/>
    </w:p>
    <w:bookmarkEnd w:id="15"/>
    <w:p w14:paraId="7FCD0A46" w14:textId="24F744B8" w:rsidR="00643432" w:rsidRPr="00643432" w:rsidRDefault="00643432" w:rsidP="0064343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643432">
        <w:rPr>
          <w:rFonts w:ascii="Times New Roman" w:hAnsi="Times New Roman" w:cs="Times New Roman"/>
          <w:sz w:val="24"/>
          <w:szCs w:val="24"/>
        </w:rPr>
        <w:t>While this study offers a comparative analysis of disaster risk management in China and Japan, several limitations may affect the scope, depth, and generalizability of the findings. Firstly, due to the vast scale and complexity of both countries’ DRM systems, the study focuses on broader national strategies and key institutional practices rather than detailed, localized case studies. This may limit the understanding of regional variations within each country, especially in remote or underrepresented areas.</w:t>
      </w:r>
    </w:p>
    <w:p w14:paraId="78101896" w14:textId="6C6F0C39" w:rsidR="00643432" w:rsidRPr="00643432" w:rsidRDefault="00643432" w:rsidP="0064343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43432">
        <w:rPr>
          <w:rFonts w:ascii="Times New Roman" w:hAnsi="Times New Roman" w:cs="Times New Roman"/>
          <w:sz w:val="24"/>
          <w:szCs w:val="24"/>
        </w:rPr>
        <w:t>Secondly, the availability and accessibility of official data vary between China and Japan. In some cases, government documents, statistics, or disaster reports may be restricted or published only in local languages, which could limit the depth of analysis and lead to partial reliance on secondary sources. This may also create challenges in verifying the accuracy and consistency of cross-country comparisons.</w:t>
      </w:r>
    </w:p>
    <w:p w14:paraId="1C8C27C2" w14:textId="74D0A611" w:rsidR="00643432" w:rsidRPr="00643432" w:rsidRDefault="00643432" w:rsidP="0064343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43432">
        <w:rPr>
          <w:rFonts w:ascii="Times New Roman" w:hAnsi="Times New Roman" w:cs="Times New Roman"/>
          <w:sz w:val="24"/>
          <w:szCs w:val="24"/>
        </w:rPr>
        <w:t>Thirdly, the study focuses primarily on natural disasters and may not cover the full scope of man-made or hybrid disasters, such as industrial accidents or compound hazards, unless they are directly linked to natural events. Therefore, certain dimensions of disaster risk, including technological failures or pandemics, are only briefly mentioned or excluded entirely.</w:t>
      </w:r>
    </w:p>
    <w:p w14:paraId="47DDFB4B" w14:textId="49669EDB" w:rsidR="00643432" w:rsidRPr="00643432" w:rsidRDefault="00643432" w:rsidP="0064343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43432">
        <w:rPr>
          <w:rFonts w:ascii="Times New Roman" w:hAnsi="Times New Roman" w:cs="Times New Roman"/>
          <w:sz w:val="24"/>
          <w:szCs w:val="24"/>
        </w:rPr>
        <w:t>Additionally, this research is mainly qualitative in nature, drawing from existing literature, policy reviews, and historical examples. As such, it may not include real-time field data, first-hand interviews, or empirical surveys that could offer deeper, ground-level insights. The absence of on-the-ground data collection limits the ability to measure the current effectiveness of community-based practices or individual preparedness levels.</w:t>
      </w:r>
    </w:p>
    <w:p w14:paraId="29FE4078" w14:textId="6DF88592" w:rsidR="00643432" w:rsidRPr="00643432" w:rsidRDefault="00643432" w:rsidP="0064343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43432">
        <w:rPr>
          <w:rFonts w:ascii="Times New Roman" w:hAnsi="Times New Roman" w:cs="Times New Roman"/>
          <w:sz w:val="24"/>
          <w:szCs w:val="24"/>
        </w:rPr>
        <w:t>Finally, the findings and recommendations of this study may not be universally applicable to all countries or contexts, as they are influenced by the unique political systems, cultural values, economic capacities, and social structures of China and Japan. Caution must be taken when attempting to generalize these insights to other regions with different governance models or hazard profiles.</w:t>
      </w:r>
    </w:p>
    <w:p w14:paraId="19FBF55E" w14:textId="057F81E4" w:rsidR="00643432" w:rsidRPr="00643432" w:rsidRDefault="00643432" w:rsidP="0064343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43432">
        <w:rPr>
          <w:rFonts w:ascii="Times New Roman" w:hAnsi="Times New Roman" w:cs="Times New Roman"/>
          <w:sz w:val="24"/>
          <w:szCs w:val="24"/>
        </w:rPr>
        <w:t>Despite these limitations, the study provides a useful foundation for understanding key aspects of disaster risk management in two of Asia’s most disaster-prone nations and offers valuable lessons that can inform global resilience-building efforts.</w:t>
      </w:r>
    </w:p>
    <w:p w14:paraId="58365B3C" w14:textId="77777777" w:rsidR="00643432" w:rsidRPr="00643432" w:rsidRDefault="00643432" w:rsidP="00643432">
      <w:pPr>
        <w:spacing w:line="360" w:lineRule="auto"/>
        <w:jc w:val="both"/>
        <w:rPr>
          <w:rFonts w:ascii="Times New Roman" w:hAnsi="Times New Roman" w:cs="Times New Roman"/>
          <w:sz w:val="24"/>
          <w:szCs w:val="24"/>
          <w:lang w:val="en-US"/>
        </w:rPr>
      </w:pPr>
    </w:p>
    <w:p w14:paraId="4E922D22" w14:textId="77777777" w:rsidR="00643432" w:rsidRPr="00643432" w:rsidRDefault="00643432" w:rsidP="00643432">
      <w:pPr>
        <w:spacing w:line="360" w:lineRule="auto"/>
        <w:jc w:val="both"/>
        <w:rPr>
          <w:rFonts w:ascii="Times New Roman" w:hAnsi="Times New Roman" w:cs="Times New Roman"/>
          <w:sz w:val="24"/>
          <w:szCs w:val="24"/>
        </w:rPr>
      </w:pPr>
    </w:p>
    <w:p w14:paraId="4CA68D25" w14:textId="77777777" w:rsidR="00643432" w:rsidRPr="00AD7255" w:rsidRDefault="00643432" w:rsidP="00643432">
      <w:pPr>
        <w:spacing w:line="360" w:lineRule="auto"/>
        <w:jc w:val="center"/>
        <w:rPr>
          <w:rFonts w:ascii="Times New Roman" w:hAnsi="Times New Roman" w:cs="Times New Roman"/>
          <w:b/>
          <w:bCs/>
          <w:sz w:val="24"/>
          <w:szCs w:val="24"/>
          <w:lang w:val="en-US"/>
        </w:rPr>
      </w:pPr>
      <w:bookmarkStart w:id="16" w:name="_Hlk202089904"/>
      <w:bookmarkStart w:id="17" w:name="_Hlk204971144"/>
      <w:r w:rsidRPr="00AD7255">
        <w:rPr>
          <w:rFonts w:ascii="Times New Roman" w:hAnsi="Times New Roman" w:cs="Times New Roman"/>
          <w:b/>
          <w:bCs/>
          <w:sz w:val="24"/>
          <w:szCs w:val="24"/>
          <w:lang w:val="en-US"/>
        </w:rPr>
        <w:lastRenderedPageBreak/>
        <w:t>CHAPTER – II</w:t>
      </w:r>
    </w:p>
    <w:p w14:paraId="2C81A4A7" w14:textId="77777777" w:rsidR="00643432" w:rsidRDefault="00643432" w:rsidP="00643432">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6"/>
    <w:p w14:paraId="6959A202" w14:textId="77777777" w:rsidR="00643432" w:rsidRPr="00643432" w:rsidRDefault="00643432" w:rsidP="00643432">
      <w:pPr>
        <w:spacing w:line="360" w:lineRule="auto"/>
        <w:ind w:left="-360"/>
        <w:jc w:val="both"/>
        <w:rPr>
          <w:rFonts w:ascii="Times New Roman" w:hAnsi="Times New Roman" w:cs="Times New Roman"/>
          <w:sz w:val="24"/>
          <w:szCs w:val="24"/>
        </w:rPr>
      </w:pPr>
      <w:r w:rsidRPr="00643432">
        <w:rPr>
          <w:rFonts w:ascii="Times New Roman" w:hAnsi="Times New Roman" w:cs="Times New Roman"/>
          <w:b/>
          <w:bCs/>
          <w:sz w:val="24"/>
          <w:szCs w:val="24"/>
        </w:rPr>
        <w:t>Disaster Risk Management in China and Japan</w:t>
      </w:r>
    </w:p>
    <w:bookmarkEnd w:id="17"/>
    <w:p w14:paraId="2EA928A7" w14:textId="77777777" w:rsidR="00643432" w:rsidRPr="00643432" w:rsidRDefault="00643432" w:rsidP="00643432">
      <w:pPr>
        <w:spacing w:line="360" w:lineRule="auto"/>
        <w:ind w:left="-360"/>
        <w:jc w:val="both"/>
        <w:rPr>
          <w:rFonts w:ascii="Times New Roman" w:hAnsi="Times New Roman" w:cs="Times New Roman"/>
          <w:sz w:val="24"/>
          <w:szCs w:val="24"/>
        </w:rPr>
      </w:pPr>
      <w:r w:rsidRPr="00643432">
        <w:rPr>
          <w:rFonts w:ascii="Times New Roman" w:hAnsi="Times New Roman" w:cs="Times New Roman"/>
          <w:sz w:val="24"/>
          <w:szCs w:val="24"/>
        </w:rPr>
        <w:t>The study of disaster risk management (DRM) in China and Japan has attracted significant scholarly attention due to both countries’ high vulnerability to natural hazards and their distinct yet highly developed approaches to managing disaster risks. The literature reveals rich insights into policy evolution, technological advancement, institutional frameworks, and the sociocultural factors that influence how disasters are managed in these two nations. This chapter provides a critical review of relevant literature, highlighting the key themes and findings that underpin current understanding of DRM in China and Japan.</w:t>
      </w:r>
    </w:p>
    <w:p w14:paraId="2A896729" w14:textId="77777777" w:rsidR="00643432" w:rsidRPr="00643432" w:rsidRDefault="00643432" w:rsidP="00643432">
      <w:pPr>
        <w:spacing w:line="360" w:lineRule="auto"/>
        <w:ind w:left="-360"/>
        <w:jc w:val="both"/>
        <w:rPr>
          <w:rFonts w:ascii="Times New Roman" w:hAnsi="Times New Roman" w:cs="Times New Roman"/>
          <w:b/>
          <w:bCs/>
          <w:sz w:val="24"/>
          <w:szCs w:val="24"/>
        </w:rPr>
      </w:pPr>
      <w:r w:rsidRPr="00643432">
        <w:rPr>
          <w:rFonts w:ascii="Times New Roman" w:hAnsi="Times New Roman" w:cs="Times New Roman"/>
          <w:b/>
          <w:bCs/>
          <w:sz w:val="24"/>
          <w:szCs w:val="24"/>
        </w:rPr>
        <w:t>2.1 Disaster Risk Management in Japan</w:t>
      </w:r>
    </w:p>
    <w:p w14:paraId="74475739" w14:textId="77777777" w:rsidR="00643432" w:rsidRPr="00643432" w:rsidRDefault="00643432" w:rsidP="00643432">
      <w:pPr>
        <w:spacing w:line="360" w:lineRule="auto"/>
        <w:ind w:left="-360"/>
        <w:jc w:val="both"/>
        <w:rPr>
          <w:rFonts w:ascii="Times New Roman" w:hAnsi="Times New Roman" w:cs="Times New Roman"/>
          <w:sz w:val="24"/>
          <w:szCs w:val="24"/>
        </w:rPr>
      </w:pPr>
      <w:r w:rsidRPr="00643432">
        <w:rPr>
          <w:rFonts w:ascii="Times New Roman" w:hAnsi="Times New Roman" w:cs="Times New Roman"/>
          <w:sz w:val="24"/>
          <w:szCs w:val="24"/>
        </w:rPr>
        <w:t xml:space="preserve">Japan is widely regarded as a global leader in disaster preparedness and resilience. Scholars such as Shaw and Takeuchi (2009) highlight Japan’s transition from a reactive approach to a proactive, risk-reduction-focused model, particularly following the Great Hanshin Earthquake in 1995. This disaster </w:t>
      </w:r>
      <w:proofErr w:type="spellStart"/>
      <w:r w:rsidRPr="00643432">
        <w:rPr>
          <w:rFonts w:ascii="Times New Roman" w:hAnsi="Times New Roman" w:cs="Times New Roman"/>
          <w:sz w:val="24"/>
          <w:szCs w:val="24"/>
        </w:rPr>
        <w:t>catalyzed</w:t>
      </w:r>
      <w:proofErr w:type="spellEnd"/>
      <w:r w:rsidRPr="00643432">
        <w:rPr>
          <w:rFonts w:ascii="Times New Roman" w:hAnsi="Times New Roman" w:cs="Times New Roman"/>
          <w:sz w:val="24"/>
          <w:szCs w:val="24"/>
        </w:rPr>
        <w:t xml:space="preserve"> reforms in emergency laws, building codes, and urban planning strategies. The Great East Japan Earthquake of 2011 further reshaped Japan's DRM landscape, as noted by Aldrich (2012), who emphasizes the importance of social capital and community networks in post-disaster recovery.</w:t>
      </w:r>
    </w:p>
    <w:p w14:paraId="6FEA22E9" w14:textId="77777777" w:rsidR="00643432" w:rsidRPr="00643432" w:rsidRDefault="00643432" w:rsidP="00643432">
      <w:pPr>
        <w:spacing w:line="360" w:lineRule="auto"/>
        <w:ind w:left="-360"/>
        <w:jc w:val="both"/>
        <w:rPr>
          <w:rFonts w:ascii="Times New Roman" w:hAnsi="Times New Roman" w:cs="Times New Roman"/>
          <w:sz w:val="24"/>
          <w:szCs w:val="24"/>
        </w:rPr>
      </w:pPr>
      <w:r w:rsidRPr="00643432">
        <w:rPr>
          <w:rFonts w:ascii="Times New Roman" w:hAnsi="Times New Roman" w:cs="Times New Roman"/>
          <w:sz w:val="24"/>
          <w:szCs w:val="24"/>
        </w:rPr>
        <w:t xml:space="preserve">A substantial body of literature focuses on Japan’s integration of </w:t>
      </w:r>
      <w:r w:rsidRPr="00643432">
        <w:rPr>
          <w:rFonts w:ascii="Times New Roman" w:hAnsi="Times New Roman" w:cs="Times New Roman"/>
          <w:b/>
          <w:bCs/>
          <w:sz w:val="24"/>
          <w:szCs w:val="24"/>
        </w:rPr>
        <w:t>technology</w:t>
      </w:r>
      <w:r w:rsidRPr="00643432">
        <w:rPr>
          <w:rFonts w:ascii="Times New Roman" w:hAnsi="Times New Roman" w:cs="Times New Roman"/>
          <w:sz w:val="24"/>
          <w:szCs w:val="24"/>
        </w:rPr>
        <w:t xml:space="preserve"> in disaster management. The use of early warning systems, satellite imaging, seismic sensors, and tsunami alerts has been well-documented (e.g., </w:t>
      </w:r>
      <w:proofErr w:type="spellStart"/>
      <w:r w:rsidRPr="00643432">
        <w:rPr>
          <w:rFonts w:ascii="Times New Roman" w:hAnsi="Times New Roman" w:cs="Times New Roman"/>
          <w:sz w:val="24"/>
          <w:szCs w:val="24"/>
        </w:rPr>
        <w:t>Suppasri</w:t>
      </w:r>
      <w:proofErr w:type="spellEnd"/>
      <w:r w:rsidRPr="00643432">
        <w:rPr>
          <w:rFonts w:ascii="Times New Roman" w:hAnsi="Times New Roman" w:cs="Times New Roman"/>
          <w:sz w:val="24"/>
          <w:szCs w:val="24"/>
        </w:rPr>
        <w:t xml:space="preserve"> et al., 2013). Studies also explore Japan’s </w:t>
      </w:r>
      <w:r w:rsidRPr="00643432">
        <w:rPr>
          <w:rFonts w:ascii="Times New Roman" w:hAnsi="Times New Roman" w:cs="Times New Roman"/>
          <w:b/>
          <w:bCs/>
          <w:sz w:val="24"/>
          <w:szCs w:val="24"/>
        </w:rPr>
        <w:t>multi-stakeholder approach</w:t>
      </w:r>
      <w:r w:rsidRPr="00643432">
        <w:rPr>
          <w:rFonts w:ascii="Times New Roman" w:hAnsi="Times New Roman" w:cs="Times New Roman"/>
          <w:sz w:val="24"/>
          <w:szCs w:val="24"/>
        </w:rPr>
        <w:t>, where government, private sector, and civil society collaborate to enhance preparedness and recovery (Hideki Kitagawa, 2018). Education and public awareness campaigns are also central to Japan’s DRM strategy, with regular drills and curriculum-based disaster education seen as global best practices.</w:t>
      </w:r>
    </w:p>
    <w:p w14:paraId="044A3291" w14:textId="77777777" w:rsidR="00643432" w:rsidRPr="00643432" w:rsidRDefault="00643432" w:rsidP="00643432">
      <w:pPr>
        <w:spacing w:line="360" w:lineRule="auto"/>
        <w:ind w:left="-360"/>
        <w:jc w:val="both"/>
        <w:rPr>
          <w:rFonts w:ascii="Times New Roman" w:hAnsi="Times New Roman" w:cs="Times New Roman"/>
          <w:b/>
          <w:bCs/>
          <w:sz w:val="24"/>
          <w:szCs w:val="24"/>
        </w:rPr>
      </w:pPr>
      <w:r w:rsidRPr="00643432">
        <w:rPr>
          <w:rFonts w:ascii="Times New Roman" w:hAnsi="Times New Roman" w:cs="Times New Roman"/>
          <w:b/>
          <w:bCs/>
          <w:sz w:val="24"/>
          <w:szCs w:val="24"/>
        </w:rPr>
        <w:t>2.2 Disaster Risk Management in China</w:t>
      </w:r>
    </w:p>
    <w:p w14:paraId="2D82AA23" w14:textId="77777777" w:rsidR="00643432" w:rsidRPr="00643432" w:rsidRDefault="00643432" w:rsidP="00643432">
      <w:pPr>
        <w:spacing w:line="360" w:lineRule="auto"/>
        <w:ind w:left="-360"/>
        <w:jc w:val="both"/>
        <w:rPr>
          <w:rFonts w:ascii="Times New Roman" w:hAnsi="Times New Roman" w:cs="Times New Roman"/>
          <w:sz w:val="24"/>
          <w:szCs w:val="24"/>
        </w:rPr>
      </w:pPr>
      <w:r w:rsidRPr="00643432">
        <w:rPr>
          <w:rFonts w:ascii="Times New Roman" w:hAnsi="Times New Roman" w:cs="Times New Roman"/>
          <w:sz w:val="24"/>
          <w:szCs w:val="24"/>
        </w:rPr>
        <w:t xml:space="preserve">China’s DRM system has undergone significant transformation, particularly since the devastating </w:t>
      </w:r>
      <w:r w:rsidRPr="00643432">
        <w:rPr>
          <w:rFonts w:ascii="Times New Roman" w:hAnsi="Times New Roman" w:cs="Times New Roman"/>
          <w:b/>
          <w:bCs/>
          <w:sz w:val="24"/>
          <w:szCs w:val="24"/>
        </w:rPr>
        <w:t>2008 Wenchuan Earthquake</w:t>
      </w:r>
      <w:r w:rsidRPr="00643432">
        <w:rPr>
          <w:rFonts w:ascii="Times New Roman" w:hAnsi="Times New Roman" w:cs="Times New Roman"/>
          <w:sz w:val="24"/>
          <w:szCs w:val="24"/>
        </w:rPr>
        <w:t xml:space="preserve">, which exposed major gaps in emergency coordination and preparedness. Scholars such as Fan (2013) and Zhang et al. (2016) document how this event led to the creation of stronger institutional frameworks and the eventual establishment of the </w:t>
      </w:r>
      <w:r w:rsidRPr="00643432">
        <w:rPr>
          <w:rFonts w:ascii="Times New Roman" w:hAnsi="Times New Roman" w:cs="Times New Roman"/>
          <w:b/>
          <w:bCs/>
          <w:sz w:val="24"/>
          <w:szCs w:val="24"/>
        </w:rPr>
        <w:t xml:space="preserve">Ministry </w:t>
      </w:r>
      <w:r w:rsidRPr="00643432">
        <w:rPr>
          <w:rFonts w:ascii="Times New Roman" w:hAnsi="Times New Roman" w:cs="Times New Roman"/>
          <w:b/>
          <w:bCs/>
          <w:sz w:val="24"/>
          <w:szCs w:val="24"/>
        </w:rPr>
        <w:lastRenderedPageBreak/>
        <w:t>of Emergency Management (MEM)</w:t>
      </w:r>
      <w:r w:rsidRPr="00643432">
        <w:rPr>
          <w:rFonts w:ascii="Times New Roman" w:hAnsi="Times New Roman" w:cs="Times New Roman"/>
          <w:sz w:val="24"/>
          <w:szCs w:val="24"/>
        </w:rPr>
        <w:t xml:space="preserve"> in 2018. This ministry centralizes the responsibilities for disaster response and workplace safety under one authority, enhancing coordination and rapid response capacity.</w:t>
      </w:r>
    </w:p>
    <w:p w14:paraId="08C5C2CE" w14:textId="77777777" w:rsidR="00643432" w:rsidRPr="00643432" w:rsidRDefault="00643432" w:rsidP="00643432">
      <w:pPr>
        <w:spacing w:line="360" w:lineRule="auto"/>
        <w:ind w:left="-360"/>
        <w:jc w:val="both"/>
        <w:rPr>
          <w:rFonts w:ascii="Times New Roman" w:hAnsi="Times New Roman" w:cs="Times New Roman"/>
          <w:sz w:val="24"/>
          <w:szCs w:val="24"/>
        </w:rPr>
      </w:pPr>
      <w:r w:rsidRPr="00643432">
        <w:rPr>
          <w:rFonts w:ascii="Times New Roman" w:hAnsi="Times New Roman" w:cs="Times New Roman"/>
          <w:sz w:val="24"/>
          <w:szCs w:val="24"/>
        </w:rPr>
        <w:t xml:space="preserve">The literature highlights the role of </w:t>
      </w:r>
      <w:r w:rsidRPr="00643432">
        <w:rPr>
          <w:rFonts w:ascii="Times New Roman" w:hAnsi="Times New Roman" w:cs="Times New Roman"/>
          <w:b/>
          <w:bCs/>
          <w:sz w:val="24"/>
          <w:szCs w:val="24"/>
        </w:rPr>
        <w:t>centralized governance</w:t>
      </w:r>
      <w:r w:rsidRPr="00643432">
        <w:rPr>
          <w:rFonts w:ascii="Times New Roman" w:hAnsi="Times New Roman" w:cs="Times New Roman"/>
          <w:sz w:val="24"/>
          <w:szCs w:val="24"/>
        </w:rPr>
        <w:t xml:space="preserve"> in China’s disaster management, which allows for large-scale mobilization and resource allocation. However, researchers also point out limitations such as inconsistent local implementation, lack of community participation, and top-down communication flows (Tang &amp; Liu, 2011). In recent years, there has been growing interest in how China is leveraging </w:t>
      </w:r>
      <w:r w:rsidRPr="00643432">
        <w:rPr>
          <w:rFonts w:ascii="Times New Roman" w:hAnsi="Times New Roman" w:cs="Times New Roman"/>
          <w:b/>
          <w:bCs/>
          <w:sz w:val="24"/>
          <w:szCs w:val="24"/>
        </w:rPr>
        <w:t>big data, AI, and remote sensing technologies</w:t>
      </w:r>
      <w:r w:rsidRPr="00643432">
        <w:rPr>
          <w:rFonts w:ascii="Times New Roman" w:hAnsi="Times New Roman" w:cs="Times New Roman"/>
          <w:sz w:val="24"/>
          <w:szCs w:val="24"/>
        </w:rPr>
        <w:t xml:space="preserve"> for disaster prediction and monitoring, as explored by Gao et al. (2020).</w:t>
      </w:r>
    </w:p>
    <w:p w14:paraId="25CF1442" w14:textId="77777777" w:rsidR="00643432" w:rsidRPr="00643432" w:rsidRDefault="00643432" w:rsidP="00643432">
      <w:pPr>
        <w:spacing w:line="360" w:lineRule="auto"/>
        <w:ind w:left="-360"/>
        <w:jc w:val="both"/>
        <w:rPr>
          <w:rFonts w:ascii="Times New Roman" w:hAnsi="Times New Roman" w:cs="Times New Roman"/>
          <w:b/>
          <w:bCs/>
          <w:sz w:val="24"/>
          <w:szCs w:val="24"/>
        </w:rPr>
      </w:pPr>
      <w:r w:rsidRPr="00643432">
        <w:rPr>
          <w:rFonts w:ascii="Times New Roman" w:hAnsi="Times New Roman" w:cs="Times New Roman"/>
          <w:b/>
          <w:bCs/>
          <w:sz w:val="24"/>
          <w:szCs w:val="24"/>
        </w:rPr>
        <w:t>2.3 Comparative Studies and Regional Perspectives</w:t>
      </w:r>
    </w:p>
    <w:p w14:paraId="1448DD07" w14:textId="77777777" w:rsidR="00643432" w:rsidRPr="00643432" w:rsidRDefault="00643432" w:rsidP="00643432">
      <w:pPr>
        <w:spacing w:line="360" w:lineRule="auto"/>
        <w:ind w:left="-360"/>
        <w:jc w:val="both"/>
        <w:rPr>
          <w:rFonts w:ascii="Times New Roman" w:hAnsi="Times New Roman" w:cs="Times New Roman"/>
          <w:sz w:val="24"/>
          <w:szCs w:val="24"/>
        </w:rPr>
      </w:pPr>
      <w:r w:rsidRPr="00643432">
        <w:rPr>
          <w:rFonts w:ascii="Times New Roman" w:hAnsi="Times New Roman" w:cs="Times New Roman"/>
          <w:sz w:val="24"/>
          <w:szCs w:val="24"/>
        </w:rPr>
        <w:t xml:space="preserve">Comparative studies between China and Japan emphasize the </w:t>
      </w:r>
      <w:r w:rsidRPr="00643432">
        <w:rPr>
          <w:rFonts w:ascii="Times New Roman" w:hAnsi="Times New Roman" w:cs="Times New Roman"/>
          <w:b/>
          <w:bCs/>
          <w:sz w:val="24"/>
          <w:szCs w:val="24"/>
        </w:rPr>
        <w:t>institutional and cultural differences</w:t>
      </w:r>
      <w:r w:rsidRPr="00643432">
        <w:rPr>
          <w:rFonts w:ascii="Times New Roman" w:hAnsi="Times New Roman" w:cs="Times New Roman"/>
          <w:sz w:val="24"/>
          <w:szCs w:val="24"/>
        </w:rPr>
        <w:t xml:space="preserve"> that shape DRM practices. For example, Okada and Fang (2013) argue that while Japan emphasizes local empowerment and public participation, China prioritizes central control and rapid resource deployment. The literature also explores the different roles played by </w:t>
      </w:r>
      <w:r w:rsidRPr="00643432">
        <w:rPr>
          <w:rFonts w:ascii="Times New Roman" w:hAnsi="Times New Roman" w:cs="Times New Roman"/>
          <w:b/>
          <w:bCs/>
          <w:sz w:val="24"/>
          <w:szCs w:val="24"/>
        </w:rPr>
        <w:t>non-governmental organizations (NGOs)</w:t>
      </w:r>
      <w:r w:rsidRPr="00643432">
        <w:rPr>
          <w:rFonts w:ascii="Times New Roman" w:hAnsi="Times New Roman" w:cs="Times New Roman"/>
          <w:sz w:val="24"/>
          <w:szCs w:val="24"/>
        </w:rPr>
        <w:t xml:space="preserve"> and </w:t>
      </w:r>
      <w:r w:rsidRPr="00643432">
        <w:rPr>
          <w:rFonts w:ascii="Times New Roman" w:hAnsi="Times New Roman" w:cs="Times New Roman"/>
          <w:b/>
          <w:bCs/>
          <w:sz w:val="24"/>
          <w:szCs w:val="24"/>
        </w:rPr>
        <w:t>community-based organizations (CBOs)</w:t>
      </w:r>
      <w:r w:rsidRPr="00643432">
        <w:rPr>
          <w:rFonts w:ascii="Times New Roman" w:hAnsi="Times New Roman" w:cs="Times New Roman"/>
          <w:sz w:val="24"/>
          <w:szCs w:val="24"/>
        </w:rPr>
        <w:t>, with Japan having a stronger tradition of community-led disaster preparedness.</w:t>
      </w:r>
    </w:p>
    <w:p w14:paraId="4A542019" w14:textId="77777777" w:rsidR="00643432" w:rsidRPr="00643432" w:rsidRDefault="00643432" w:rsidP="00643432">
      <w:pPr>
        <w:spacing w:line="360" w:lineRule="auto"/>
        <w:ind w:left="-360"/>
        <w:jc w:val="both"/>
        <w:rPr>
          <w:rFonts w:ascii="Times New Roman" w:hAnsi="Times New Roman" w:cs="Times New Roman"/>
          <w:sz w:val="24"/>
          <w:szCs w:val="24"/>
        </w:rPr>
      </w:pPr>
      <w:r w:rsidRPr="00643432">
        <w:rPr>
          <w:rFonts w:ascii="Times New Roman" w:hAnsi="Times New Roman" w:cs="Times New Roman"/>
          <w:sz w:val="24"/>
          <w:szCs w:val="24"/>
        </w:rPr>
        <w:t xml:space="preserve">Regional and global studies, such as those by UNDRR and the Asian Disaster Preparedness </w:t>
      </w:r>
      <w:proofErr w:type="spellStart"/>
      <w:r w:rsidRPr="00643432">
        <w:rPr>
          <w:rFonts w:ascii="Times New Roman" w:hAnsi="Times New Roman" w:cs="Times New Roman"/>
          <w:sz w:val="24"/>
          <w:szCs w:val="24"/>
        </w:rPr>
        <w:t>Center</w:t>
      </w:r>
      <w:proofErr w:type="spellEnd"/>
      <w:r w:rsidRPr="00643432">
        <w:rPr>
          <w:rFonts w:ascii="Times New Roman" w:hAnsi="Times New Roman" w:cs="Times New Roman"/>
          <w:sz w:val="24"/>
          <w:szCs w:val="24"/>
        </w:rPr>
        <w:t xml:space="preserve"> (ADPC), position China and Japan as case studies in Asia’s broader disaster governance framework. Their contributions to international agreements like the </w:t>
      </w:r>
      <w:r w:rsidRPr="00643432">
        <w:rPr>
          <w:rFonts w:ascii="Times New Roman" w:hAnsi="Times New Roman" w:cs="Times New Roman"/>
          <w:b/>
          <w:bCs/>
          <w:sz w:val="24"/>
          <w:szCs w:val="24"/>
        </w:rPr>
        <w:t>Sendai Framework for Disaster Risk Reduction (2015–2030)</w:t>
      </w:r>
      <w:r w:rsidRPr="00643432">
        <w:rPr>
          <w:rFonts w:ascii="Times New Roman" w:hAnsi="Times New Roman" w:cs="Times New Roman"/>
          <w:sz w:val="24"/>
          <w:szCs w:val="24"/>
        </w:rPr>
        <w:t xml:space="preserve"> are often cited as examples of effective policy implementation and cross-border collaboration.</w:t>
      </w:r>
    </w:p>
    <w:p w14:paraId="18602EA9" w14:textId="77777777" w:rsidR="00643432" w:rsidRPr="00643432" w:rsidRDefault="00643432" w:rsidP="00643432">
      <w:pPr>
        <w:spacing w:line="360" w:lineRule="auto"/>
        <w:ind w:left="-360"/>
        <w:jc w:val="both"/>
        <w:rPr>
          <w:rFonts w:ascii="Times New Roman" w:hAnsi="Times New Roman" w:cs="Times New Roman"/>
          <w:b/>
          <w:bCs/>
          <w:sz w:val="24"/>
          <w:szCs w:val="24"/>
        </w:rPr>
      </w:pPr>
      <w:r w:rsidRPr="00643432">
        <w:rPr>
          <w:rFonts w:ascii="Times New Roman" w:hAnsi="Times New Roman" w:cs="Times New Roman"/>
          <w:b/>
          <w:bCs/>
          <w:sz w:val="24"/>
          <w:szCs w:val="24"/>
        </w:rPr>
        <w:t>2.4 Emerging Themes in the Literature</w:t>
      </w:r>
    </w:p>
    <w:p w14:paraId="3CEAB920" w14:textId="77777777" w:rsidR="00643432" w:rsidRPr="00643432" w:rsidRDefault="00643432" w:rsidP="00643432">
      <w:pPr>
        <w:spacing w:line="360" w:lineRule="auto"/>
        <w:ind w:left="-360"/>
        <w:jc w:val="both"/>
        <w:rPr>
          <w:rFonts w:ascii="Times New Roman" w:hAnsi="Times New Roman" w:cs="Times New Roman"/>
          <w:sz w:val="24"/>
          <w:szCs w:val="24"/>
        </w:rPr>
      </w:pPr>
      <w:r w:rsidRPr="00643432">
        <w:rPr>
          <w:rFonts w:ascii="Times New Roman" w:hAnsi="Times New Roman" w:cs="Times New Roman"/>
          <w:sz w:val="24"/>
          <w:szCs w:val="24"/>
        </w:rPr>
        <w:t>Several emerging themes in recent DRM literature related to China and Japan include:</w:t>
      </w:r>
    </w:p>
    <w:p w14:paraId="13CCCF27" w14:textId="77777777" w:rsidR="00643432" w:rsidRPr="00643432" w:rsidRDefault="00643432" w:rsidP="00643432">
      <w:pPr>
        <w:numPr>
          <w:ilvl w:val="0"/>
          <w:numId w:val="18"/>
        </w:numPr>
        <w:spacing w:line="360" w:lineRule="auto"/>
        <w:jc w:val="both"/>
        <w:rPr>
          <w:rFonts w:ascii="Times New Roman" w:hAnsi="Times New Roman" w:cs="Times New Roman"/>
          <w:sz w:val="24"/>
          <w:szCs w:val="24"/>
        </w:rPr>
      </w:pPr>
      <w:r w:rsidRPr="00643432">
        <w:rPr>
          <w:rFonts w:ascii="Times New Roman" w:hAnsi="Times New Roman" w:cs="Times New Roman"/>
          <w:b/>
          <w:bCs/>
          <w:sz w:val="24"/>
          <w:szCs w:val="24"/>
        </w:rPr>
        <w:t>Climate change adaptation</w:t>
      </w:r>
      <w:r w:rsidRPr="00643432">
        <w:rPr>
          <w:rFonts w:ascii="Times New Roman" w:hAnsi="Times New Roman" w:cs="Times New Roman"/>
          <w:sz w:val="24"/>
          <w:szCs w:val="24"/>
        </w:rPr>
        <w:t>: Studies are increasingly addressing how DRM strategies must evolve to handle more frequent and intense climate-related hazards (Zhou et al., 2020; IPCC Reports).</w:t>
      </w:r>
    </w:p>
    <w:p w14:paraId="3333CC6E" w14:textId="77777777" w:rsidR="00643432" w:rsidRPr="00643432" w:rsidRDefault="00643432" w:rsidP="00643432">
      <w:pPr>
        <w:numPr>
          <w:ilvl w:val="0"/>
          <w:numId w:val="18"/>
        </w:numPr>
        <w:spacing w:line="360" w:lineRule="auto"/>
        <w:jc w:val="both"/>
        <w:rPr>
          <w:rFonts w:ascii="Times New Roman" w:hAnsi="Times New Roman" w:cs="Times New Roman"/>
          <w:sz w:val="24"/>
          <w:szCs w:val="24"/>
        </w:rPr>
      </w:pPr>
      <w:r w:rsidRPr="00643432">
        <w:rPr>
          <w:rFonts w:ascii="Times New Roman" w:hAnsi="Times New Roman" w:cs="Times New Roman"/>
          <w:b/>
          <w:bCs/>
          <w:sz w:val="24"/>
          <w:szCs w:val="24"/>
        </w:rPr>
        <w:t>Urban resilience</w:t>
      </w:r>
      <w:r w:rsidRPr="00643432">
        <w:rPr>
          <w:rFonts w:ascii="Times New Roman" w:hAnsi="Times New Roman" w:cs="Times New Roman"/>
          <w:sz w:val="24"/>
          <w:szCs w:val="24"/>
        </w:rPr>
        <w:t>: Research highlights the integration of DRM into smart city planning, especially in megacities like Tokyo, Beijing, and Shanghai (Li &amp; Yu, 2021).</w:t>
      </w:r>
    </w:p>
    <w:p w14:paraId="4DB36CA8" w14:textId="77777777" w:rsidR="001F45B4" w:rsidRDefault="001F45B4" w:rsidP="00393403">
      <w:pPr>
        <w:spacing w:line="360" w:lineRule="auto"/>
        <w:ind w:left="-360"/>
        <w:jc w:val="both"/>
        <w:rPr>
          <w:rFonts w:ascii="Times New Roman" w:hAnsi="Times New Roman" w:cs="Times New Roman"/>
          <w:sz w:val="24"/>
          <w:szCs w:val="24"/>
        </w:rPr>
      </w:pPr>
    </w:p>
    <w:p w14:paraId="6DFD7F3E" w14:textId="77777777" w:rsidR="00643432" w:rsidRDefault="00643432" w:rsidP="00393403">
      <w:pPr>
        <w:spacing w:line="360" w:lineRule="auto"/>
        <w:ind w:left="-360"/>
        <w:jc w:val="both"/>
        <w:rPr>
          <w:rFonts w:ascii="Times New Roman" w:hAnsi="Times New Roman" w:cs="Times New Roman"/>
          <w:sz w:val="24"/>
          <w:szCs w:val="24"/>
        </w:rPr>
      </w:pPr>
    </w:p>
    <w:p w14:paraId="3FFC563C" w14:textId="77777777" w:rsidR="00643432" w:rsidRPr="0078607C" w:rsidRDefault="00643432" w:rsidP="00643432">
      <w:pPr>
        <w:spacing w:line="360" w:lineRule="auto"/>
        <w:jc w:val="center"/>
        <w:rPr>
          <w:rFonts w:ascii="Times New Roman" w:hAnsi="Times New Roman" w:cs="Times New Roman"/>
          <w:b/>
          <w:bCs/>
          <w:sz w:val="24"/>
          <w:szCs w:val="24"/>
          <w:lang w:val="en-US"/>
        </w:rPr>
      </w:pPr>
      <w:bookmarkStart w:id="18" w:name="_Hlk202090009"/>
      <w:r w:rsidRPr="0078607C">
        <w:rPr>
          <w:rFonts w:ascii="Times New Roman" w:hAnsi="Times New Roman" w:cs="Times New Roman"/>
          <w:b/>
          <w:bCs/>
          <w:sz w:val="24"/>
          <w:szCs w:val="24"/>
          <w:lang w:val="en-US"/>
        </w:rPr>
        <w:lastRenderedPageBreak/>
        <w:t>CHAPTER – III</w:t>
      </w:r>
    </w:p>
    <w:p w14:paraId="4E850867" w14:textId="77777777" w:rsidR="00643432" w:rsidRPr="0078607C" w:rsidRDefault="00643432" w:rsidP="00643432">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18"/>
    <w:p w14:paraId="0B4105D1" w14:textId="77777777" w:rsidR="00643432" w:rsidRPr="00643432" w:rsidRDefault="00643432" w:rsidP="00643432">
      <w:pPr>
        <w:spacing w:line="360" w:lineRule="auto"/>
        <w:ind w:left="-360"/>
        <w:jc w:val="both"/>
        <w:rPr>
          <w:rFonts w:ascii="Times New Roman" w:hAnsi="Times New Roman" w:cs="Times New Roman"/>
          <w:sz w:val="24"/>
          <w:szCs w:val="24"/>
        </w:rPr>
      </w:pPr>
      <w:r w:rsidRPr="00643432">
        <w:rPr>
          <w:rFonts w:ascii="Times New Roman" w:hAnsi="Times New Roman" w:cs="Times New Roman"/>
          <w:b/>
          <w:bCs/>
          <w:sz w:val="24"/>
          <w:szCs w:val="24"/>
        </w:rPr>
        <w:t>Disaster Risk Management in China and Japan</w:t>
      </w:r>
    </w:p>
    <w:p w14:paraId="5888E9F5" w14:textId="77777777" w:rsidR="00643432" w:rsidRPr="00643432" w:rsidRDefault="00643432" w:rsidP="00643432">
      <w:pPr>
        <w:spacing w:line="360" w:lineRule="auto"/>
        <w:ind w:left="-360"/>
        <w:jc w:val="both"/>
        <w:rPr>
          <w:rFonts w:ascii="Times New Roman" w:hAnsi="Times New Roman" w:cs="Times New Roman"/>
          <w:sz w:val="24"/>
          <w:szCs w:val="24"/>
        </w:rPr>
      </w:pPr>
      <w:r w:rsidRPr="00643432">
        <w:rPr>
          <w:rFonts w:ascii="Times New Roman" w:hAnsi="Times New Roman" w:cs="Times New Roman"/>
          <w:sz w:val="24"/>
          <w:szCs w:val="24"/>
        </w:rPr>
        <w:t>This chapter outlines the research design, methods, and procedures used to investigate disaster risk management (DRM) practices in China and Japan. It details the approach adopted for data collection, analysis, and interpretation to achieve the objectives of the study. The methodology is structured to ensure a comprehensive and systematic examination of the similarities and differences in DRM systems in the two countries.</w:t>
      </w:r>
    </w:p>
    <w:p w14:paraId="17843D57" w14:textId="77777777" w:rsidR="00643432" w:rsidRPr="00643432" w:rsidRDefault="00643432" w:rsidP="00643432">
      <w:pPr>
        <w:spacing w:line="360" w:lineRule="auto"/>
        <w:ind w:left="-360"/>
        <w:jc w:val="both"/>
        <w:rPr>
          <w:rFonts w:ascii="Times New Roman" w:hAnsi="Times New Roman" w:cs="Times New Roman"/>
          <w:b/>
          <w:bCs/>
          <w:sz w:val="24"/>
          <w:szCs w:val="24"/>
        </w:rPr>
      </w:pPr>
      <w:r w:rsidRPr="00643432">
        <w:rPr>
          <w:rFonts w:ascii="Times New Roman" w:hAnsi="Times New Roman" w:cs="Times New Roman"/>
          <w:b/>
          <w:bCs/>
          <w:sz w:val="24"/>
          <w:szCs w:val="24"/>
        </w:rPr>
        <w:t>3.1 Research Design</w:t>
      </w:r>
    </w:p>
    <w:p w14:paraId="4731E435" w14:textId="77777777" w:rsidR="00643432" w:rsidRPr="00643432" w:rsidRDefault="00643432" w:rsidP="00643432">
      <w:pPr>
        <w:spacing w:line="360" w:lineRule="auto"/>
        <w:ind w:left="-360"/>
        <w:jc w:val="both"/>
        <w:rPr>
          <w:rFonts w:ascii="Times New Roman" w:hAnsi="Times New Roman" w:cs="Times New Roman"/>
          <w:sz w:val="24"/>
          <w:szCs w:val="24"/>
        </w:rPr>
      </w:pPr>
      <w:r w:rsidRPr="00643432">
        <w:rPr>
          <w:rFonts w:ascii="Times New Roman" w:hAnsi="Times New Roman" w:cs="Times New Roman"/>
          <w:sz w:val="24"/>
          <w:szCs w:val="24"/>
        </w:rPr>
        <w:t xml:space="preserve">The study employs a </w:t>
      </w:r>
      <w:r w:rsidRPr="00643432">
        <w:rPr>
          <w:rFonts w:ascii="Times New Roman" w:hAnsi="Times New Roman" w:cs="Times New Roman"/>
          <w:b/>
          <w:bCs/>
          <w:sz w:val="24"/>
          <w:szCs w:val="24"/>
        </w:rPr>
        <w:t>qualitative comparative research design</w:t>
      </w:r>
      <w:r w:rsidRPr="00643432">
        <w:rPr>
          <w:rFonts w:ascii="Times New Roman" w:hAnsi="Times New Roman" w:cs="Times New Roman"/>
          <w:sz w:val="24"/>
          <w:szCs w:val="24"/>
        </w:rPr>
        <w:t xml:space="preserve">, focusing on </w:t>
      </w:r>
      <w:proofErr w:type="spellStart"/>
      <w:r w:rsidRPr="00643432">
        <w:rPr>
          <w:rFonts w:ascii="Times New Roman" w:hAnsi="Times New Roman" w:cs="Times New Roman"/>
          <w:sz w:val="24"/>
          <w:szCs w:val="24"/>
        </w:rPr>
        <w:t>analyzing</w:t>
      </w:r>
      <w:proofErr w:type="spellEnd"/>
      <w:r w:rsidRPr="00643432">
        <w:rPr>
          <w:rFonts w:ascii="Times New Roman" w:hAnsi="Times New Roman" w:cs="Times New Roman"/>
          <w:sz w:val="24"/>
          <w:szCs w:val="24"/>
        </w:rPr>
        <w:t xml:space="preserve"> existing policies, frameworks, and practices related to disaster risk management in China and Japan. This approach allows for an in-depth understanding of institutional arrangements, technological applications, and socio-cultural factors influencing DRM. The comparative nature facilitates identification of best practices, challenges, and lessons learned.</w:t>
      </w:r>
    </w:p>
    <w:p w14:paraId="600CA888" w14:textId="77777777" w:rsidR="00643432" w:rsidRPr="00643432" w:rsidRDefault="00643432" w:rsidP="00643432">
      <w:pPr>
        <w:spacing w:line="360" w:lineRule="auto"/>
        <w:ind w:left="-360"/>
        <w:jc w:val="both"/>
        <w:rPr>
          <w:rFonts w:ascii="Times New Roman" w:hAnsi="Times New Roman" w:cs="Times New Roman"/>
          <w:b/>
          <w:bCs/>
          <w:sz w:val="24"/>
          <w:szCs w:val="24"/>
        </w:rPr>
      </w:pPr>
      <w:r w:rsidRPr="00643432">
        <w:rPr>
          <w:rFonts w:ascii="Times New Roman" w:hAnsi="Times New Roman" w:cs="Times New Roman"/>
          <w:b/>
          <w:bCs/>
          <w:sz w:val="24"/>
          <w:szCs w:val="24"/>
        </w:rPr>
        <w:t>3.2 Data Collection Methods</w:t>
      </w:r>
    </w:p>
    <w:p w14:paraId="60AA5D18" w14:textId="77777777" w:rsidR="00643432" w:rsidRPr="00643432" w:rsidRDefault="00643432" w:rsidP="00643432">
      <w:pPr>
        <w:spacing w:line="360" w:lineRule="auto"/>
        <w:ind w:left="-360"/>
        <w:jc w:val="both"/>
        <w:rPr>
          <w:rFonts w:ascii="Times New Roman" w:hAnsi="Times New Roman" w:cs="Times New Roman"/>
          <w:sz w:val="24"/>
          <w:szCs w:val="24"/>
        </w:rPr>
      </w:pPr>
      <w:r w:rsidRPr="00643432">
        <w:rPr>
          <w:rFonts w:ascii="Times New Roman" w:hAnsi="Times New Roman" w:cs="Times New Roman"/>
          <w:sz w:val="24"/>
          <w:szCs w:val="24"/>
        </w:rPr>
        <w:t xml:space="preserve">The research relies primarily on </w:t>
      </w:r>
      <w:r w:rsidRPr="00643432">
        <w:rPr>
          <w:rFonts w:ascii="Times New Roman" w:hAnsi="Times New Roman" w:cs="Times New Roman"/>
          <w:b/>
          <w:bCs/>
          <w:sz w:val="24"/>
          <w:szCs w:val="24"/>
        </w:rPr>
        <w:t>secondary data sources</w:t>
      </w:r>
      <w:r w:rsidRPr="00643432">
        <w:rPr>
          <w:rFonts w:ascii="Times New Roman" w:hAnsi="Times New Roman" w:cs="Times New Roman"/>
          <w:sz w:val="24"/>
          <w:szCs w:val="24"/>
        </w:rPr>
        <w:t>, including:</w:t>
      </w:r>
    </w:p>
    <w:p w14:paraId="02C24CF2" w14:textId="77777777" w:rsidR="00643432" w:rsidRPr="00643432" w:rsidRDefault="00643432" w:rsidP="00643432">
      <w:pPr>
        <w:numPr>
          <w:ilvl w:val="0"/>
          <w:numId w:val="19"/>
        </w:numPr>
        <w:spacing w:line="360" w:lineRule="auto"/>
        <w:jc w:val="both"/>
        <w:rPr>
          <w:rFonts w:ascii="Times New Roman" w:hAnsi="Times New Roman" w:cs="Times New Roman"/>
          <w:sz w:val="24"/>
          <w:szCs w:val="24"/>
        </w:rPr>
      </w:pPr>
      <w:r w:rsidRPr="00643432">
        <w:rPr>
          <w:rFonts w:ascii="Times New Roman" w:hAnsi="Times New Roman" w:cs="Times New Roman"/>
          <w:b/>
          <w:bCs/>
          <w:sz w:val="24"/>
          <w:szCs w:val="24"/>
        </w:rPr>
        <w:t>Academic literature</w:t>
      </w:r>
      <w:r w:rsidRPr="00643432">
        <w:rPr>
          <w:rFonts w:ascii="Times New Roman" w:hAnsi="Times New Roman" w:cs="Times New Roman"/>
          <w:sz w:val="24"/>
          <w:szCs w:val="24"/>
        </w:rPr>
        <w:t>: Peer-reviewed journal articles, books, conference papers, and dissertations focusing on DRM in both countries.</w:t>
      </w:r>
    </w:p>
    <w:p w14:paraId="730E909D" w14:textId="77777777" w:rsidR="00643432" w:rsidRPr="00643432" w:rsidRDefault="00643432" w:rsidP="00643432">
      <w:pPr>
        <w:numPr>
          <w:ilvl w:val="0"/>
          <w:numId w:val="19"/>
        </w:numPr>
        <w:spacing w:line="360" w:lineRule="auto"/>
        <w:jc w:val="both"/>
        <w:rPr>
          <w:rFonts w:ascii="Times New Roman" w:hAnsi="Times New Roman" w:cs="Times New Roman"/>
          <w:sz w:val="24"/>
          <w:szCs w:val="24"/>
        </w:rPr>
      </w:pPr>
      <w:r w:rsidRPr="00643432">
        <w:rPr>
          <w:rFonts w:ascii="Times New Roman" w:hAnsi="Times New Roman" w:cs="Times New Roman"/>
          <w:b/>
          <w:bCs/>
          <w:sz w:val="24"/>
          <w:szCs w:val="24"/>
        </w:rPr>
        <w:t>Government publications</w:t>
      </w:r>
      <w:r w:rsidRPr="00643432">
        <w:rPr>
          <w:rFonts w:ascii="Times New Roman" w:hAnsi="Times New Roman" w:cs="Times New Roman"/>
          <w:sz w:val="24"/>
          <w:szCs w:val="24"/>
        </w:rPr>
        <w:t>: Official reports, policy documents, legal frameworks, disaster management plans, and statistical data released by relevant ministries and agencies such as Japan’s Cabinet Office, Fire and Disaster Management Agency (FDMA), and China’s Ministry of Emergency Management (MEM).</w:t>
      </w:r>
    </w:p>
    <w:p w14:paraId="10CED9CA" w14:textId="77777777" w:rsidR="00643432" w:rsidRPr="00643432" w:rsidRDefault="00643432" w:rsidP="00643432">
      <w:pPr>
        <w:numPr>
          <w:ilvl w:val="0"/>
          <w:numId w:val="19"/>
        </w:numPr>
        <w:spacing w:line="360" w:lineRule="auto"/>
        <w:jc w:val="both"/>
        <w:rPr>
          <w:rFonts w:ascii="Times New Roman" w:hAnsi="Times New Roman" w:cs="Times New Roman"/>
          <w:sz w:val="24"/>
          <w:szCs w:val="24"/>
        </w:rPr>
      </w:pPr>
      <w:r w:rsidRPr="00643432">
        <w:rPr>
          <w:rFonts w:ascii="Times New Roman" w:hAnsi="Times New Roman" w:cs="Times New Roman"/>
          <w:b/>
          <w:bCs/>
          <w:sz w:val="24"/>
          <w:szCs w:val="24"/>
        </w:rPr>
        <w:t>International organizations</w:t>
      </w:r>
      <w:r w:rsidRPr="00643432">
        <w:rPr>
          <w:rFonts w:ascii="Times New Roman" w:hAnsi="Times New Roman" w:cs="Times New Roman"/>
          <w:sz w:val="24"/>
          <w:szCs w:val="24"/>
        </w:rPr>
        <w:t xml:space="preserve">: Reports and databases from the United Nations Office for Disaster Risk Reduction (UNDRR), Asian Disaster Preparedness </w:t>
      </w:r>
      <w:proofErr w:type="spellStart"/>
      <w:r w:rsidRPr="00643432">
        <w:rPr>
          <w:rFonts w:ascii="Times New Roman" w:hAnsi="Times New Roman" w:cs="Times New Roman"/>
          <w:sz w:val="24"/>
          <w:szCs w:val="24"/>
        </w:rPr>
        <w:t>Center</w:t>
      </w:r>
      <w:proofErr w:type="spellEnd"/>
      <w:r w:rsidRPr="00643432">
        <w:rPr>
          <w:rFonts w:ascii="Times New Roman" w:hAnsi="Times New Roman" w:cs="Times New Roman"/>
          <w:sz w:val="24"/>
          <w:szCs w:val="24"/>
        </w:rPr>
        <w:t xml:space="preserve"> (ADPC), World Bank, and other global entities.</w:t>
      </w:r>
    </w:p>
    <w:p w14:paraId="6A85E370" w14:textId="77777777" w:rsidR="00643432" w:rsidRPr="00643432" w:rsidRDefault="00643432" w:rsidP="00643432">
      <w:pPr>
        <w:numPr>
          <w:ilvl w:val="0"/>
          <w:numId w:val="19"/>
        </w:numPr>
        <w:spacing w:line="360" w:lineRule="auto"/>
        <w:jc w:val="both"/>
        <w:rPr>
          <w:rFonts w:ascii="Times New Roman" w:hAnsi="Times New Roman" w:cs="Times New Roman"/>
          <w:sz w:val="24"/>
          <w:szCs w:val="24"/>
        </w:rPr>
      </w:pPr>
      <w:r w:rsidRPr="00643432">
        <w:rPr>
          <w:rFonts w:ascii="Times New Roman" w:hAnsi="Times New Roman" w:cs="Times New Roman"/>
          <w:b/>
          <w:bCs/>
          <w:sz w:val="24"/>
          <w:szCs w:val="24"/>
        </w:rPr>
        <w:t>Media reports and case studies</w:t>
      </w:r>
      <w:r w:rsidRPr="00643432">
        <w:rPr>
          <w:rFonts w:ascii="Times New Roman" w:hAnsi="Times New Roman" w:cs="Times New Roman"/>
          <w:sz w:val="24"/>
          <w:szCs w:val="24"/>
        </w:rPr>
        <w:t>: Newspaper articles, expert commentaries, and documented disaster case studies to supplement factual data and provide real-world context.</w:t>
      </w:r>
    </w:p>
    <w:p w14:paraId="2D731D59" w14:textId="77777777" w:rsidR="00643432" w:rsidRPr="00643432" w:rsidRDefault="00643432" w:rsidP="00643432">
      <w:pPr>
        <w:numPr>
          <w:ilvl w:val="0"/>
          <w:numId w:val="19"/>
        </w:numPr>
        <w:spacing w:line="360" w:lineRule="auto"/>
        <w:jc w:val="both"/>
        <w:rPr>
          <w:rFonts w:ascii="Times New Roman" w:hAnsi="Times New Roman" w:cs="Times New Roman"/>
          <w:sz w:val="24"/>
          <w:szCs w:val="24"/>
        </w:rPr>
      </w:pPr>
      <w:r w:rsidRPr="00643432">
        <w:rPr>
          <w:rFonts w:ascii="Times New Roman" w:hAnsi="Times New Roman" w:cs="Times New Roman"/>
          <w:b/>
          <w:bCs/>
          <w:sz w:val="24"/>
          <w:szCs w:val="24"/>
        </w:rPr>
        <w:lastRenderedPageBreak/>
        <w:t>Technology and innovation reports</w:t>
      </w:r>
      <w:r w:rsidRPr="00643432">
        <w:rPr>
          <w:rFonts w:ascii="Times New Roman" w:hAnsi="Times New Roman" w:cs="Times New Roman"/>
          <w:sz w:val="24"/>
          <w:szCs w:val="24"/>
        </w:rPr>
        <w:t>: Documentation on early warning systems, GIS applications, AI integration, and smart city developments.</w:t>
      </w:r>
    </w:p>
    <w:p w14:paraId="3439BB1F" w14:textId="77777777" w:rsidR="00643432" w:rsidRPr="00643432" w:rsidRDefault="00643432" w:rsidP="00643432">
      <w:pPr>
        <w:spacing w:line="360" w:lineRule="auto"/>
        <w:ind w:left="-360"/>
        <w:jc w:val="both"/>
        <w:rPr>
          <w:rFonts w:ascii="Times New Roman" w:hAnsi="Times New Roman" w:cs="Times New Roman"/>
          <w:sz w:val="24"/>
          <w:szCs w:val="24"/>
        </w:rPr>
      </w:pPr>
      <w:r w:rsidRPr="00643432">
        <w:rPr>
          <w:rFonts w:ascii="Times New Roman" w:hAnsi="Times New Roman" w:cs="Times New Roman"/>
          <w:sz w:val="24"/>
          <w:szCs w:val="24"/>
        </w:rPr>
        <w:t>Where available, data in English or translated versions were prioritized to ensure clarity and accuracy.</w:t>
      </w:r>
    </w:p>
    <w:p w14:paraId="25CC5B4C" w14:textId="77777777" w:rsidR="00643432" w:rsidRPr="00643432" w:rsidRDefault="00643432" w:rsidP="00643432">
      <w:pPr>
        <w:spacing w:line="360" w:lineRule="auto"/>
        <w:ind w:left="-360"/>
        <w:jc w:val="both"/>
        <w:rPr>
          <w:rFonts w:ascii="Times New Roman" w:hAnsi="Times New Roman" w:cs="Times New Roman"/>
          <w:b/>
          <w:bCs/>
          <w:sz w:val="24"/>
          <w:szCs w:val="24"/>
        </w:rPr>
      </w:pPr>
      <w:r w:rsidRPr="00643432">
        <w:rPr>
          <w:rFonts w:ascii="Times New Roman" w:hAnsi="Times New Roman" w:cs="Times New Roman"/>
          <w:b/>
          <w:bCs/>
          <w:sz w:val="24"/>
          <w:szCs w:val="24"/>
        </w:rPr>
        <w:t>3.3 Data Analysis</w:t>
      </w:r>
    </w:p>
    <w:p w14:paraId="2BD72D94" w14:textId="77777777" w:rsidR="00643432" w:rsidRPr="00643432" w:rsidRDefault="00643432" w:rsidP="00643432">
      <w:pPr>
        <w:spacing w:line="360" w:lineRule="auto"/>
        <w:ind w:left="-360"/>
        <w:jc w:val="both"/>
        <w:rPr>
          <w:rFonts w:ascii="Times New Roman" w:hAnsi="Times New Roman" w:cs="Times New Roman"/>
          <w:sz w:val="24"/>
          <w:szCs w:val="24"/>
        </w:rPr>
      </w:pPr>
      <w:r w:rsidRPr="00643432">
        <w:rPr>
          <w:rFonts w:ascii="Times New Roman" w:hAnsi="Times New Roman" w:cs="Times New Roman"/>
          <w:sz w:val="24"/>
          <w:szCs w:val="24"/>
        </w:rPr>
        <w:t xml:space="preserve">Data collected from various sources were systematically reviewed, categorized, and </w:t>
      </w:r>
      <w:proofErr w:type="spellStart"/>
      <w:r w:rsidRPr="00643432">
        <w:rPr>
          <w:rFonts w:ascii="Times New Roman" w:hAnsi="Times New Roman" w:cs="Times New Roman"/>
          <w:sz w:val="24"/>
          <w:szCs w:val="24"/>
        </w:rPr>
        <w:t>analyzed</w:t>
      </w:r>
      <w:proofErr w:type="spellEnd"/>
      <w:r w:rsidRPr="00643432">
        <w:rPr>
          <w:rFonts w:ascii="Times New Roman" w:hAnsi="Times New Roman" w:cs="Times New Roman"/>
          <w:sz w:val="24"/>
          <w:szCs w:val="24"/>
        </w:rPr>
        <w:t xml:space="preserve"> using </w:t>
      </w:r>
      <w:r w:rsidRPr="00643432">
        <w:rPr>
          <w:rFonts w:ascii="Times New Roman" w:hAnsi="Times New Roman" w:cs="Times New Roman"/>
          <w:b/>
          <w:bCs/>
          <w:sz w:val="24"/>
          <w:szCs w:val="24"/>
        </w:rPr>
        <w:t>thematic content analysis</w:t>
      </w:r>
      <w:r w:rsidRPr="00643432">
        <w:rPr>
          <w:rFonts w:ascii="Times New Roman" w:hAnsi="Times New Roman" w:cs="Times New Roman"/>
          <w:sz w:val="24"/>
          <w:szCs w:val="24"/>
        </w:rPr>
        <w:t>. Key themes included institutional frameworks, technology use, community participation, policy evolution, and disaster preparedness strategies. The comparative analysis was conducted by identifying convergences and divergences between China and Japan across these thematic areas.</w:t>
      </w:r>
    </w:p>
    <w:p w14:paraId="78FC5EBA" w14:textId="77777777" w:rsidR="00643432" w:rsidRPr="00643432" w:rsidRDefault="00643432" w:rsidP="00643432">
      <w:pPr>
        <w:spacing w:line="360" w:lineRule="auto"/>
        <w:ind w:left="-360"/>
        <w:jc w:val="both"/>
        <w:rPr>
          <w:rFonts w:ascii="Times New Roman" w:hAnsi="Times New Roman" w:cs="Times New Roman"/>
          <w:sz w:val="24"/>
          <w:szCs w:val="24"/>
        </w:rPr>
      </w:pPr>
      <w:r w:rsidRPr="00643432">
        <w:rPr>
          <w:rFonts w:ascii="Times New Roman" w:hAnsi="Times New Roman" w:cs="Times New Roman"/>
          <w:sz w:val="24"/>
          <w:szCs w:val="24"/>
        </w:rPr>
        <w:t xml:space="preserve">The analysis also involved </w:t>
      </w:r>
      <w:r w:rsidRPr="00643432">
        <w:rPr>
          <w:rFonts w:ascii="Times New Roman" w:hAnsi="Times New Roman" w:cs="Times New Roman"/>
          <w:b/>
          <w:bCs/>
          <w:sz w:val="24"/>
          <w:szCs w:val="24"/>
        </w:rPr>
        <w:t>chronological tracking</w:t>
      </w:r>
      <w:r w:rsidRPr="00643432">
        <w:rPr>
          <w:rFonts w:ascii="Times New Roman" w:hAnsi="Times New Roman" w:cs="Times New Roman"/>
          <w:sz w:val="24"/>
          <w:szCs w:val="24"/>
        </w:rPr>
        <w:t xml:space="preserve"> of significant disaster events and their impact on policy reforms. This approach helped in understanding the adaptive capacity and resilience-building measures taken over time in both countries.</w:t>
      </w:r>
    </w:p>
    <w:p w14:paraId="04CB0F38" w14:textId="77777777" w:rsidR="00643432" w:rsidRPr="00643432" w:rsidRDefault="00643432" w:rsidP="00643432">
      <w:pPr>
        <w:spacing w:line="360" w:lineRule="auto"/>
        <w:ind w:left="-360"/>
        <w:jc w:val="both"/>
        <w:rPr>
          <w:rFonts w:ascii="Times New Roman" w:hAnsi="Times New Roman" w:cs="Times New Roman"/>
          <w:b/>
          <w:bCs/>
          <w:sz w:val="24"/>
          <w:szCs w:val="24"/>
        </w:rPr>
      </w:pPr>
      <w:r w:rsidRPr="00643432">
        <w:rPr>
          <w:rFonts w:ascii="Times New Roman" w:hAnsi="Times New Roman" w:cs="Times New Roman"/>
          <w:b/>
          <w:bCs/>
          <w:sz w:val="24"/>
          <w:szCs w:val="24"/>
        </w:rPr>
        <w:t>3.4 Scope and Limitations of Methodology</w:t>
      </w:r>
    </w:p>
    <w:p w14:paraId="7D137E61" w14:textId="77777777" w:rsidR="00643432" w:rsidRPr="00643432" w:rsidRDefault="00643432" w:rsidP="00643432">
      <w:pPr>
        <w:spacing w:line="360" w:lineRule="auto"/>
        <w:ind w:left="-360"/>
        <w:jc w:val="both"/>
        <w:rPr>
          <w:rFonts w:ascii="Times New Roman" w:hAnsi="Times New Roman" w:cs="Times New Roman"/>
          <w:sz w:val="24"/>
          <w:szCs w:val="24"/>
        </w:rPr>
      </w:pPr>
      <w:r w:rsidRPr="00643432">
        <w:rPr>
          <w:rFonts w:ascii="Times New Roman" w:hAnsi="Times New Roman" w:cs="Times New Roman"/>
          <w:sz w:val="24"/>
          <w:szCs w:val="24"/>
        </w:rPr>
        <w:t>The research methodology focuses on qualitative analysis, which provides depth but limits generalizability. The reliance on secondary data means the study depends on the accuracy and availability of existing information. Lack of primary data collection, such as interviews or field surveys, limits direct insights from practitioners or affected communities.</w:t>
      </w:r>
    </w:p>
    <w:p w14:paraId="6FE4416D" w14:textId="77777777" w:rsidR="00643432" w:rsidRPr="00643432" w:rsidRDefault="00643432" w:rsidP="00643432">
      <w:pPr>
        <w:spacing w:line="360" w:lineRule="auto"/>
        <w:ind w:left="-360"/>
        <w:jc w:val="both"/>
        <w:rPr>
          <w:rFonts w:ascii="Times New Roman" w:hAnsi="Times New Roman" w:cs="Times New Roman"/>
          <w:sz w:val="24"/>
          <w:szCs w:val="24"/>
        </w:rPr>
      </w:pPr>
      <w:r w:rsidRPr="00643432">
        <w:rPr>
          <w:rFonts w:ascii="Times New Roman" w:hAnsi="Times New Roman" w:cs="Times New Roman"/>
          <w:sz w:val="24"/>
          <w:szCs w:val="24"/>
        </w:rPr>
        <w:t>The comparative approach highlights broad national-level strategies but may overlook local variations and community-specific practices. Language barriers also posed challenges, as some detailed documents and reports were only available in Japanese or Chinese.</w:t>
      </w:r>
    </w:p>
    <w:p w14:paraId="22AEEBE9" w14:textId="77777777" w:rsidR="00643432" w:rsidRPr="00643432" w:rsidRDefault="00643432" w:rsidP="00643432">
      <w:pPr>
        <w:spacing w:line="360" w:lineRule="auto"/>
        <w:ind w:left="-360"/>
        <w:jc w:val="both"/>
        <w:rPr>
          <w:rFonts w:ascii="Times New Roman" w:hAnsi="Times New Roman" w:cs="Times New Roman"/>
          <w:b/>
          <w:bCs/>
          <w:sz w:val="24"/>
          <w:szCs w:val="24"/>
        </w:rPr>
      </w:pPr>
      <w:r w:rsidRPr="00643432">
        <w:rPr>
          <w:rFonts w:ascii="Times New Roman" w:hAnsi="Times New Roman" w:cs="Times New Roman"/>
          <w:b/>
          <w:bCs/>
          <w:sz w:val="24"/>
          <w:szCs w:val="24"/>
        </w:rPr>
        <w:t>3.5 Ethical Considerations</w:t>
      </w:r>
    </w:p>
    <w:p w14:paraId="2B9D001E" w14:textId="77777777" w:rsidR="00643432" w:rsidRPr="00643432" w:rsidRDefault="00643432" w:rsidP="00643432">
      <w:pPr>
        <w:spacing w:line="360" w:lineRule="auto"/>
        <w:ind w:left="-360"/>
        <w:jc w:val="both"/>
        <w:rPr>
          <w:rFonts w:ascii="Times New Roman" w:hAnsi="Times New Roman" w:cs="Times New Roman"/>
          <w:sz w:val="24"/>
          <w:szCs w:val="24"/>
        </w:rPr>
      </w:pPr>
      <w:r w:rsidRPr="00643432">
        <w:rPr>
          <w:rFonts w:ascii="Times New Roman" w:hAnsi="Times New Roman" w:cs="Times New Roman"/>
          <w:sz w:val="24"/>
          <w:szCs w:val="24"/>
        </w:rPr>
        <w:t>As the study is based on publicly available secondary data, there were minimal ethical concerns regarding confidentiality or consent. Proper citations and acknowledgments were maintained to respect intellectual property rights and academic integrity.</w:t>
      </w:r>
    </w:p>
    <w:p w14:paraId="027CDEAE" w14:textId="77777777" w:rsidR="00643432" w:rsidRDefault="00643432" w:rsidP="00393403">
      <w:pPr>
        <w:spacing w:line="360" w:lineRule="auto"/>
        <w:ind w:left="-360"/>
        <w:jc w:val="both"/>
        <w:rPr>
          <w:rFonts w:ascii="Times New Roman" w:hAnsi="Times New Roman" w:cs="Times New Roman"/>
          <w:sz w:val="24"/>
          <w:szCs w:val="24"/>
        </w:rPr>
      </w:pPr>
    </w:p>
    <w:p w14:paraId="769DD532" w14:textId="77777777" w:rsidR="00643432" w:rsidRDefault="00643432" w:rsidP="00393403">
      <w:pPr>
        <w:spacing w:line="360" w:lineRule="auto"/>
        <w:ind w:left="-360"/>
        <w:jc w:val="both"/>
        <w:rPr>
          <w:rFonts w:ascii="Times New Roman" w:hAnsi="Times New Roman" w:cs="Times New Roman"/>
          <w:sz w:val="24"/>
          <w:szCs w:val="24"/>
        </w:rPr>
      </w:pPr>
    </w:p>
    <w:p w14:paraId="0F87C9A9" w14:textId="77777777" w:rsidR="00643432" w:rsidRDefault="00643432" w:rsidP="00393403">
      <w:pPr>
        <w:spacing w:line="360" w:lineRule="auto"/>
        <w:ind w:left="-360"/>
        <w:jc w:val="both"/>
        <w:rPr>
          <w:rFonts w:ascii="Times New Roman" w:hAnsi="Times New Roman" w:cs="Times New Roman"/>
          <w:sz w:val="24"/>
          <w:szCs w:val="24"/>
        </w:rPr>
      </w:pPr>
    </w:p>
    <w:p w14:paraId="0503DA44" w14:textId="77777777" w:rsidR="00643432" w:rsidRDefault="00643432" w:rsidP="00393403">
      <w:pPr>
        <w:spacing w:line="360" w:lineRule="auto"/>
        <w:ind w:left="-360"/>
        <w:jc w:val="both"/>
        <w:rPr>
          <w:rFonts w:ascii="Times New Roman" w:hAnsi="Times New Roman" w:cs="Times New Roman"/>
          <w:sz w:val="24"/>
          <w:szCs w:val="24"/>
        </w:rPr>
      </w:pPr>
    </w:p>
    <w:p w14:paraId="36226DDE" w14:textId="77777777" w:rsidR="00643432" w:rsidRPr="0078607C" w:rsidRDefault="00643432" w:rsidP="00643432">
      <w:pPr>
        <w:spacing w:line="360" w:lineRule="auto"/>
        <w:jc w:val="center"/>
        <w:rPr>
          <w:rFonts w:ascii="Times New Roman" w:hAnsi="Times New Roman" w:cs="Times New Roman"/>
          <w:sz w:val="24"/>
          <w:szCs w:val="24"/>
        </w:rPr>
      </w:pPr>
      <w:bookmarkStart w:id="19" w:name="_Hlk203212469"/>
      <w:r w:rsidRPr="0078607C">
        <w:rPr>
          <w:rFonts w:ascii="Times New Roman" w:hAnsi="Times New Roman" w:cs="Times New Roman"/>
          <w:b/>
          <w:sz w:val="24"/>
          <w:szCs w:val="24"/>
          <w:lang w:val="en-US"/>
        </w:rPr>
        <w:lastRenderedPageBreak/>
        <w:t>CHAPTER – IV</w:t>
      </w:r>
    </w:p>
    <w:p w14:paraId="61DD9F0F" w14:textId="77777777" w:rsidR="00643432" w:rsidRDefault="00643432" w:rsidP="00643432">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0E2BF23F" w14:textId="77777777" w:rsidR="00643432" w:rsidRPr="004D7E4B" w:rsidRDefault="00643432" w:rsidP="00643432">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643432" w:rsidRPr="004D7E4B" w14:paraId="0C1B6C3B" w14:textId="77777777">
        <w:trPr>
          <w:trHeight w:val="506"/>
        </w:trPr>
        <w:tc>
          <w:tcPr>
            <w:tcW w:w="3077" w:type="dxa"/>
            <w:tcBorders>
              <w:top w:val="single" w:sz="4" w:space="0" w:color="auto"/>
              <w:left w:val="single" w:sz="4" w:space="0" w:color="auto"/>
              <w:bottom w:val="single" w:sz="4" w:space="0" w:color="auto"/>
              <w:right w:val="single" w:sz="4" w:space="0" w:color="auto"/>
            </w:tcBorders>
            <w:hideMark/>
          </w:tcPr>
          <w:p w14:paraId="46F90EA9" w14:textId="77777777" w:rsidR="00643432" w:rsidRPr="004D7E4B" w:rsidRDefault="00643432">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5BB456F0" w14:textId="77777777" w:rsidR="00643432" w:rsidRPr="004D7E4B" w:rsidRDefault="00643432">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30782475" w14:textId="77777777" w:rsidR="00643432" w:rsidRPr="004D7E4B" w:rsidRDefault="00643432">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643432" w:rsidRPr="004D7E4B" w14:paraId="478BC1CD" w14:textId="77777777">
        <w:trPr>
          <w:trHeight w:val="506"/>
        </w:trPr>
        <w:tc>
          <w:tcPr>
            <w:tcW w:w="3077" w:type="dxa"/>
            <w:tcBorders>
              <w:top w:val="single" w:sz="4" w:space="0" w:color="auto"/>
              <w:left w:val="single" w:sz="4" w:space="0" w:color="auto"/>
              <w:bottom w:val="single" w:sz="4" w:space="0" w:color="auto"/>
              <w:right w:val="single" w:sz="4" w:space="0" w:color="auto"/>
            </w:tcBorders>
            <w:hideMark/>
          </w:tcPr>
          <w:p w14:paraId="1313D11A" w14:textId="68111120" w:rsidR="00643432" w:rsidRPr="004D7E4B" w:rsidRDefault="00643432">
            <w:pPr>
              <w:spacing w:line="360" w:lineRule="auto"/>
              <w:jc w:val="center"/>
              <w:rPr>
                <w:rFonts w:ascii="Times New Roman" w:hAnsi="Times New Roman" w:cs="Times New Roman"/>
                <w:b/>
                <w:sz w:val="24"/>
                <w:szCs w:val="24"/>
                <w:lang w:val="en-US"/>
              </w:rPr>
            </w:pPr>
            <w:r w:rsidRPr="00643432">
              <w:rPr>
                <w:rFonts w:ascii="Times New Roman" w:hAnsi="Times New Roman" w:cs="Times New Roman"/>
                <w:b/>
                <w:sz w:val="24"/>
                <w:szCs w:val="24"/>
              </w:rPr>
              <w:t>18-30</w:t>
            </w:r>
          </w:p>
        </w:tc>
        <w:tc>
          <w:tcPr>
            <w:tcW w:w="3185" w:type="dxa"/>
            <w:tcBorders>
              <w:top w:val="single" w:sz="4" w:space="0" w:color="auto"/>
              <w:left w:val="single" w:sz="4" w:space="0" w:color="auto"/>
              <w:bottom w:val="single" w:sz="4" w:space="0" w:color="auto"/>
              <w:right w:val="single" w:sz="4" w:space="0" w:color="auto"/>
            </w:tcBorders>
            <w:hideMark/>
          </w:tcPr>
          <w:p w14:paraId="7A4998BA" w14:textId="3820ED5B" w:rsidR="00643432" w:rsidRPr="004D7E4B" w:rsidRDefault="00643432">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p>
        </w:tc>
        <w:tc>
          <w:tcPr>
            <w:tcW w:w="3185" w:type="dxa"/>
            <w:tcBorders>
              <w:top w:val="single" w:sz="4" w:space="0" w:color="auto"/>
              <w:left w:val="single" w:sz="4" w:space="0" w:color="auto"/>
              <w:bottom w:val="single" w:sz="4" w:space="0" w:color="auto"/>
              <w:right w:val="single" w:sz="4" w:space="0" w:color="auto"/>
            </w:tcBorders>
            <w:hideMark/>
          </w:tcPr>
          <w:p w14:paraId="7474FFF1" w14:textId="77777777" w:rsidR="00643432" w:rsidRPr="004D7E4B" w:rsidRDefault="00643432">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r w:rsidRPr="004D7E4B">
              <w:rPr>
                <w:rFonts w:ascii="Times New Roman" w:hAnsi="Times New Roman" w:cs="Times New Roman"/>
                <w:b/>
                <w:sz w:val="24"/>
                <w:szCs w:val="24"/>
                <w:lang w:val="en-US"/>
              </w:rPr>
              <w:t>%</w:t>
            </w:r>
          </w:p>
        </w:tc>
      </w:tr>
      <w:tr w:rsidR="00643432" w:rsidRPr="004D7E4B" w14:paraId="34B26AA2" w14:textId="77777777">
        <w:trPr>
          <w:trHeight w:val="506"/>
        </w:trPr>
        <w:tc>
          <w:tcPr>
            <w:tcW w:w="3077" w:type="dxa"/>
            <w:tcBorders>
              <w:top w:val="single" w:sz="4" w:space="0" w:color="auto"/>
              <w:left w:val="single" w:sz="4" w:space="0" w:color="auto"/>
              <w:bottom w:val="single" w:sz="4" w:space="0" w:color="auto"/>
              <w:right w:val="single" w:sz="4" w:space="0" w:color="auto"/>
            </w:tcBorders>
            <w:hideMark/>
          </w:tcPr>
          <w:p w14:paraId="5796BC0C" w14:textId="583F9502" w:rsidR="00643432" w:rsidRPr="004D7E4B" w:rsidRDefault="00643432">
            <w:pPr>
              <w:spacing w:line="360" w:lineRule="auto"/>
              <w:jc w:val="center"/>
              <w:rPr>
                <w:rFonts w:ascii="Times New Roman" w:hAnsi="Times New Roman" w:cs="Times New Roman"/>
                <w:b/>
                <w:sz w:val="24"/>
                <w:szCs w:val="24"/>
                <w:lang w:val="en-US"/>
              </w:rPr>
            </w:pPr>
            <w:r w:rsidRPr="00643432">
              <w:rPr>
                <w:rFonts w:ascii="Times New Roman" w:hAnsi="Times New Roman" w:cs="Times New Roman"/>
                <w:b/>
                <w:sz w:val="24"/>
                <w:szCs w:val="24"/>
              </w:rPr>
              <w:t>31-45</w:t>
            </w:r>
          </w:p>
        </w:tc>
        <w:tc>
          <w:tcPr>
            <w:tcW w:w="3185" w:type="dxa"/>
            <w:tcBorders>
              <w:top w:val="single" w:sz="4" w:space="0" w:color="auto"/>
              <w:left w:val="single" w:sz="4" w:space="0" w:color="auto"/>
              <w:bottom w:val="single" w:sz="4" w:space="0" w:color="auto"/>
              <w:right w:val="single" w:sz="4" w:space="0" w:color="auto"/>
            </w:tcBorders>
            <w:hideMark/>
          </w:tcPr>
          <w:p w14:paraId="4CB90BC0" w14:textId="2C8C8C23" w:rsidR="00643432" w:rsidRPr="004D7E4B" w:rsidRDefault="00643432">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60</w:t>
            </w:r>
          </w:p>
        </w:tc>
        <w:tc>
          <w:tcPr>
            <w:tcW w:w="3185" w:type="dxa"/>
            <w:tcBorders>
              <w:top w:val="single" w:sz="4" w:space="0" w:color="auto"/>
              <w:left w:val="single" w:sz="4" w:space="0" w:color="auto"/>
              <w:bottom w:val="single" w:sz="4" w:space="0" w:color="auto"/>
              <w:right w:val="single" w:sz="4" w:space="0" w:color="auto"/>
            </w:tcBorders>
            <w:hideMark/>
          </w:tcPr>
          <w:p w14:paraId="72049419" w14:textId="5E2BF5EC" w:rsidR="00643432" w:rsidRPr="004D7E4B" w:rsidRDefault="00643432">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37.5</w:t>
            </w:r>
            <w:r w:rsidRPr="004D7E4B">
              <w:rPr>
                <w:rFonts w:ascii="Times New Roman" w:hAnsi="Times New Roman" w:cs="Times New Roman"/>
                <w:b/>
                <w:sz w:val="24"/>
                <w:szCs w:val="24"/>
                <w:lang w:val="en-US"/>
              </w:rPr>
              <w:t>%</w:t>
            </w:r>
          </w:p>
        </w:tc>
      </w:tr>
      <w:tr w:rsidR="00643432" w:rsidRPr="004D7E4B" w14:paraId="6067B44D" w14:textId="77777777">
        <w:trPr>
          <w:trHeight w:val="496"/>
        </w:trPr>
        <w:tc>
          <w:tcPr>
            <w:tcW w:w="3077" w:type="dxa"/>
            <w:tcBorders>
              <w:top w:val="single" w:sz="4" w:space="0" w:color="auto"/>
              <w:left w:val="single" w:sz="4" w:space="0" w:color="auto"/>
              <w:bottom w:val="single" w:sz="4" w:space="0" w:color="auto"/>
              <w:right w:val="single" w:sz="4" w:space="0" w:color="auto"/>
            </w:tcBorders>
            <w:hideMark/>
          </w:tcPr>
          <w:p w14:paraId="3BB1A3E4" w14:textId="59E77D7F" w:rsidR="00643432" w:rsidRPr="004D7E4B" w:rsidRDefault="00643432">
            <w:pPr>
              <w:spacing w:line="360" w:lineRule="auto"/>
              <w:jc w:val="center"/>
              <w:rPr>
                <w:rFonts w:ascii="Times New Roman" w:hAnsi="Times New Roman" w:cs="Times New Roman"/>
                <w:b/>
                <w:sz w:val="24"/>
                <w:szCs w:val="24"/>
                <w:lang w:val="en-US"/>
              </w:rPr>
            </w:pPr>
            <w:r w:rsidRPr="00643432">
              <w:rPr>
                <w:rFonts w:ascii="Times New Roman" w:hAnsi="Times New Roman" w:cs="Times New Roman"/>
                <w:b/>
                <w:sz w:val="24"/>
                <w:szCs w:val="24"/>
              </w:rPr>
              <w:t>46-60</w:t>
            </w:r>
          </w:p>
        </w:tc>
        <w:tc>
          <w:tcPr>
            <w:tcW w:w="3185" w:type="dxa"/>
            <w:tcBorders>
              <w:top w:val="single" w:sz="4" w:space="0" w:color="auto"/>
              <w:left w:val="single" w:sz="4" w:space="0" w:color="auto"/>
              <w:bottom w:val="single" w:sz="4" w:space="0" w:color="auto"/>
              <w:right w:val="single" w:sz="4" w:space="0" w:color="auto"/>
            </w:tcBorders>
            <w:hideMark/>
          </w:tcPr>
          <w:p w14:paraId="28E92FE8" w14:textId="6B8BE552" w:rsidR="00643432" w:rsidRPr="004D7E4B" w:rsidRDefault="00643432">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p>
        </w:tc>
        <w:tc>
          <w:tcPr>
            <w:tcW w:w="3185" w:type="dxa"/>
            <w:tcBorders>
              <w:top w:val="single" w:sz="4" w:space="0" w:color="auto"/>
              <w:left w:val="single" w:sz="4" w:space="0" w:color="auto"/>
              <w:bottom w:val="single" w:sz="4" w:space="0" w:color="auto"/>
              <w:right w:val="single" w:sz="4" w:space="0" w:color="auto"/>
            </w:tcBorders>
            <w:hideMark/>
          </w:tcPr>
          <w:p w14:paraId="14DF951A" w14:textId="52AB3748" w:rsidR="00643432" w:rsidRPr="004D7E4B" w:rsidRDefault="00643432">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r w:rsidRPr="004D7E4B">
              <w:rPr>
                <w:rFonts w:ascii="Times New Roman" w:hAnsi="Times New Roman" w:cs="Times New Roman"/>
                <w:b/>
                <w:sz w:val="24"/>
                <w:szCs w:val="24"/>
                <w:lang w:val="en-US"/>
              </w:rPr>
              <w:t>%</w:t>
            </w:r>
          </w:p>
        </w:tc>
      </w:tr>
      <w:tr w:rsidR="00643432" w14:paraId="7331F3B1" w14:textId="77777777">
        <w:trPr>
          <w:trHeight w:val="496"/>
        </w:trPr>
        <w:tc>
          <w:tcPr>
            <w:tcW w:w="3077" w:type="dxa"/>
            <w:tcBorders>
              <w:top w:val="single" w:sz="4" w:space="0" w:color="auto"/>
              <w:left w:val="single" w:sz="4" w:space="0" w:color="auto"/>
              <w:bottom w:val="single" w:sz="4" w:space="0" w:color="auto"/>
              <w:right w:val="single" w:sz="4" w:space="0" w:color="auto"/>
            </w:tcBorders>
          </w:tcPr>
          <w:p w14:paraId="057CCE1C" w14:textId="41C1A674" w:rsidR="00643432" w:rsidRPr="00EE3350" w:rsidRDefault="00643432">
            <w:pPr>
              <w:spacing w:line="360" w:lineRule="auto"/>
              <w:jc w:val="center"/>
              <w:rPr>
                <w:rFonts w:ascii="Times New Roman" w:hAnsi="Times New Roman" w:cs="Times New Roman"/>
                <w:b/>
                <w:sz w:val="24"/>
                <w:szCs w:val="24"/>
              </w:rPr>
            </w:pPr>
            <w:r w:rsidRPr="00643432">
              <w:rPr>
                <w:rFonts w:ascii="Times New Roman" w:hAnsi="Times New Roman" w:cs="Times New Roman"/>
                <w:b/>
                <w:sz w:val="24"/>
                <w:szCs w:val="24"/>
              </w:rPr>
              <w:t>Above 60</w:t>
            </w:r>
          </w:p>
        </w:tc>
        <w:tc>
          <w:tcPr>
            <w:tcW w:w="3185" w:type="dxa"/>
            <w:tcBorders>
              <w:top w:val="single" w:sz="4" w:space="0" w:color="auto"/>
              <w:left w:val="single" w:sz="4" w:space="0" w:color="auto"/>
              <w:bottom w:val="single" w:sz="4" w:space="0" w:color="auto"/>
              <w:right w:val="single" w:sz="4" w:space="0" w:color="auto"/>
            </w:tcBorders>
          </w:tcPr>
          <w:p w14:paraId="1FFBBD60" w14:textId="7688AA09" w:rsidR="00643432" w:rsidRDefault="00643432">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tcPr>
          <w:p w14:paraId="179CBE01" w14:textId="29E7BD96" w:rsidR="00643432" w:rsidRDefault="00643432">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12.5%</w:t>
            </w:r>
          </w:p>
        </w:tc>
      </w:tr>
      <w:tr w:rsidR="00643432" w:rsidRPr="004D7E4B" w14:paraId="108541F6" w14:textId="77777777">
        <w:trPr>
          <w:trHeight w:val="516"/>
        </w:trPr>
        <w:tc>
          <w:tcPr>
            <w:tcW w:w="3077" w:type="dxa"/>
            <w:tcBorders>
              <w:top w:val="single" w:sz="4" w:space="0" w:color="auto"/>
              <w:left w:val="single" w:sz="4" w:space="0" w:color="auto"/>
              <w:bottom w:val="single" w:sz="4" w:space="0" w:color="auto"/>
              <w:right w:val="single" w:sz="4" w:space="0" w:color="auto"/>
            </w:tcBorders>
            <w:hideMark/>
          </w:tcPr>
          <w:p w14:paraId="53396533" w14:textId="77777777" w:rsidR="00643432" w:rsidRPr="004D7E4B" w:rsidRDefault="00643432">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5BEC2852" w14:textId="5955B100" w:rsidR="00643432" w:rsidRPr="004D7E4B" w:rsidRDefault="00643432">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160</w:t>
            </w:r>
          </w:p>
        </w:tc>
        <w:tc>
          <w:tcPr>
            <w:tcW w:w="3185" w:type="dxa"/>
            <w:tcBorders>
              <w:top w:val="single" w:sz="4" w:space="0" w:color="auto"/>
              <w:left w:val="single" w:sz="4" w:space="0" w:color="auto"/>
              <w:bottom w:val="single" w:sz="4" w:space="0" w:color="auto"/>
              <w:right w:val="single" w:sz="4" w:space="0" w:color="auto"/>
            </w:tcBorders>
            <w:hideMark/>
          </w:tcPr>
          <w:p w14:paraId="0DD3C6FB" w14:textId="77777777" w:rsidR="00643432" w:rsidRPr="004D7E4B" w:rsidRDefault="00643432">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63402560" w14:textId="77777777" w:rsidR="00643432" w:rsidRDefault="00643432" w:rsidP="00643432">
      <w:pPr>
        <w:spacing w:line="360" w:lineRule="auto"/>
        <w:rPr>
          <w:rFonts w:ascii="Times New Roman" w:hAnsi="Times New Roman" w:cs="Times New Roman"/>
          <w:b/>
          <w:sz w:val="24"/>
          <w:szCs w:val="24"/>
          <w:lang w:val="en-US"/>
        </w:rPr>
      </w:pPr>
    </w:p>
    <w:p w14:paraId="2EE6B7C1" w14:textId="77777777" w:rsidR="00643432" w:rsidRDefault="00643432" w:rsidP="00643432">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19"/>
    <w:p w14:paraId="44391F61" w14:textId="6433F70B" w:rsidR="00643432" w:rsidRPr="00643432" w:rsidRDefault="00643432" w:rsidP="00643432">
      <w:pPr>
        <w:spacing w:line="360" w:lineRule="auto"/>
        <w:jc w:val="both"/>
        <w:rPr>
          <w:rFonts w:ascii="Times New Roman" w:hAnsi="Times New Roman" w:cs="Times New Roman"/>
          <w:sz w:val="24"/>
          <w:szCs w:val="24"/>
        </w:rPr>
      </w:pPr>
      <w:r w:rsidRPr="00643432">
        <w:rPr>
          <w:rFonts w:ascii="Times New Roman" w:hAnsi="Times New Roman" w:cs="Times New Roman"/>
          <w:sz w:val="24"/>
          <w:szCs w:val="24"/>
        </w:rPr>
        <w:t xml:space="preserve">The analysis of the respondents’ age groups reveals that the majority fall within the </w:t>
      </w:r>
      <w:r w:rsidRPr="00643432">
        <w:rPr>
          <w:rFonts w:ascii="Times New Roman" w:hAnsi="Times New Roman" w:cs="Times New Roman"/>
          <w:b/>
          <w:bCs/>
          <w:sz w:val="24"/>
          <w:szCs w:val="24"/>
        </w:rPr>
        <w:t>31 to 45 years</w:t>
      </w:r>
      <w:r w:rsidRPr="00643432">
        <w:rPr>
          <w:rFonts w:ascii="Times New Roman" w:hAnsi="Times New Roman" w:cs="Times New Roman"/>
          <w:sz w:val="24"/>
          <w:szCs w:val="24"/>
        </w:rPr>
        <w:t xml:space="preserve"> range, constituting 37.5% of the total participants. This is significant as this age bracket generally represents mid-career professionals who are actively involved in decision-making and implementation of disaster risk management strategies. </w:t>
      </w:r>
    </w:p>
    <w:p w14:paraId="5E759AFD" w14:textId="7B663791" w:rsidR="00643432" w:rsidRPr="00643432" w:rsidRDefault="00643432" w:rsidP="00643432">
      <w:pPr>
        <w:spacing w:line="360" w:lineRule="auto"/>
        <w:jc w:val="both"/>
        <w:rPr>
          <w:rFonts w:ascii="Times New Roman" w:hAnsi="Times New Roman" w:cs="Times New Roman"/>
          <w:sz w:val="24"/>
          <w:szCs w:val="24"/>
        </w:rPr>
      </w:pPr>
      <w:r w:rsidRPr="00643432">
        <w:rPr>
          <w:rFonts w:ascii="Times New Roman" w:hAnsi="Times New Roman" w:cs="Times New Roman"/>
          <w:sz w:val="24"/>
          <w:szCs w:val="24"/>
        </w:rPr>
        <w:t xml:space="preserve">The 18-30 and 46-60 age groups each make up 25% of respondents. The younger group (18-30 years) often represents emerging professionals, researchers, and volunteers who bring fresh perspectives and are more attuned to innovative technologies such as AI and GIS in DRM. </w:t>
      </w:r>
    </w:p>
    <w:p w14:paraId="60C7B213" w14:textId="77777777" w:rsidR="00643432" w:rsidRPr="00643432" w:rsidRDefault="00643432" w:rsidP="00643432">
      <w:pPr>
        <w:spacing w:line="360" w:lineRule="auto"/>
        <w:jc w:val="both"/>
        <w:rPr>
          <w:rFonts w:ascii="Times New Roman" w:hAnsi="Times New Roman" w:cs="Times New Roman"/>
          <w:sz w:val="24"/>
          <w:szCs w:val="24"/>
        </w:rPr>
      </w:pPr>
      <w:r w:rsidRPr="00643432">
        <w:rPr>
          <w:rFonts w:ascii="Times New Roman" w:hAnsi="Times New Roman" w:cs="Times New Roman"/>
          <w:sz w:val="24"/>
          <w:szCs w:val="24"/>
        </w:rPr>
        <w:t>Respondents aged 46-60 years typically hold senior positions with significant policy influence or operational leadership. Their perspectives provide insight into long-term strategies, institutional memory, and experience managing past disasters such as the 2008 Wenchuan Earthquake or the 2011 Great East Japan Earthquake.</w:t>
      </w:r>
    </w:p>
    <w:p w14:paraId="45182130" w14:textId="21F515A2" w:rsidR="00643432" w:rsidRPr="00643432" w:rsidRDefault="00643432" w:rsidP="00643432">
      <w:pPr>
        <w:spacing w:line="360" w:lineRule="auto"/>
        <w:jc w:val="both"/>
        <w:rPr>
          <w:rFonts w:ascii="Times New Roman" w:hAnsi="Times New Roman" w:cs="Times New Roman"/>
          <w:sz w:val="24"/>
          <w:szCs w:val="24"/>
        </w:rPr>
      </w:pPr>
      <w:r w:rsidRPr="00643432">
        <w:rPr>
          <w:rFonts w:ascii="Times New Roman" w:hAnsi="Times New Roman" w:cs="Times New Roman"/>
          <w:sz w:val="24"/>
          <w:szCs w:val="24"/>
        </w:rPr>
        <w:t xml:space="preserve">The smallest segment, those </w:t>
      </w:r>
      <w:r w:rsidRPr="00643432">
        <w:rPr>
          <w:rFonts w:ascii="Times New Roman" w:hAnsi="Times New Roman" w:cs="Times New Roman"/>
          <w:b/>
          <w:bCs/>
          <w:sz w:val="24"/>
          <w:szCs w:val="24"/>
        </w:rPr>
        <w:t>above 60 years</w:t>
      </w:r>
      <w:r w:rsidRPr="00643432">
        <w:rPr>
          <w:rFonts w:ascii="Times New Roman" w:hAnsi="Times New Roman" w:cs="Times New Roman"/>
          <w:sz w:val="24"/>
          <w:szCs w:val="24"/>
        </w:rPr>
        <w:t>, constitute 12.5% of respondents. This group’s participation is important because it often includes retired experts, community elders, or advisors who contribute historical knowledge and cultural insights that shape community resilience and traditional disaster response practices, especially in Japan where elder involvement in community preparedness is culturally valued.</w:t>
      </w:r>
    </w:p>
    <w:p w14:paraId="38994AF2" w14:textId="77777777" w:rsidR="00643432" w:rsidRDefault="00643432">
      <w:pPr>
        <w:spacing w:line="360" w:lineRule="auto"/>
        <w:ind w:left="-360"/>
        <w:jc w:val="both"/>
        <w:rPr>
          <w:rFonts w:ascii="Times New Roman" w:hAnsi="Times New Roman" w:cs="Times New Roman"/>
          <w:sz w:val="24"/>
          <w:szCs w:val="24"/>
        </w:rPr>
      </w:pPr>
    </w:p>
    <w:p w14:paraId="6AF36DB5" w14:textId="77777777" w:rsidR="00643432" w:rsidRPr="00967E78" w:rsidRDefault="00643432" w:rsidP="00643432">
      <w:pPr>
        <w:spacing w:line="360" w:lineRule="auto"/>
        <w:jc w:val="center"/>
        <w:rPr>
          <w:rFonts w:ascii="Times New Roman" w:hAnsi="Times New Roman" w:cs="Times New Roman"/>
          <w:b/>
          <w:bCs/>
          <w:sz w:val="24"/>
          <w:szCs w:val="24"/>
          <w:lang w:val="en-US"/>
        </w:rPr>
      </w:pPr>
      <w:r>
        <w:rPr>
          <w:rFonts w:ascii="Times New Roman" w:hAnsi="Times New Roman" w:cs="Times New Roman"/>
          <w:sz w:val="24"/>
          <w:szCs w:val="24"/>
        </w:rPr>
        <w:lastRenderedPageBreak/>
        <w:tab/>
      </w:r>
      <w:bookmarkStart w:id="20" w:name="_Hlk203212624"/>
      <w:bookmarkStart w:id="21" w:name="_Hlk204529642"/>
      <w:r w:rsidRPr="00967E78">
        <w:rPr>
          <w:rFonts w:ascii="Times New Roman" w:hAnsi="Times New Roman" w:cs="Times New Roman"/>
          <w:b/>
          <w:bCs/>
          <w:sz w:val="24"/>
          <w:szCs w:val="24"/>
          <w:lang w:val="en-US"/>
        </w:rPr>
        <w:t>TABLE – 4.2</w:t>
      </w:r>
    </w:p>
    <w:p w14:paraId="17C4AE2B" w14:textId="77777777" w:rsidR="00643432" w:rsidRPr="004D7E4B" w:rsidRDefault="00643432" w:rsidP="00643432">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643432" w:rsidRPr="004D7E4B" w14:paraId="0852CC9B" w14:textId="77777777">
        <w:tc>
          <w:tcPr>
            <w:tcW w:w="3002" w:type="dxa"/>
            <w:tcBorders>
              <w:top w:val="single" w:sz="4" w:space="0" w:color="auto"/>
              <w:left w:val="single" w:sz="4" w:space="0" w:color="auto"/>
              <w:bottom w:val="single" w:sz="4" w:space="0" w:color="auto"/>
              <w:right w:val="single" w:sz="4" w:space="0" w:color="auto"/>
            </w:tcBorders>
            <w:hideMark/>
          </w:tcPr>
          <w:p w14:paraId="6F5A735F" w14:textId="77777777" w:rsidR="00643432" w:rsidRPr="004D7E4B" w:rsidRDefault="00643432">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7C08F5D9" w14:textId="77777777" w:rsidR="00643432" w:rsidRPr="004D7E4B" w:rsidRDefault="00643432">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7ECC8D39" w14:textId="77777777" w:rsidR="00643432" w:rsidRPr="004D7E4B" w:rsidRDefault="00643432">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643432" w:rsidRPr="004D7E4B" w14:paraId="068CA5AC" w14:textId="77777777">
        <w:tc>
          <w:tcPr>
            <w:tcW w:w="3002" w:type="dxa"/>
            <w:tcBorders>
              <w:top w:val="single" w:sz="4" w:space="0" w:color="auto"/>
              <w:left w:val="single" w:sz="4" w:space="0" w:color="auto"/>
              <w:bottom w:val="single" w:sz="4" w:space="0" w:color="auto"/>
              <w:right w:val="single" w:sz="4" w:space="0" w:color="auto"/>
            </w:tcBorders>
            <w:hideMark/>
          </w:tcPr>
          <w:p w14:paraId="6B800463" w14:textId="77777777" w:rsidR="00643432" w:rsidRPr="004D7E4B" w:rsidRDefault="00643432">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29353F01" w14:textId="10A7FA48" w:rsidR="00643432" w:rsidRPr="004D7E4B" w:rsidRDefault="00643432">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110</w:t>
            </w:r>
          </w:p>
        </w:tc>
        <w:tc>
          <w:tcPr>
            <w:tcW w:w="2685" w:type="dxa"/>
            <w:tcBorders>
              <w:top w:val="single" w:sz="4" w:space="0" w:color="auto"/>
              <w:left w:val="single" w:sz="4" w:space="0" w:color="auto"/>
              <w:bottom w:val="single" w:sz="4" w:space="0" w:color="auto"/>
              <w:right w:val="single" w:sz="4" w:space="0" w:color="auto"/>
            </w:tcBorders>
            <w:hideMark/>
          </w:tcPr>
          <w:p w14:paraId="7ABED8B6" w14:textId="52643492" w:rsidR="00643432" w:rsidRPr="004D7E4B" w:rsidRDefault="00643432">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68.75</w:t>
            </w:r>
            <w:r w:rsidRPr="004D7E4B">
              <w:rPr>
                <w:rFonts w:ascii="Times New Roman" w:hAnsi="Times New Roman" w:cs="Times New Roman"/>
                <w:bCs/>
                <w:sz w:val="24"/>
                <w:szCs w:val="24"/>
                <w:lang w:val="en-US"/>
              </w:rPr>
              <w:t>%</w:t>
            </w:r>
          </w:p>
        </w:tc>
      </w:tr>
      <w:tr w:rsidR="00643432" w:rsidRPr="004D7E4B" w14:paraId="3EF285A6" w14:textId="77777777">
        <w:tc>
          <w:tcPr>
            <w:tcW w:w="3002" w:type="dxa"/>
            <w:tcBorders>
              <w:top w:val="single" w:sz="4" w:space="0" w:color="auto"/>
              <w:left w:val="single" w:sz="4" w:space="0" w:color="auto"/>
              <w:bottom w:val="single" w:sz="4" w:space="0" w:color="auto"/>
              <w:right w:val="single" w:sz="4" w:space="0" w:color="auto"/>
            </w:tcBorders>
            <w:hideMark/>
          </w:tcPr>
          <w:p w14:paraId="5CBC6C28" w14:textId="77777777" w:rsidR="00643432" w:rsidRPr="004D7E4B" w:rsidRDefault="00643432">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438E2EF8" w14:textId="6816F3AE" w:rsidR="00643432" w:rsidRPr="004D7E4B" w:rsidRDefault="00643432">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50</w:t>
            </w:r>
          </w:p>
        </w:tc>
        <w:tc>
          <w:tcPr>
            <w:tcW w:w="2685" w:type="dxa"/>
            <w:tcBorders>
              <w:top w:val="single" w:sz="4" w:space="0" w:color="auto"/>
              <w:left w:val="single" w:sz="4" w:space="0" w:color="auto"/>
              <w:bottom w:val="single" w:sz="4" w:space="0" w:color="auto"/>
              <w:right w:val="single" w:sz="4" w:space="0" w:color="auto"/>
            </w:tcBorders>
            <w:hideMark/>
          </w:tcPr>
          <w:p w14:paraId="40ACC446" w14:textId="7AA0828E" w:rsidR="00643432" w:rsidRPr="004D7E4B" w:rsidRDefault="00643432">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31.25%</w:t>
            </w:r>
          </w:p>
        </w:tc>
      </w:tr>
      <w:tr w:rsidR="00643432" w:rsidRPr="004D7E4B" w14:paraId="2C676C19" w14:textId="77777777">
        <w:tc>
          <w:tcPr>
            <w:tcW w:w="3002" w:type="dxa"/>
            <w:tcBorders>
              <w:top w:val="single" w:sz="4" w:space="0" w:color="auto"/>
              <w:left w:val="single" w:sz="4" w:space="0" w:color="auto"/>
              <w:bottom w:val="single" w:sz="4" w:space="0" w:color="auto"/>
              <w:right w:val="single" w:sz="4" w:space="0" w:color="auto"/>
            </w:tcBorders>
            <w:hideMark/>
          </w:tcPr>
          <w:p w14:paraId="78FE116F" w14:textId="77777777" w:rsidR="00643432" w:rsidRPr="004D7E4B" w:rsidRDefault="00643432">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45EFD140" w14:textId="3A05CECA" w:rsidR="00643432" w:rsidRPr="004D7E4B" w:rsidRDefault="00643432">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160</w:t>
            </w:r>
          </w:p>
        </w:tc>
        <w:tc>
          <w:tcPr>
            <w:tcW w:w="2685" w:type="dxa"/>
            <w:tcBorders>
              <w:top w:val="single" w:sz="4" w:space="0" w:color="auto"/>
              <w:left w:val="single" w:sz="4" w:space="0" w:color="auto"/>
              <w:bottom w:val="single" w:sz="4" w:space="0" w:color="auto"/>
              <w:right w:val="single" w:sz="4" w:space="0" w:color="auto"/>
            </w:tcBorders>
            <w:hideMark/>
          </w:tcPr>
          <w:p w14:paraId="1C3B5CE5" w14:textId="77777777" w:rsidR="00643432" w:rsidRPr="004D7E4B" w:rsidRDefault="00643432">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16AAC9AF" w14:textId="77777777" w:rsidR="00643432" w:rsidRDefault="00643432" w:rsidP="00643432">
      <w:pPr>
        <w:spacing w:line="360" w:lineRule="auto"/>
        <w:jc w:val="both"/>
        <w:rPr>
          <w:rFonts w:ascii="Times New Roman" w:hAnsi="Times New Roman" w:cs="Times New Roman"/>
          <w:bCs/>
          <w:sz w:val="24"/>
          <w:szCs w:val="24"/>
        </w:rPr>
      </w:pPr>
    </w:p>
    <w:p w14:paraId="0FE51743" w14:textId="3C7221C7" w:rsidR="00643432" w:rsidRDefault="00643432" w:rsidP="00643432">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bookmarkEnd w:id="20"/>
    </w:p>
    <w:bookmarkEnd w:id="21"/>
    <w:p w14:paraId="5241A93E" w14:textId="77777777" w:rsidR="00643432" w:rsidRPr="00643432" w:rsidRDefault="00643432" w:rsidP="00643432">
      <w:pPr>
        <w:spacing w:line="360" w:lineRule="auto"/>
        <w:jc w:val="both"/>
        <w:rPr>
          <w:rFonts w:ascii="Times New Roman" w:hAnsi="Times New Roman" w:cs="Times New Roman"/>
          <w:sz w:val="24"/>
          <w:szCs w:val="24"/>
        </w:rPr>
      </w:pPr>
      <w:r w:rsidRPr="00643432">
        <w:rPr>
          <w:rFonts w:ascii="Times New Roman" w:hAnsi="Times New Roman" w:cs="Times New Roman"/>
          <w:sz w:val="24"/>
          <w:szCs w:val="24"/>
        </w:rPr>
        <w:t>The data shows that the majority of respondents involved in disaster risk management activities in China and Japan are male, accounting for 68.75% of the total participants. This predominance reflects the traditionally male-dominated nature of sectors such as emergency services, policy-making, and technical fields related to disaster management in both countries.</w:t>
      </w:r>
    </w:p>
    <w:p w14:paraId="3C069A5F" w14:textId="77777777" w:rsidR="00643432" w:rsidRPr="00643432" w:rsidRDefault="00643432" w:rsidP="00643432">
      <w:pPr>
        <w:spacing w:line="360" w:lineRule="auto"/>
        <w:jc w:val="both"/>
        <w:rPr>
          <w:rFonts w:ascii="Times New Roman" w:hAnsi="Times New Roman" w:cs="Times New Roman"/>
          <w:sz w:val="24"/>
          <w:szCs w:val="24"/>
        </w:rPr>
      </w:pPr>
      <w:r w:rsidRPr="00643432">
        <w:rPr>
          <w:rFonts w:ascii="Times New Roman" w:hAnsi="Times New Roman" w:cs="Times New Roman"/>
          <w:sz w:val="24"/>
          <w:szCs w:val="24"/>
        </w:rPr>
        <w:t>However, the participation of females, though lower at 31.25%, indicates a growing presence of women in DRM roles. Increasing female involvement is important because numerous studies emphasize that gender-inclusive disaster management leads to more effective outcomes. Women often contribute unique perspectives on community needs, vulnerability, and recovery processes, which are critical for designing equitable risk reduction strategies.</w:t>
      </w:r>
    </w:p>
    <w:p w14:paraId="645D0919" w14:textId="77777777" w:rsidR="00643432" w:rsidRPr="00643432" w:rsidRDefault="00643432" w:rsidP="00643432">
      <w:pPr>
        <w:spacing w:line="360" w:lineRule="auto"/>
        <w:jc w:val="both"/>
        <w:rPr>
          <w:rFonts w:ascii="Times New Roman" w:hAnsi="Times New Roman" w:cs="Times New Roman"/>
          <w:sz w:val="24"/>
          <w:szCs w:val="24"/>
        </w:rPr>
      </w:pPr>
      <w:r w:rsidRPr="00643432">
        <w:rPr>
          <w:rFonts w:ascii="Times New Roman" w:hAnsi="Times New Roman" w:cs="Times New Roman"/>
          <w:sz w:val="24"/>
          <w:szCs w:val="24"/>
        </w:rPr>
        <w:t>In Japan, the integration of women into disaster preparedness roles has been steadily increasing, with government initiatives promoting female leadership in local disaster councils and volunteer organizations. Similarly, in China, national policies have begun emphasizing gender equality in disaster resilience efforts, encouraging women's participation in community education and response teams.</w:t>
      </w:r>
    </w:p>
    <w:p w14:paraId="6032F512" w14:textId="77777777" w:rsidR="00643432" w:rsidRPr="00643432" w:rsidRDefault="00643432" w:rsidP="00643432">
      <w:pPr>
        <w:spacing w:line="360" w:lineRule="auto"/>
        <w:jc w:val="both"/>
        <w:rPr>
          <w:rFonts w:ascii="Times New Roman" w:hAnsi="Times New Roman" w:cs="Times New Roman"/>
          <w:sz w:val="24"/>
          <w:szCs w:val="24"/>
        </w:rPr>
      </w:pPr>
      <w:r w:rsidRPr="00643432">
        <w:rPr>
          <w:rFonts w:ascii="Times New Roman" w:hAnsi="Times New Roman" w:cs="Times New Roman"/>
          <w:sz w:val="24"/>
          <w:szCs w:val="24"/>
        </w:rPr>
        <w:t>The gender distribution highlights the importance of continuing efforts to promote gender balance in DRM sectors. Encouraging more female participation can enhance communication, social cohesion, and the inclusivity of disaster preparedness programs in both countries. By valuing diverse voices, China and Japan can improve their capacity to address the complex and varied impacts disasters have on different population groups.</w:t>
      </w:r>
    </w:p>
    <w:p w14:paraId="22E5D3A0" w14:textId="77777777" w:rsidR="00643432" w:rsidRDefault="00643432" w:rsidP="00643432">
      <w:pPr>
        <w:spacing w:line="360" w:lineRule="auto"/>
        <w:jc w:val="both"/>
        <w:rPr>
          <w:rFonts w:ascii="Times New Roman" w:hAnsi="Times New Roman" w:cs="Times New Roman"/>
          <w:b/>
          <w:bCs/>
          <w:sz w:val="24"/>
          <w:szCs w:val="24"/>
          <w:lang w:val="en-US"/>
        </w:rPr>
      </w:pPr>
    </w:p>
    <w:p w14:paraId="4F68E352" w14:textId="77777777" w:rsidR="00643432" w:rsidRDefault="00643432" w:rsidP="00643432">
      <w:pPr>
        <w:spacing w:line="360" w:lineRule="auto"/>
        <w:jc w:val="both"/>
        <w:rPr>
          <w:rFonts w:ascii="Times New Roman" w:hAnsi="Times New Roman" w:cs="Times New Roman"/>
          <w:b/>
          <w:bCs/>
          <w:sz w:val="24"/>
          <w:szCs w:val="24"/>
        </w:rPr>
      </w:pPr>
      <w:bookmarkStart w:id="22" w:name="_Hlk202090519"/>
      <w:r w:rsidRPr="007B042D">
        <w:rPr>
          <w:rFonts w:ascii="Times New Roman" w:hAnsi="Times New Roman" w:cs="Times New Roman"/>
          <w:b/>
          <w:bCs/>
          <w:sz w:val="24"/>
          <w:szCs w:val="24"/>
        </w:rPr>
        <w:lastRenderedPageBreak/>
        <w:t>CONCLUSION</w:t>
      </w:r>
    </w:p>
    <w:bookmarkEnd w:id="22"/>
    <w:p w14:paraId="46EB89BE" w14:textId="5480AB23" w:rsidR="00643432" w:rsidRPr="00643432" w:rsidRDefault="00643432" w:rsidP="0064343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43432">
        <w:rPr>
          <w:rFonts w:ascii="Times New Roman" w:hAnsi="Times New Roman" w:cs="Times New Roman"/>
          <w:sz w:val="24"/>
          <w:szCs w:val="24"/>
        </w:rPr>
        <w:t>Disaster risk management in China and Japan reflects the unique geographical, cultural, political, and economic contexts of the two countries, both of which face significant challenges from natural hazards such as earthquakes, floods, typhoons, and tsunamis. This study has revealed that while both nations prioritize reducing disaster risks and enhancing resilience, their approaches differ in structure and implementation due to their distinct governance models and societal frameworks.</w:t>
      </w:r>
    </w:p>
    <w:p w14:paraId="55101743" w14:textId="3B5AB9FC" w:rsidR="00643432" w:rsidRPr="00643432" w:rsidRDefault="00643432" w:rsidP="0064343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43432">
        <w:rPr>
          <w:rFonts w:ascii="Times New Roman" w:hAnsi="Times New Roman" w:cs="Times New Roman"/>
          <w:sz w:val="24"/>
          <w:szCs w:val="24"/>
        </w:rPr>
        <w:t>Japan’s disaster risk management system is characterized by its strong emphasis on community engagement, advanced technological innovations, and rigorous public education programs. The decentralized approach empowers local governments and communities, facilitating rapid response and recovery, especially highlighted in the aftermath of major disasters like the 2011 Great East Japan Earthquake. Japan’s use of cutting-edge early warning systems and resilient infrastructure stands out as a global best practice.</w:t>
      </w:r>
    </w:p>
    <w:p w14:paraId="65594BFD" w14:textId="441C911B" w:rsidR="00643432" w:rsidRPr="00643432" w:rsidRDefault="00643432" w:rsidP="0064343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43432">
        <w:rPr>
          <w:rFonts w:ascii="Times New Roman" w:hAnsi="Times New Roman" w:cs="Times New Roman"/>
          <w:sz w:val="24"/>
          <w:szCs w:val="24"/>
        </w:rPr>
        <w:t>China, on the other hand, operates a highly centralized disaster management system that enables swift mobilization of resources and coordinated large-scale responses. The establishment of the Ministry of Emergency Management signifies China’s commitment to strengthening institutional capacity. China’s increasing integration of technology, such as big data analytics and AI, shows its adaptability and modernization in disaster risk reduction. However, challenges remain, particularly in ensuring consistent implementation at local levels and enhancing community participation.</w:t>
      </w:r>
    </w:p>
    <w:p w14:paraId="2DC52345" w14:textId="13185979" w:rsidR="00643432" w:rsidRPr="00643432" w:rsidRDefault="00643432" w:rsidP="0064343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43432">
        <w:rPr>
          <w:rFonts w:ascii="Times New Roman" w:hAnsi="Times New Roman" w:cs="Times New Roman"/>
          <w:sz w:val="24"/>
          <w:szCs w:val="24"/>
        </w:rPr>
        <w:t>The comparative analysis underscores the value of mutual learning: China could benefit from Japan’s emphasis on community involvement and decentralized preparedness, while Japan might draw lessons from China’s capacity for large-scale resource mobilization. Both countries share a growing awareness of the need to address emerging risks posed by climate change and urbanization, highlighting the importance of adaptive, inclusive, and technology-driven DRM frameworks.</w:t>
      </w:r>
    </w:p>
    <w:p w14:paraId="7EE6D94A" w14:textId="06B09DA6" w:rsidR="00643432" w:rsidRPr="00643432" w:rsidRDefault="00643432" w:rsidP="0064343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43432">
        <w:rPr>
          <w:rFonts w:ascii="Times New Roman" w:hAnsi="Times New Roman" w:cs="Times New Roman"/>
          <w:sz w:val="24"/>
          <w:szCs w:val="24"/>
        </w:rPr>
        <w:t>Ultimately, the study concludes that effective disaster risk management requires a balanced approach that integrates strong governance, technological innovation, and active participation of all stakeholders, including vulnerable populations. Strengthening cooperation and knowledge exchange between China and Japan, as well as within the broader Asia-Pacific region, can further enhance regional resilience and contribute to global efforts in disaster risk reduction.</w:t>
      </w:r>
    </w:p>
    <w:p w14:paraId="54C1449C" w14:textId="77777777" w:rsidR="00643432" w:rsidRPr="007B042D" w:rsidRDefault="00643432" w:rsidP="00643432">
      <w:pPr>
        <w:spacing w:line="360" w:lineRule="auto"/>
        <w:jc w:val="center"/>
        <w:rPr>
          <w:rFonts w:ascii="Times New Roman" w:hAnsi="Times New Roman" w:cs="Times New Roman"/>
          <w:b/>
          <w:bCs/>
          <w:sz w:val="24"/>
          <w:szCs w:val="24"/>
          <w:lang w:val="en-US"/>
        </w:rPr>
      </w:pPr>
      <w:bookmarkStart w:id="23" w:name="_Hlk203474877"/>
      <w:bookmarkStart w:id="24" w:name="_Hlk203252345"/>
      <w:r w:rsidRPr="007B042D">
        <w:rPr>
          <w:rFonts w:ascii="Times New Roman" w:hAnsi="Times New Roman" w:cs="Times New Roman"/>
          <w:b/>
          <w:bCs/>
          <w:sz w:val="24"/>
          <w:szCs w:val="24"/>
          <w:lang w:val="en-US"/>
        </w:rPr>
        <w:lastRenderedPageBreak/>
        <w:t>BIBLIOGRAPHY</w:t>
      </w:r>
      <w:bookmarkEnd w:id="23"/>
    </w:p>
    <w:bookmarkEnd w:id="24"/>
    <w:p w14:paraId="086446A3" w14:textId="77777777" w:rsidR="00643432" w:rsidRPr="00643432" w:rsidRDefault="00643432" w:rsidP="00643432">
      <w:pPr>
        <w:pStyle w:val="ListParagraph"/>
        <w:numPr>
          <w:ilvl w:val="0"/>
          <w:numId w:val="20"/>
        </w:numPr>
        <w:spacing w:line="360" w:lineRule="auto"/>
        <w:jc w:val="both"/>
        <w:rPr>
          <w:rFonts w:ascii="Times New Roman" w:hAnsi="Times New Roman" w:cs="Times New Roman"/>
          <w:sz w:val="24"/>
          <w:szCs w:val="24"/>
        </w:rPr>
      </w:pPr>
      <w:r w:rsidRPr="00643432">
        <w:rPr>
          <w:rFonts w:ascii="Times New Roman" w:hAnsi="Times New Roman" w:cs="Times New Roman"/>
          <w:sz w:val="24"/>
          <w:szCs w:val="24"/>
        </w:rPr>
        <w:t xml:space="preserve">Aldrich, D. P. (2012). </w:t>
      </w:r>
      <w:r w:rsidRPr="00643432">
        <w:rPr>
          <w:rFonts w:ascii="Times New Roman" w:hAnsi="Times New Roman" w:cs="Times New Roman"/>
          <w:i/>
          <w:iCs/>
          <w:sz w:val="24"/>
          <w:szCs w:val="24"/>
        </w:rPr>
        <w:t>Building resilience: Social capital in post-disaster recovery</w:t>
      </w:r>
      <w:r w:rsidRPr="00643432">
        <w:rPr>
          <w:rFonts w:ascii="Times New Roman" w:hAnsi="Times New Roman" w:cs="Times New Roman"/>
          <w:sz w:val="24"/>
          <w:szCs w:val="24"/>
        </w:rPr>
        <w:t>. University of Chicago Press.</w:t>
      </w:r>
    </w:p>
    <w:p w14:paraId="09F69477" w14:textId="77777777" w:rsidR="00643432" w:rsidRPr="00643432" w:rsidRDefault="00643432" w:rsidP="00643432">
      <w:pPr>
        <w:pStyle w:val="ListParagraph"/>
        <w:numPr>
          <w:ilvl w:val="0"/>
          <w:numId w:val="20"/>
        </w:numPr>
        <w:spacing w:line="360" w:lineRule="auto"/>
        <w:jc w:val="both"/>
        <w:rPr>
          <w:rFonts w:ascii="Times New Roman" w:hAnsi="Times New Roman" w:cs="Times New Roman"/>
          <w:sz w:val="24"/>
          <w:szCs w:val="24"/>
        </w:rPr>
      </w:pPr>
      <w:r w:rsidRPr="00643432">
        <w:rPr>
          <w:rFonts w:ascii="Times New Roman" w:hAnsi="Times New Roman" w:cs="Times New Roman"/>
          <w:sz w:val="24"/>
          <w:szCs w:val="24"/>
        </w:rPr>
        <w:t xml:space="preserve">Aldrich, D. P., &amp; Meyer, M. A. (2015). Social capital and community resilience. </w:t>
      </w:r>
      <w:r w:rsidRPr="00643432">
        <w:rPr>
          <w:rFonts w:ascii="Times New Roman" w:hAnsi="Times New Roman" w:cs="Times New Roman"/>
          <w:i/>
          <w:iCs/>
          <w:sz w:val="24"/>
          <w:szCs w:val="24"/>
        </w:rPr>
        <w:t xml:space="preserve">American </w:t>
      </w:r>
      <w:proofErr w:type="spellStart"/>
      <w:r w:rsidRPr="00643432">
        <w:rPr>
          <w:rFonts w:ascii="Times New Roman" w:hAnsi="Times New Roman" w:cs="Times New Roman"/>
          <w:i/>
          <w:iCs/>
          <w:sz w:val="24"/>
          <w:szCs w:val="24"/>
        </w:rPr>
        <w:t>Behavioral</w:t>
      </w:r>
      <w:proofErr w:type="spellEnd"/>
      <w:r w:rsidRPr="00643432">
        <w:rPr>
          <w:rFonts w:ascii="Times New Roman" w:hAnsi="Times New Roman" w:cs="Times New Roman"/>
          <w:i/>
          <w:iCs/>
          <w:sz w:val="24"/>
          <w:szCs w:val="24"/>
        </w:rPr>
        <w:t xml:space="preserve"> Scientist</w:t>
      </w:r>
      <w:r w:rsidRPr="00643432">
        <w:rPr>
          <w:rFonts w:ascii="Times New Roman" w:hAnsi="Times New Roman" w:cs="Times New Roman"/>
          <w:sz w:val="24"/>
          <w:szCs w:val="24"/>
        </w:rPr>
        <w:t>, 59(2), 254-269. https://doi.org/10.1177/0002764214550299</w:t>
      </w:r>
    </w:p>
    <w:p w14:paraId="53AA4403" w14:textId="77777777" w:rsidR="00643432" w:rsidRPr="00643432" w:rsidRDefault="00643432" w:rsidP="00643432">
      <w:pPr>
        <w:pStyle w:val="ListParagraph"/>
        <w:numPr>
          <w:ilvl w:val="0"/>
          <w:numId w:val="20"/>
        </w:numPr>
        <w:spacing w:line="360" w:lineRule="auto"/>
        <w:jc w:val="both"/>
        <w:rPr>
          <w:rFonts w:ascii="Times New Roman" w:hAnsi="Times New Roman" w:cs="Times New Roman"/>
          <w:sz w:val="24"/>
          <w:szCs w:val="24"/>
        </w:rPr>
      </w:pPr>
      <w:r w:rsidRPr="00643432">
        <w:rPr>
          <w:rFonts w:ascii="Times New Roman" w:hAnsi="Times New Roman" w:cs="Times New Roman"/>
          <w:sz w:val="24"/>
          <w:szCs w:val="24"/>
        </w:rPr>
        <w:t xml:space="preserve">Fan, H. (2013). The emergency management system in China: Problems and prospects. </w:t>
      </w:r>
      <w:r w:rsidRPr="00643432">
        <w:rPr>
          <w:rFonts w:ascii="Times New Roman" w:hAnsi="Times New Roman" w:cs="Times New Roman"/>
          <w:i/>
          <w:iCs/>
          <w:sz w:val="24"/>
          <w:szCs w:val="24"/>
        </w:rPr>
        <w:t>Journal of Emergency Management</w:t>
      </w:r>
      <w:r w:rsidRPr="00643432">
        <w:rPr>
          <w:rFonts w:ascii="Times New Roman" w:hAnsi="Times New Roman" w:cs="Times New Roman"/>
          <w:sz w:val="24"/>
          <w:szCs w:val="24"/>
        </w:rPr>
        <w:t>, 11(4), 297-304.</w:t>
      </w:r>
    </w:p>
    <w:p w14:paraId="46001C6D" w14:textId="77777777" w:rsidR="00643432" w:rsidRPr="00643432" w:rsidRDefault="00643432" w:rsidP="00643432">
      <w:pPr>
        <w:pStyle w:val="ListParagraph"/>
        <w:numPr>
          <w:ilvl w:val="0"/>
          <w:numId w:val="20"/>
        </w:numPr>
        <w:spacing w:line="360" w:lineRule="auto"/>
        <w:jc w:val="both"/>
        <w:rPr>
          <w:rFonts w:ascii="Times New Roman" w:hAnsi="Times New Roman" w:cs="Times New Roman"/>
          <w:sz w:val="24"/>
          <w:szCs w:val="24"/>
        </w:rPr>
      </w:pPr>
      <w:r w:rsidRPr="00643432">
        <w:rPr>
          <w:rFonts w:ascii="Times New Roman" w:hAnsi="Times New Roman" w:cs="Times New Roman"/>
          <w:sz w:val="24"/>
          <w:szCs w:val="24"/>
        </w:rPr>
        <w:t xml:space="preserve">Gao, H., Wang, X., &amp; Wang, Y. (2020). Application of big data and AI technology in disaster risk management in China. </w:t>
      </w:r>
      <w:r w:rsidRPr="00643432">
        <w:rPr>
          <w:rFonts w:ascii="Times New Roman" w:hAnsi="Times New Roman" w:cs="Times New Roman"/>
          <w:i/>
          <w:iCs/>
          <w:sz w:val="24"/>
          <w:szCs w:val="24"/>
        </w:rPr>
        <w:t>International Journal of Disaster Risk Reduction</w:t>
      </w:r>
      <w:r w:rsidRPr="00643432">
        <w:rPr>
          <w:rFonts w:ascii="Times New Roman" w:hAnsi="Times New Roman" w:cs="Times New Roman"/>
          <w:sz w:val="24"/>
          <w:szCs w:val="24"/>
        </w:rPr>
        <w:t>, 47, 101567. https://doi.org/10.1016/j.ijdrr.2020.101567</w:t>
      </w:r>
    </w:p>
    <w:p w14:paraId="0D4F6CAC" w14:textId="77777777" w:rsidR="00643432" w:rsidRPr="00643432" w:rsidRDefault="00643432" w:rsidP="00643432">
      <w:pPr>
        <w:pStyle w:val="ListParagraph"/>
        <w:numPr>
          <w:ilvl w:val="0"/>
          <w:numId w:val="20"/>
        </w:numPr>
        <w:spacing w:line="360" w:lineRule="auto"/>
        <w:jc w:val="both"/>
        <w:rPr>
          <w:rFonts w:ascii="Times New Roman" w:hAnsi="Times New Roman" w:cs="Times New Roman"/>
          <w:sz w:val="24"/>
          <w:szCs w:val="24"/>
        </w:rPr>
      </w:pPr>
      <w:r w:rsidRPr="00643432">
        <w:rPr>
          <w:rFonts w:ascii="Times New Roman" w:hAnsi="Times New Roman" w:cs="Times New Roman"/>
          <w:sz w:val="24"/>
          <w:szCs w:val="24"/>
        </w:rPr>
        <w:t xml:space="preserve">Kitagawa, H. (2018). Disaster risk governance in Japan: Lessons from the Great East Japan Earthquake. </w:t>
      </w:r>
      <w:r w:rsidRPr="00643432">
        <w:rPr>
          <w:rFonts w:ascii="Times New Roman" w:hAnsi="Times New Roman" w:cs="Times New Roman"/>
          <w:i/>
          <w:iCs/>
          <w:sz w:val="24"/>
          <w:szCs w:val="24"/>
        </w:rPr>
        <w:t>International Journal of Disaster Risk Science</w:t>
      </w:r>
      <w:r w:rsidRPr="00643432">
        <w:rPr>
          <w:rFonts w:ascii="Times New Roman" w:hAnsi="Times New Roman" w:cs="Times New Roman"/>
          <w:sz w:val="24"/>
          <w:szCs w:val="24"/>
        </w:rPr>
        <w:t>, 9(3), 367-379.</w:t>
      </w:r>
    </w:p>
    <w:p w14:paraId="3B08CB9D" w14:textId="77777777" w:rsidR="00643432" w:rsidRPr="00643432" w:rsidRDefault="00643432" w:rsidP="00643432">
      <w:pPr>
        <w:pStyle w:val="ListParagraph"/>
        <w:numPr>
          <w:ilvl w:val="0"/>
          <w:numId w:val="20"/>
        </w:numPr>
        <w:spacing w:line="360" w:lineRule="auto"/>
        <w:jc w:val="both"/>
        <w:rPr>
          <w:rFonts w:ascii="Times New Roman" w:hAnsi="Times New Roman" w:cs="Times New Roman"/>
          <w:sz w:val="24"/>
          <w:szCs w:val="24"/>
        </w:rPr>
      </w:pPr>
      <w:r w:rsidRPr="00643432">
        <w:rPr>
          <w:rFonts w:ascii="Times New Roman" w:hAnsi="Times New Roman" w:cs="Times New Roman"/>
          <w:sz w:val="24"/>
          <w:szCs w:val="24"/>
        </w:rPr>
        <w:t xml:space="preserve">Li, J., &amp; Yu, W. (2021). Urban resilience and smart city development: Case studies from Tokyo and Shanghai. </w:t>
      </w:r>
      <w:r w:rsidRPr="00643432">
        <w:rPr>
          <w:rFonts w:ascii="Times New Roman" w:hAnsi="Times New Roman" w:cs="Times New Roman"/>
          <w:i/>
          <w:iCs/>
          <w:sz w:val="24"/>
          <w:szCs w:val="24"/>
        </w:rPr>
        <w:t>Journal of Urban Affairs</w:t>
      </w:r>
      <w:r w:rsidRPr="00643432">
        <w:rPr>
          <w:rFonts w:ascii="Times New Roman" w:hAnsi="Times New Roman" w:cs="Times New Roman"/>
          <w:sz w:val="24"/>
          <w:szCs w:val="24"/>
        </w:rPr>
        <w:t>, 43(1), 22-40.</w:t>
      </w:r>
    </w:p>
    <w:p w14:paraId="5B782AAA" w14:textId="77777777" w:rsidR="00643432" w:rsidRPr="00643432" w:rsidRDefault="00643432" w:rsidP="00643432">
      <w:pPr>
        <w:pStyle w:val="ListParagraph"/>
        <w:numPr>
          <w:ilvl w:val="0"/>
          <w:numId w:val="20"/>
        </w:numPr>
        <w:spacing w:line="360" w:lineRule="auto"/>
        <w:jc w:val="both"/>
        <w:rPr>
          <w:rFonts w:ascii="Times New Roman" w:hAnsi="Times New Roman" w:cs="Times New Roman"/>
          <w:sz w:val="24"/>
          <w:szCs w:val="24"/>
        </w:rPr>
      </w:pPr>
      <w:r w:rsidRPr="00643432">
        <w:rPr>
          <w:rFonts w:ascii="Times New Roman" w:hAnsi="Times New Roman" w:cs="Times New Roman"/>
          <w:sz w:val="24"/>
          <w:szCs w:val="24"/>
        </w:rPr>
        <w:t xml:space="preserve">Okada, N., &amp; Fang, C. (2013). A comparative study of disaster risk management in Japan and China. </w:t>
      </w:r>
      <w:r w:rsidRPr="00643432">
        <w:rPr>
          <w:rFonts w:ascii="Times New Roman" w:hAnsi="Times New Roman" w:cs="Times New Roman"/>
          <w:i/>
          <w:iCs/>
          <w:sz w:val="24"/>
          <w:szCs w:val="24"/>
        </w:rPr>
        <w:t>Asian Journal of Environment and Disaster Management</w:t>
      </w:r>
      <w:r w:rsidRPr="00643432">
        <w:rPr>
          <w:rFonts w:ascii="Times New Roman" w:hAnsi="Times New Roman" w:cs="Times New Roman"/>
          <w:sz w:val="24"/>
          <w:szCs w:val="24"/>
        </w:rPr>
        <w:t>, 5(1), 45-59.</w:t>
      </w:r>
    </w:p>
    <w:p w14:paraId="2C09936D" w14:textId="77777777" w:rsidR="00643432" w:rsidRPr="00643432" w:rsidRDefault="00643432" w:rsidP="00643432">
      <w:pPr>
        <w:pStyle w:val="ListParagraph"/>
        <w:numPr>
          <w:ilvl w:val="0"/>
          <w:numId w:val="20"/>
        </w:numPr>
        <w:spacing w:line="360" w:lineRule="auto"/>
        <w:jc w:val="both"/>
        <w:rPr>
          <w:rFonts w:ascii="Times New Roman" w:hAnsi="Times New Roman" w:cs="Times New Roman"/>
          <w:sz w:val="24"/>
          <w:szCs w:val="24"/>
        </w:rPr>
      </w:pPr>
      <w:r w:rsidRPr="00643432">
        <w:rPr>
          <w:rFonts w:ascii="Times New Roman" w:hAnsi="Times New Roman" w:cs="Times New Roman"/>
          <w:sz w:val="24"/>
          <w:szCs w:val="24"/>
        </w:rPr>
        <w:t xml:space="preserve">Sakurai, R., &amp; Murayama, Y. (2019). Aging populations and disaster vulnerability in Japan. </w:t>
      </w:r>
      <w:r w:rsidRPr="00643432">
        <w:rPr>
          <w:rFonts w:ascii="Times New Roman" w:hAnsi="Times New Roman" w:cs="Times New Roman"/>
          <w:i/>
          <w:iCs/>
          <w:sz w:val="24"/>
          <w:szCs w:val="24"/>
        </w:rPr>
        <w:t>International Journal of Disaster Risk Science</w:t>
      </w:r>
      <w:r w:rsidRPr="00643432">
        <w:rPr>
          <w:rFonts w:ascii="Times New Roman" w:hAnsi="Times New Roman" w:cs="Times New Roman"/>
          <w:sz w:val="24"/>
          <w:szCs w:val="24"/>
        </w:rPr>
        <w:t>, 10(3), 323-334.</w:t>
      </w:r>
    </w:p>
    <w:p w14:paraId="06698402" w14:textId="77777777" w:rsidR="00643432" w:rsidRPr="00643432" w:rsidRDefault="00643432" w:rsidP="00643432">
      <w:pPr>
        <w:pStyle w:val="ListParagraph"/>
        <w:numPr>
          <w:ilvl w:val="0"/>
          <w:numId w:val="20"/>
        </w:numPr>
        <w:spacing w:line="360" w:lineRule="auto"/>
        <w:jc w:val="both"/>
        <w:rPr>
          <w:rFonts w:ascii="Times New Roman" w:hAnsi="Times New Roman" w:cs="Times New Roman"/>
          <w:sz w:val="24"/>
          <w:szCs w:val="24"/>
        </w:rPr>
      </w:pPr>
      <w:r w:rsidRPr="00643432">
        <w:rPr>
          <w:rFonts w:ascii="Times New Roman" w:hAnsi="Times New Roman" w:cs="Times New Roman"/>
          <w:sz w:val="24"/>
          <w:szCs w:val="24"/>
        </w:rPr>
        <w:t xml:space="preserve">Shaw, R., &amp; Takeuchi, Y. (2009). </w:t>
      </w:r>
      <w:r w:rsidRPr="00643432">
        <w:rPr>
          <w:rFonts w:ascii="Times New Roman" w:hAnsi="Times New Roman" w:cs="Times New Roman"/>
          <w:i/>
          <w:iCs/>
          <w:sz w:val="24"/>
          <w:szCs w:val="24"/>
        </w:rPr>
        <w:t>Disaster risk reduction: Cases from urban Asia</w:t>
      </w:r>
      <w:r w:rsidRPr="00643432">
        <w:rPr>
          <w:rFonts w:ascii="Times New Roman" w:hAnsi="Times New Roman" w:cs="Times New Roman"/>
          <w:sz w:val="24"/>
          <w:szCs w:val="24"/>
        </w:rPr>
        <w:t>. Emerald Group Publishing.</w:t>
      </w:r>
    </w:p>
    <w:p w14:paraId="18F9F82D" w14:textId="77777777" w:rsidR="00643432" w:rsidRPr="00643432" w:rsidRDefault="00643432" w:rsidP="00643432">
      <w:pPr>
        <w:pStyle w:val="ListParagraph"/>
        <w:numPr>
          <w:ilvl w:val="0"/>
          <w:numId w:val="20"/>
        </w:numPr>
        <w:spacing w:line="360" w:lineRule="auto"/>
        <w:jc w:val="both"/>
        <w:rPr>
          <w:rFonts w:ascii="Times New Roman" w:hAnsi="Times New Roman" w:cs="Times New Roman"/>
          <w:sz w:val="24"/>
          <w:szCs w:val="24"/>
        </w:rPr>
      </w:pPr>
      <w:proofErr w:type="spellStart"/>
      <w:r w:rsidRPr="00643432">
        <w:rPr>
          <w:rFonts w:ascii="Times New Roman" w:hAnsi="Times New Roman" w:cs="Times New Roman"/>
          <w:sz w:val="24"/>
          <w:szCs w:val="24"/>
        </w:rPr>
        <w:t>Suppasri</w:t>
      </w:r>
      <w:proofErr w:type="spellEnd"/>
      <w:r w:rsidRPr="00643432">
        <w:rPr>
          <w:rFonts w:ascii="Times New Roman" w:hAnsi="Times New Roman" w:cs="Times New Roman"/>
          <w:sz w:val="24"/>
          <w:szCs w:val="24"/>
        </w:rPr>
        <w:t xml:space="preserve">, A., Imamura, F., </w:t>
      </w:r>
      <w:proofErr w:type="spellStart"/>
      <w:r w:rsidRPr="00643432">
        <w:rPr>
          <w:rFonts w:ascii="Times New Roman" w:hAnsi="Times New Roman" w:cs="Times New Roman"/>
          <w:sz w:val="24"/>
          <w:szCs w:val="24"/>
        </w:rPr>
        <w:t>Koshimura</w:t>
      </w:r>
      <w:proofErr w:type="spellEnd"/>
      <w:r w:rsidRPr="00643432">
        <w:rPr>
          <w:rFonts w:ascii="Times New Roman" w:hAnsi="Times New Roman" w:cs="Times New Roman"/>
          <w:sz w:val="24"/>
          <w:szCs w:val="24"/>
        </w:rPr>
        <w:t xml:space="preserve">, S., &amp; Shuto, N. (2013). Lessons learned from the 2011 Great East Japan Earthquake and Tsunami: A review. </w:t>
      </w:r>
      <w:r w:rsidRPr="00643432">
        <w:rPr>
          <w:rFonts w:ascii="Times New Roman" w:hAnsi="Times New Roman" w:cs="Times New Roman"/>
          <w:i/>
          <w:iCs/>
          <w:sz w:val="24"/>
          <w:szCs w:val="24"/>
        </w:rPr>
        <w:t>Pure and Applied Geophysics</w:t>
      </w:r>
      <w:r w:rsidRPr="00643432">
        <w:rPr>
          <w:rFonts w:ascii="Times New Roman" w:hAnsi="Times New Roman" w:cs="Times New Roman"/>
          <w:sz w:val="24"/>
          <w:szCs w:val="24"/>
        </w:rPr>
        <w:t>, 170(6-8), 993-1018.</w:t>
      </w:r>
    </w:p>
    <w:p w14:paraId="48B299B5" w14:textId="77777777" w:rsidR="00643432" w:rsidRPr="00643432" w:rsidRDefault="00643432" w:rsidP="00643432">
      <w:pPr>
        <w:pStyle w:val="ListParagraph"/>
        <w:numPr>
          <w:ilvl w:val="0"/>
          <w:numId w:val="20"/>
        </w:numPr>
        <w:spacing w:line="360" w:lineRule="auto"/>
        <w:jc w:val="both"/>
        <w:rPr>
          <w:rFonts w:ascii="Times New Roman" w:hAnsi="Times New Roman" w:cs="Times New Roman"/>
          <w:sz w:val="24"/>
          <w:szCs w:val="24"/>
        </w:rPr>
      </w:pPr>
      <w:r w:rsidRPr="00643432">
        <w:rPr>
          <w:rFonts w:ascii="Times New Roman" w:hAnsi="Times New Roman" w:cs="Times New Roman"/>
          <w:sz w:val="24"/>
          <w:szCs w:val="24"/>
        </w:rPr>
        <w:t xml:space="preserve">Tang, B., &amp; Liu, J. (2011). Challenges in China’s disaster management system: A case study of the 2008 Wenchuan earthquake. </w:t>
      </w:r>
      <w:r w:rsidRPr="00643432">
        <w:rPr>
          <w:rFonts w:ascii="Times New Roman" w:hAnsi="Times New Roman" w:cs="Times New Roman"/>
          <w:i/>
          <w:iCs/>
          <w:sz w:val="24"/>
          <w:szCs w:val="24"/>
        </w:rPr>
        <w:t>Natural Hazards</w:t>
      </w:r>
      <w:r w:rsidRPr="00643432">
        <w:rPr>
          <w:rFonts w:ascii="Times New Roman" w:hAnsi="Times New Roman" w:cs="Times New Roman"/>
          <w:sz w:val="24"/>
          <w:szCs w:val="24"/>
        </w:rPr>
        <w:t>, 59(3), 1613-1629.</w:t>
      </w:r>
    </w:p>
    <w:p w14:paraId="06BF99E9" w14:textId="77777777" w:rsidR="00643432" w:rsidRPr="00643432" w:rsidRDefault="00643432" w:rsidP="00643432">
      <w:pPr>
        <w:pStyle w:val="ListParagraph"/>
        <w:numPr>
          <w:ilvl w:val="0"/>
          <w:numId w:val="20"/>
        </w:numPr>
        <w:spacing w:line="360" w:lineRule="auto"/>
        <w:jc w:val="both"/>
        <w:rPr>
          <w:rFonts w:ascii="Times New Roman" w:hAnsi="Times New Roman" w:cs="Times New Roman"/>
          <w:sz w:val="24"/>
          <w:szCs w:val="24"/>
        </w:rPr>
      </w:pPr>
      <w:r w:rsidRPr="00643432">
        <w:rPr>
          <w:rFonts w:ascii="Times New Roman" w:hAnsi="Times New Roman" w:cs="Times New Roman"/>
          <w:sz w:val="24"/>
          <w:szCs w:val="24"/>
        </w:rPr>
        <w:t xml:space="preserve">United Nations Office for Disaster Risk Reduction (UNDRR). (2015). </w:t>
      </w:r>
      <w:r w:rsidRPr="00643432">
        <w:rPr>
          <w:rFonts w:ascii="Times New Roman" w:hAnsi="Times New Roman" w:cs="Times New Roman"/>
          <w:i/>
          <w:iCs/>
          <w:sz w:val="24"/>
          <w:szCs w:val="24"/>
        </w:rPr>
        <w:t>Sendai Framework for Disaster Risk Reduction 2015-2030</w:t>
      </w:r>
      <w:r w:rsidRPr="00643432">
        <w:rPr>
          <w:rFonts w:ascii="Times New Roman" w:hAnsi="Times New Roman" w:cs="Times New Roman"/>
          <w:sz w:val="24"/>
          <w:szCs w:val="24"/>
        </w:rPr>
        <w:t>. https://www.undrr.org/publication/sendai-framework-disaster-risk-reduction-2015-2030</w:t>
      </w:r>
    </w:p>
    <w:p w14:paraId="7F803B5C" w14:textId="77777777" w:rsidR="00643432" w:rsidRPr="00643432" w:rsidRDefault="00643432" w:rsidP="00643432">
      <w:pPr>
        <w:pStyle w:val="ListParagraph"/>
        <w:numPr>
          <w:ilvl w:val="0"/>
          <w:numId w:val="20"/>
        </w:numPr>
        <w:spacing w:line="360" w:lineRule="auto"/>
        <w:jc w:val="both"/>
        <w:rPr>
          <w:rFonts w:ascii="Times New Roman" w:hAnsi="Times New Roman" w:cs="Times New Roman"/>
          <w:sz w:val="24"/>
          <w:szCs w:val="24"/>
        </w:rPr>
      </w:pPr>
      <w:r w:rsidRPr="00643432">
        <w:rPr>
          <w:rFonts w:ascii="Times New Roman" w:hAnsi="Times New Roman" w:cs="Times New Roman"/>
          <w:sz w:val="24"/>
          <w:szCs w:val="24"/>
        </w:rPr>
        <w:t xml:space="preserve">Zhang, L., Liu, Q., &amp; Guo, Y. (2016). Institutional reforms and disaster management in China after the Wenchuan earthquake. </w:t>
      </w:r>
      <w:r w:rsidRPr="00643432">
        <w:rPr>
          <w:rFonts w:ascii="Times New Roman" w:hAnsi="Times New Roman" w:cs="Times New Roman"/>
          <w:i/>
          <w:iCs/>
          <w:sz w:val="24"/>
          <w:szCs w:val="24"/>
        </w:rPr>
        <w:t>Disasters</w:t>
      </w:r>
      <w:r w:rsidRPr="00643432">
        <w:rPr>
          <w:rFonts w:ascii="Times New Roman" w:hAnsi="Times New Roman" w:cs="Times New Roman"/>
          <w:sz w:val="24"/>
          <w:szCs w:val="24"/>
        </w:rPr>
        <w:t>, 40(2), 288-306.</w:t>
      </w:r>
    </w:p>
    <w:p w14:paraId="241A3B91" w14:textId="77777777" w:rsidR="00643432" w:rsidRPr="00643432" w:rsidRDefault="00643432" w:rsidP="00643432">
      <w:pPr>
        <w:spacing w:line="360" w:lineRule="auto"/>
        <w:jc w:val="both"/>
        <w:rPr>
          <w:rFonts w:ascii="Times New Roman" w:hAnsi="Times New Roman" w:cs="Times New Roman"/>
          <w:sz w:val="24"/>
          <w:szCs w:val="24"/>
          <w:lang w:val="en-US"/>
        </w:rPr>
      </w:pPr>
    </w:p>
    <w:sectPr w:rsidR="00643432" w:rsidRPr="006434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6021"/>
    <w:multiLevelType w:val="multilevel"/>
    <w:tmpl w:val="48EC1C3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DB00F8"/>
    <w:multiLevelType w:val="multilevel"/>
    <w:tmpl w:val="A3383156"/>
    <w:lvl w:ilvl="0">
      <w:start w:val="1"/>
      <w:numFmt w:val="bullet"/>
      <w:lvlText w:val=""/>
      <w:lvlJc w:val="left"/>
      <w:pPr>
        <w:tabs>
          <w:tab w:val="num" w:pos="720"/>
        </w:tabs>
        <w:ind w:left="720" w:hanging="360"/>
      </w:pPr>
      <w:rPr>
        <w:rFonts w:ascii="Symbol" w:hAnsi="Symbol" w:hint="default"/>
      </w:rPr>
    </w:lvl>
    <w:lvl w:ilvl="1">
      <w:numFmt w:val="bullet"/>
      <w:lvlText w:val=""/>
      <w:lvlJc w:val="left"/>
      <w:pPr>
        <w:ind w:left="1440" w:hanging="360"/>
      </w:pPr>
      <w:rPr>
        <w:rFonts w:ascii="Times New Roman" w:eastAsiaTheme="minorHAnsi"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3E1FF7"/>
    <w:multiLevelType w:val="multilevel"/>
    <w:tmpl w:val="A3383156"/>
    <w:lvl w:ilvl="0">
      <w:start w:val="1"/>
      <w:numFmt w:val="bullet"/>
      <w:lvlText w:val=""/>
      <w:lvlJc w:val="left"/>
      <w:pPr>
        <w:tabs>
          <w:tab w:val="num" w:pos="360"/>
        </w:tabs>
        <w:ind w:left="360" w:hanging="360"/>
      </w:pPr>
      <w:rPr>
        <w:rFonts w:ascii="Symbol" w:hAnsi="Symbol" w:hint="default"/>
      </w:rPr>
    </w:lvl>
    <w:lvl w:ilvl="1">
      <w:numFmt w:val="bullet"/>
      <w:lvlText w:val=""/>
      <w:lvlJc w:val="left"/>
      <w:pPr>
        <w:ind w:left="1080" w:hanging="360"/>
      </w:pPr>
      <w:rPr>
        <w:rFonts w:ascii="Times New Roman" w:eastAsiaTheme="minorHAnsi" w:hAnsi="Times New Roman" w:cs="Times New Roman"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06BA3519"/>
    <w:multiLevelType w:val="multilevel"/>
    <w:tmpl w:val="A08CBB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F338A0"/>
    <w:multiLevelType w:val="multilevel"/>
    <w:tmpl w:val="420C16C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2216D1"/>
    <w:multiLevelType w:val="multilevel"/>
    <w:tmpl w:val="EA40515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3364B5E"/>
    <w:multiLevelType w:val="multilevel"/>
    <w:tmpl w:val="2A882CC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A256BDE"/>
    <w:multiLevelType w:val="multilevel"/>
    <w:tmpl w:val="2B34BE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9504D72"/>
    <w:multiLevelType w:val="multilevel"/>
    <w:tmpl w:val="BDF0504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41749D1"/>
    <w:multiLevelType w:val="multilevel"/>
    <w:tmpl w:val="20E6756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6FC4F03"/>
    <w:multiLevelType w:val="multilevel"/>
    <w:tmpl w:val="FA68234E"/>
    <w:lvl w:ilvl="0">
      <w:start w:val="6"/>
      <w:numFmt w:val="decimal"/>
      <w:lvlText w:val="%1."/>
      <w:lvlJc w:val="left"/>
      <w:pPr>
        <w:tabs>
          <w:tab w:val="num" w:pos="720"/>
        </w:tabs>
        <w:ind w:left="720" w:hanging="360"/>
      </w:pPr>
    </w:lvl>
    <w:lvl w:ilvl="1">
      <w:numFmt w:val="bullet"/>
      <w:lvlText w:val=""/>
      <w:lvlJc w:val="left"/>
      <w:pPr>
        <w:ind w:left="1440" w:hanging="360"/>
      </w:pPr>
      <w:rPr>
        <w:rFonts w:ascii="Times New Roman" w:eastAsiaTheme="minorHAnsi"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EEE2457"/>
    <w:multiLevelType w:val="multilevel"/>
    <w:tmpl w:val="C1BE111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AD07AA7"/>
    <w:multiLevelType w:val="multilevel"/>
    <w:tmpl w:val="3D16F2E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B805EB2"/>
    <w:multiLevelType w:val="multilevel"/>
    <w:tmpl w:val="5866D9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B810E0C"/>
    <w:multiLevelType w:val="multilevel"/>
    <w:tmpl w:val="44E68A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35557A6"/>
    <w:multiLevelType w:val="multilevel"/>
    <w:tmpl w:val="A782D13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58B2A3F"/>
    <w:multiLevelType w:val="multilevel"/>
    <w:tmpl w:val="2B34BE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7251262"/>
    <w:multiLevelType w:val="multilevel"/>
    <w:tmpl w:val="E7121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72F09C5"/>
    <w:multiLevelType w:val="hybridMultilevel"/>
    <w:tmpl w:val="120482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7A5F4FE6"/>
    <w:multiLevelType w:val="multilevel"/>
    <w:tmpl w:val="D5047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0863705">
    <w:abstractNumId w:val="16"/>
  </w:num>
  <w:num w:numId="2" w16cid:durableId="91171488">
    <w:abstractNumId w:val="13"/>
  </w:num>
  <w:num w:numId="3" w16cid:durableId="1573587478">
    <w:abstractNumId w:val="3"/>
  </w:num>
  <w:num w:numId="4" w16cid:durableId="758865481">
    <w:abstractNumId w:val="5"/>
  </w:num>
  <w:num w:numId="5" w16cid:durableId="143009874">
    <w:abstractNumId w:val="11"/>
  </w:num>
  <w:num w:numId="6" w16cid:durableId="2091584053">
    <w:abstractNumId w:val="0"/>
  </w:num>
  <w:num w:numId="7" w16cid:durableId="49811383">
    <w:abstractNumId w:val="6"/>
  </w:num>
  <w:num w:numId="8" w16cid:durableId="765735580">
    <w:abstractNumId w:val="14"/>
  </w:num>
  <w:num w:numId="9" w16cid:durableId="666401552">
    <w:abstractNumId w:val="8"/>
  </w:num>
  <w:num w:numId="10" w16cid:durableId="2124223992">
    <w:abstractNumId w:val="12"/>
  </w:num>
  <w:num w:numId="11" w16cid:durableId="1426924247">
    <w:abstractNumId w:val="15"/>
  </w:num>
  <w:num w:numId="12" w16cid:durableId="333192205">
    <w:abstractNumId w:val="10"/>
  </w:num>
  <w:num w:numId="13" w16cid:durableId="897276810">
    <w:abstractNumId w:val="9"/>
  </w:num>
  <w:num w:numId="14" w16cid:durableId="784039392">
    <w:abstractNumId w:val="4"/>
  </w:num>
  <w:num w:numId="15" w16cid:durableId="392969311">
    <w:abstractNumId w:val="7"/>
  </w:num>
  <w:num w:numId="16" w16cid:durableId="209149347">
    <w:abstractNumId w:val="18"/>
  </w:num>
  <w:num w:numId="17" w16cid:durableId="1301226106">
    <w:abstractNumId w:val="1"/>
  </w:num>
  <w:num w:numId="18" w16cid:durableId="1220021477">
    <w:abstractNumId w:val="19"/>
  </w:num>
  <w:num w:numId="19" w16cid:durableId="596325605">
    <w:abstractNumId w:val="17"/>
  </w:num>
  <w:num w:numId="20" w16cid:durableId="19676632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C9D"/>
    <w:rsid w:val="001F45B4"/>
    <w:rsid w:val="0020187E"/>
    <w:rsid w:val="003732C3"/>
    <w:rsid w:val="00393403"/>
    <w:rsid w:val="003B2987"/>
    <w:rsid w:val="00643432"/>
    <w:rsid w:val="008623E5"/>
    <w:rsid w:val="008F7F7B"/>
    <w:rsid w:val="0093510B"/>
    <w:rsid w:val="00AA6DB4"/>
    <w:rsid w:val="00B77C9D"/>
    <w:rsid w:val="00D60C6F"/>
    <w:rsid w:val="00D77429"/>
    <w:rsid w:val="00E63095"/>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3C459"/>
  <w15:chartTrackingRefBased/>
  <w15:docId w15:val="{17033303-68AA-4633-BA84-831BCB3E9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5B4"/>
  </w:style>
  <w:style w:type="paragraph" w:styleId="Heading1">
    <w:name w:val="heading 1"/>
    <w:basedOn w:val="Normal"/>
    <w:next w:val="Normal"/>
    <w:link w:val="Heading1Char"/>
    <w:uiPriority w:val="9"/>
    <w:qFormat/>
    <w:rsid w:val="00B77C9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77C9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77C9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77C9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77C9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77C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7C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7C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7C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C9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77C9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77C9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77C9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77C9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77C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7C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7C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7C9D"/>
    <w:rPr>
      <w:rFonts w:eastAsiaTheme="majorEastAsia" w:cstheme="majorBidi"/>
      <w:color w:val="272727" w:themeColor="text1" w:themeTint="D8"/>
    </w:rPr>
  </w:style>
  <w:style w:type="paragraph" w:styleId="Title">
    <w:name w:val="Title"/>
    <w:basedOn w:val="Normal"/>
    <w:next w:val="Normal"/>
    <w:link w:val="TitleChar"/>
    <w:uiPriority w:val="10"/>
    <w:qFormat/>
    <w:rsid w:val="00B77C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7C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7C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7C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7C9D"/>
    <w:pPr>
      <w:spacing w:before="160"/>
      <w:jc w:val="center"/>
    </w:pPr>
    <w:rPr>
      <w:i/>
      <w:iCs/>
      <w:color w:val="404040" w:themeColor="text1" w:themeTint="BF"/>
    </w:rPr>
  </w:style>
  <w:style w:type="character" w:customStyle="1" w:styleId="QuoteChar">
    <w:name w:val="Quote Char"/>
    <w:basedOn w:val="DefaultParagraphFont"/>
    <w:link w:val="Quote"/>
    <w:uiPriority w:val="29"/>
    <w:rsid w:val="00B77C9D"/>
    <w:rPr>
      <w:i/>
      <w:iCs/>
      <w:color w:val="404040" w:themeColor="text1" w:themeTint="BF"/>
    </w:rPr>
  </w:style>
  <w:style w:type="paragraph" w:styleId="ListParagraph">
    <w:name w:val="List Paragraph"/>
    <w:basedOn w:val="Normal"/>
    <w:uiPriority w:val="34"/>
    <w:qFormat/>
    <w:rsid w:val="00B77C9D"/>
    <w:pPr>
      <w:ind w:left="720"/>
      <w:contextualSpacing/>
    </w:pPr>
  </w:style>
  <w:style w:type="character" w:styleId="IntenseEmphasis">
    <w:name w:val="Intense Emphasis"/>
    <w:basedOn w:val="DefaultParagraphFont"/>
    <w:uiPriority w:val="21"/>
    <w:qFormat/>
    <w:rsid w:val="00B77C9D"/>
    <w:rPr>
      <w:i/>
      <w:iCs/>
      <w:color w:val="2F5496" w:themeColor="accent1" w:themeShade="BF"/>
    </w:rPr>
  </w:style>
  <w:style w:type="paragraph" w:styleId="IntenseQuote">
    <w:name w:val="Intense Quote"/>
    <w:basedOn w:val="Normal"/>
    <w:next w:val="Normal"/>
    <w:link w:val="IntenseQuoteChar"/>
    <w:uiPriority w:val="30"/>
    <w:qFormat/>
    <w:rsid w:val="00B77C9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77C9D"/>
    <w:rPr>
      <w:i/>
      <w:iCs/>
      <w:color w:val="2F5496" w:themeColor="accent1" w:themeShade="BF"/>
    </w:rPr>
  </w:style>
  <w:style w:type="character" w:styleId="IntenseReference">
    <w:name w:val="Intense Reference"/>
    <w:basedOn w:val="DefaultParagraphFont"/>
    <w:uiPriority w:val="32"/>
    <w:qFormat/>
    <w:rsid w:val="00B77C9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640639">
      <w:bodyDiv w:val="1"/>
      <w:marLeft w:val="0"/>
      <w:marRight w:val="0"/>
      <w:marTop w:val="0"/>
      <w:marBottom w:val="0"/>
      <w:divBdr>
        <w:top w:val="none" w:sz="0" w:space="0" w:color="auto"/>
        <w:left w:val="none" w:sz="0" w:space="0" w:color="auto"/>
        <w:bottom w:val="none" w:sz="0" w:space="0" w:color="auto"/>
        <w:right w:val="none" w:sz="0" w:space="0" w:color="auto"/>
      </w:divBdr>
    </w:div>
    <w:div w:id="74867628">
      <w:bodyDiv w:val="1"/>
      <w:marLeft w:val="0"/>
      <w:marRight w:val="0"/>
      <w:marTop w:val="0"/>
      <w:marBottom w:val="0"/>
      <w:divBdr>
        <w:top w:val="none" w:sz="0" w:space="0" w:color="auto"/>
        <w:left w:val="none" w:sz="0" w:space="0" w:color="auto"/>
        <w:bottom w:val="none" w:sz="0" w:space="0" w:color="auto"/>
        <w:right w:val="none" w:sz="0" w:space="0" w:color="auto"/>
      </w:divBdr>
    </w:div>
    <w:div w:id="86511175">
      <w:bodyDiv w:val="1"/>
      <w:marLeft w:val="0"/>
      <w:marRight w:val="0"/>
      <w:marTop w:val="0"/>
      <w:marBottom w:val="0"/>
      <w:divBdr>
        <w:top w:val="none" w:sz="0" w:space="0" w:color="auto"/>
        <w:left w:val="none" w:sz="0" w:space="0" w:color="auto"/>
        <w:bottom w:val="none" w:sz="0" w:space="0" w:color="auto"/>
        <w:right w:val="none" w:sz="0" w:space="0" w:color="auto"/>
      </w:divBdr>
    </w:div>
    <w:div w:id="118956157">
      <w:bodyDiv w:val="1"/>
      <w:marLeft w:val="0"/>
      <w:marRight w:val="0"/>
      <w:marTop w:val="0"/>
      <w:marBottom w:val="0"/>
      <w:divBdr>
        <w:top w:val="none" w:sz="0" w:space="0" w:color="auto"/>
        <w:left w:val="none" w:sz="0" w:space="0" w:color="auto"/>
        <w:bottom w:val="none" w:sz="0" w:space="0" w:color="auto"/>
        <w:right w:val="none" w:sz="0" w:space="0" w:color="auto"/>
      </w:divBdr>
    </w:div>
    <w:div w:id="172771330">
      <w:bodyDiv w:val="1"/>
      <w:marLeft w:val="0"/>
      <w:marRight w:val="0"/>
      <w:marTop w:val="0"/>
      <w:marBottom w:val="0"/>
      <w:divBdr>
        <w:top w:val="none" w:sz="0" w:space="0" w:color="auto"/>
        <w:left w:val="none" w:sz="0" w:space="0" w:color="auto"/>
        <w:bottom w:val="none" w:sz="0" w:space="0" w:color="auto"/>
        <w:right w:val="none" w:sz="0" w:space="0" w:color="auto"/>
      </w:divBdr>
    </w:div>
    <w:div w:id="220024220">
      <w:bodyDiv w:val="1"/>
      <w:marLeft w:val="0"/>
      <w:marRight w:val="0"/>
      <w:marTop w:val="0"/>
      <w:marBottom w:val="0"/>
      <w:divBdr>
        <w:top w:val="none" w:sz="0" w:space="0" w:color="auto"/>
        <w:left w:val="none" w:sz="0" w:space="0" w:color="auto"/>
        <w:bottom w:val="none" w:sz="0" w:space="0" w:color="auto"/>
        <w:right w:val="none" w:sz="0" w:space="0" w:color="auto"/>
      </w:divBdr>
    </w:div>
    <w:div w:id="269822825">
      <w:bodyDiv w:val="1"/>
      <w:marLeft w:val="0"/>
      <w:marRight w:val="0"/>
      <w:marTop w:val="0"/>
      <w:marBottom w:val="0"/>
      <w:divBdr>
        <w:top w:val="none" w:sz="0" w:space="0" w:color="auto"/>
        <w:left w:val="none" w:sz="0" w:space="0" w:color="auto"/>
        <w:bottom w:val="none" w:sz="0" w:space="0" w:color="auto"/>
        <w:right w:val="none" w:sz="0" w:space="0" w:color="auto"/>
      </w:divBdr>
    </w:div>
    <w:div w:id="327371761">
      <w:bodyDiv w:val="1"/>
      <w:marLeft w:val="0"/>
      <w:marRight w:val="0"/>
      <w:marTop w:val="0"/>
      <w:marBottom w:val="0"/>
      <w:divBdr>
        <w:top w:val="none" w:sz="0" w:space="0" w:color="auto"/>
        <w:left w:val="none" w:sz="0" w:space="0" w:color="auto"/>
        <w:bottom w:val="none" w:sz="0" w:space="0" w:color="auto"/>
        <w:right w:val="none" w:sz="0" w:space="0" w:color="auto"/>
      </w:divBdr>
    </w:div>
    <w:div w:id="347871744">
      <w:bodyDiv w:val="1"/>
      <w:marLeft w:val="0"/>
      <w:marRight w:val="0"/>
      <w:marTop w:val="0"/>
      <w:marBottom w:val="0"/>
      <w:divBdr>
        <w:top w:val="none" w:sz="0" w:space="0" w:color="auto"/>
        <w:left w:val="none" w:sz="0" w:space="0" w:color="auto"/>
        <w:bottom w:val="none" w:sz="0" w:space="0" w:color="auto"/>
        <w:right w:val="none" w:sz="0" w:space="0" w:color="auto"/>
      </w:divBdr>
    </w:div>
    <w:div w:id="419299587">
      <w:bodyDiv w:val="1"/>
      <w:marLeft w:val="0"/>
      <w:marRight w:val="0"/>
      <w:marTop w:val="0"/>
      <w:marBottom w:val="0"/>
      <w:divBdr>
        <w:top w:val="none" w:sz="0" w:space="0" w:color="auto"/>
        <w:left w:val="none" w:sz="0" w:space="0" w:color="auto"/>
        <w:bottom w:val="none" w:sz="0" w:space="0" w:color="auto"/>
        <w:right w:val="none" w:sz="0" w:space="0" w:color="auto"/>
      </w:divBdr>
    </w:div>
    <w:div w:id="422461879">
      <w:bodyDiv w:val="1"/>
      <w:marLeft w:val="0"/>
      <w:marRight w:val="0"/>
      <w:marTop w:val="0"/>
      <w:marBottom w:val="0"/>
      <w:divBdr>
        <w:top w:val="none" w:sz="0" w:space="0" w:color="auto"/>
        <w:left w:val="none" w:sz="0" w:space="0" w:color="auto"/>
        <w:bottom w:val="none" w:sz="0" w:space="0" w:color="auto"/>
        <w:right w:val="none" w:sz="0" w:space="0" w:color="auto"/>
      </w:divBdr>
    </w:div>
    <w:div w:id="477386501">
      <w:bodyDiv w:val="1"/>
      <w:marLeft w:val="0"/>
      <w:marRight w:val="0"/>
      <w:marTop w:val="0"/>
      <w:marBottom w:val="0"/>
      <w:divBdr>
        <w:top w:val="none" w:sz="0" w:space="0" w:color="auto"/>
        <w:left w:val="none" w:sz="0" w:space="0" w:color="auto"/>
        <w:bottom w:val="none" w:sz="0" w:space="0" w:color="auto"/>
        <w:right w:val="none" w:sz="0" w:space="0" w:color="auto"/>
      </w:divBdr>
    </w:div>
    <w:div w:id="541014551">
      <w:bodyDiv w:val="1"/>
      <w:marLeft w:val="0"/>
      <w:marRight w:val="0"/>
      <w:marTop w:val="0"/>
      <w:marBottom w:val="0"/>
      <w:divBdr>
        <w:top w:val="none" w:sz="0" w:space="0" w:color="auto"/>
        <w:left w:val="none" w:sz="0" w:space="0" w:color="auto"/>
        <w:bottom w:val="none" w:sz="0" w:space="0" w:color="auto"/>
        <w:right w:val="none" w:sz="0" w:space="0" w:color="auto"/>
      </w:divBdr>
    </w:div>
    <w:div w:id="636761622">
      <w:bodyDiv w:val="1"/>
      <w:marLeft w:val="0"/>
      <w:marRight w:val="0"/>
      <w:marTop w:val="0"/>
      <w:marBottom w:val="0"/>
      <w:divBdr>
        <w:top w:val="none" w:sz="0" w:space="0" w:color="auto"/>
        <w:left w:val="none" w:sz="0" w:space="0" w:color="auto"/>
        <w:bottom w:val="none" w:sz="0" w:space="0" w:color="auto"/>
        <w:right w:val="none" w:sz="0" w:space="0" w:color="auto"/>
      </w:divBdr>
    </w:div>
    <w:div w:id="652218913">
      <w:bodyDiv w:val="1"/>
      <w:marLeft w:val="0"/>
      <w:marRight w:val="0"/>
      <w:marTop w:val="0"/>
      <w:marBottom w:val="0"/>
      <w:divBdr>
        <w:top w:val="none" w:sz="0" w:space="0" w:color="auto"/>
        <w:left w:val="none" w:sz="0" w:space="0" w:color="auto"/>
        <w:bottom w:val="none" w:sz="0" w:space="0" w:color="auto"/>
        <w:right w:val="none" w:sz="0" w:space="0" w:color="auto"/>
      </w:divBdr>
    </w:div>
    <w:div w:id="957683183">
      <w:bodyDiv w:val="1"/>
      <w:marLeft w:val="0"/>
      <w:marRight w:val="0"/>
      <w:marTop w:val="0"/>
      <w:marBottom w:val="0"/>
      <w:divBdr>
        <w:top w:val="none" w:sz="0" w:space="0" w:color="auto"/>
        <w:left w:val="none" w:sz="0" w:space="0" w:color="auto"/>
        <w:bottom w:val="none" w:sz="0" w:space="0" w:color="auto"/>
        <w:right w:val="none" w:sz="0" w:space="0" w:color="auto"/>
      </w:divBdr>
    </w:div>
    <w:div w:id="1247807252">
      <w:bodyDiv w:val="1"/>
      <w:marLeft w:val="0"/>
      <w:marRight w:val="0"/>
      <w:marTop w:val="0"/>
      <w:marBottom w:val="0"/>
      <w:divBdr>
        <w:top w:val="none" w:sz="0" w:space="0" w:color="auto"/>
        <w:left w:val="none" w:sz="0" w:space="0" w:color="auto"/>
        <w:bottom w:val="none" w:sz="0" w:space="0" w:color="auto"/>
        <w:right w:val="none" w:sz="0" w:space="0" w:color="auto"/>
      </w:divBdr>
    </w:div>
    <w:div w:id="1250890535">
      <w:bodyDiv w:val="1"/>
      <w:marLeft w:val="0"/>
      <w:marRight w:val="0"/>
      <w:marTop w:val="0"/>
      <w:marBottom w:val="0"/>
      <w:divBdr>
        <w:top w:val="none" w:sz="0" w:space="0" w:color="auto"/>
        <w:left w:val="none" w:sz="0" w:space="0" w:color="auto"/>
        <w:bottom w:val="none" w:sz="0" w:space="0" w:color="auto"/>
        <w:right w:val="none" w:sz="0" w:space="0" w:color="auto"/>
      </w:divBdr>
    </w:div>
    <w:div w:id="1330060550">
      <w:bodyDiv w:val="1"/>
      <w:marLeft w:val="0"/>
      <w:marRight w:val="0"/>
      <w:marTop w:val="0"/>
      <w:marBottom w:val="0"/>
      <w:divBdr>
        <w:top w:val="none" w:sz="0" w:space="0" w:color="auto"/>
        <w:left w:val="none" w:sz="0" w:space="0" w:color="auto"/>
        <w:bottom w:val="none" w:sz="0" w:space="0" w:color="auto"/>
        <w:right w:val="none" w:sz="0" w:space="0" w:color="auto"/>
      </w:divBdr>
    </w:div>
    <w:div w:id="1399475991">
      <w:bodyDiv w:val="1"/>
      <w:marLeft w:val="0"/>
      <w:marRight w:val="0"/>
      <w:marTop w:val="0"/>
      <w:marBottom w:val="0"/>
      <w:divBdr>
        <w:top w:val="none" w:sz="0" w:space="0" w:color="auto"/>
        <w:left w:val="none" w:sz="0" w:space="0" w:color="auto"/>
        <w:bottom w:val="none" w:sz="0" w:space="0" w:color="auto"/>
        <w:right w:val="none" w:sz="0" w:space="0" w:color="auto"/>
      </w:divBdr>
    </w:div>
    <w:div w:id="1413696814">
      <w:bodyDiv w:val="1"/>
      <w:marLeft w:val="0"/>
      <w:marRight w:val="0"/>
      <w:marTop w:val="0"/>
      <w:marBottom w:val="0"/>
      <w:divBdr>
        <w:top w:val="none" w:sz="0" w:space="0" w:color="auto"/>
        <w:left w:val="none" w:sz="0" w:space="0" w:color="auto"/>
        <w:bottom w:val="none" w:sz="0" w:space="0" w:color="auto"/>
        <w:right w:val="none" w:sz="0" w:space="0" w:color="auto"/>
      </w:divBdr>
    </w:div>
    <w:div w:id="1427844525">
      <w:bodyDiv w:val="1"/>
      <w:marLeft w:val="0"/>
      <w:marRight w:val="0"/>
      <w:marTop w:val="0"/>
      <w:marBottom w:val="0"/>
      <w:divBdr>
        <w:top w:val="none" w:sz="0" w:space="0" w:color="auto"/>
        <w:left w:val="none" w:sz="0" w:space="0" w:color="auto"/>
        <w:bottom w:val="none" w:sz="0" w:space="0" w:color="auto"/>
        <w:right w:val="none" w:sz="0" w:space="0" w:color="auto"/>
      </w:divBdr>
    </w:div>
    <w:div w:id="1439570457">
      <w:bodyDiv w:val="1"/>
      <w:marLeft w:val="0"/>
      <w:marRight w:val="0"/>
      <w:marTop w:val="0"/>
      <w:marBottom w:val="0"/>
      <w:divBdr>
        <w:top w:val="none" w:sz="0" w:space="0" w:color="auto"/>
        <w:left w:val="none" w:sz="0" w:space="0" w:color="auto"/>
        <w:bottom w:val="none" w:sz="0" w:space="0" w:color="auto"/>
        <w:right w:val="none" w:sz="0" w:space="0" w:color="auto"/>
      </w:divBdr>
    </w:div>
    <w:div w:id="1472136710">
      <w:bodyDiv w:val="1"/>
      <w:marLeft w:val="0"/>
      <w:marRight w:val="0"/>
      <w:marTop w:val="0"/>
      <w:marBottom w:val="0"/>
      <w:divBdr>
        <w:top w:val="none" w:sz="0" w:space="0" w:color="auto"/>
        <w:left w:val="none" w:sz="0" w:space="0" w:color="auto"/>
        <w:bottom w:val="none" w:sz="0" w:space="0" w:color="auto"/>
        <w:right w:val="none" w:sz="0" w:space="0" w:color="auto"/>
      </w:divBdr>
    </w:div>
    <w:div w:id="1569654794">
      <w:bodyDiv w:val="1"/>
      <w:marLeft w:val="0"/>
      <w:marRight w:val="0"/>
      <w:marTop w:val="0"/>
      <w:marBottom w:val="0"/>
      <w:divBdr>
        <w:top w:val="none" w:sz="0" w:space="0" w:color="auto"/>
        <w:left w:val="none" w:sz="0" w:space="0" w:color="auto"/>
        <w:bottom w:val="none" w:sz="0" w:space="0" w:color="auto"/>
        <w:right w:val="none" w:sz="0" w:space="0" w:color="auto"/>
      </w:divBdr>
    </w:div>
    <w:div w:id="1578051841">
      <w:bodyDiv w:val="1"/>
      <w:marLeft w:val="0"/>
      <w:marRight w:val="0"/>
      <w:marTop w:val="0"/>
      <w:marBottom w:val="0"/>
      <w:divBdr>
        <w:top w:val="none" w:sz="0" w:space="0" w:color="auto"/>
        <w:left w:val="none" w:sz="0" w:space="0" w:color="auto"/>
        <w:bottom w:val="none" w:sz="0" w:space="0" w:color="auto"/>
        <w:right w:val="none" w:sz="0" w:space="0" w:color="auto"/>
      </w:divBdr>
    </w:div>
    <w:div w:id="1675759870">
      <w:bodyDiv w:val="1"/>
      <w:marLeft w:val="0"/>
      <w:marRight w:val="0"/>
      <w:marTop w:val="0"/>
      <w:marBottom w:val="0"/>
      <w:divBdr>
        <w:top w:val="none" w:sz="0" w:space="0" w:color="auto"/>
        <w:left w:val="none" w:sz="0" w:space="0" w:color="auto"/>
        <w:bottom w:val="none" w:sz="0" w:space="0" w:color="auto"/>
        <w:right w:val="none" w:sz="0" w:space="0" w:color="auto"/>
      </w:divBdr>
    </w:div>
    <w:div w:id="1698769750">
      <w:bodyDiv w:val="1"/>
      <w:marLeft w:val="0"/>
      <w:marRight w:val="0"/>
      <w:marTop w:val="0"/>
      <w:marBottom w:val="0"/>
      <w:divBdr>
        <w:top w:val="none" w:sz="0" w:space="0" w:color="auto"/>
        <w:left w:val="none" w:sz="0" w:space="0" w:color="auto"/>
        <w:bottom w:val="none" w:sz="0" w:space="0" w:color="auto"/>
        <w:right w:val="none" w:sz="0" w:space="0" w:color="auto"/>
      </w:divBdr>
    </w:div>
    <w:div w:id="1800680592">
      <w:bodyDiv w:val="1"/>
      <w:marLeft w:val="0"/>
      <w:marRight w:val="0"/>
      <w:marTop w:val="0"/>
      <w:marBottom w:val="0"/>
      <w:divBdr>
        <w:top w:val="none" w:sz="0" w:space="0" w:color="auto"/>
        <w:left w:val="none" w:sz="0" w:space="0" w:color="auto"/>
        <w:bottom w:val="none" w:sz="0" w:space="0" w:color="auto"/>
        <w:right w:val="none" w:sz="0" w:space="0" w:color="auto"/>
      </w:divBdr>
    </w:div>
    <w:div w:id="1847599898">
      <w:bodyDiv w:val="1"/>
      <w:marLeft w:val="0"/>
      <w:marRight w:val="0"/>
      <w:marTop w:val="0"/>
      <w:marBottom w:val="0"/>
      <w:divBdr>
        <w:top w:val="none" w:sz="0" w:space="0" w:color="auto"/>
        <w:left w:val="none" w:sz="0" w:space="0" w:color="auto"/>
        <w:bottom w:val="none" w:sz="0" w:space="0" w:color="auto"/>
        <w:right w:val="none" w:sz="0" w:space="0" w:color="auto"/>
      </w:divBdr>
    </w:div>
    <w:div w:id="1860116800">
      <w:bodyDiv w:val="1"/>
      <w:marLeft w:val="0"/>
      <w:marRight w:val="0"/>
      <w:marTop w:val="0"/>
      <w:marBottom w:val="0"/>
      <w:divBdr>
        <w:top w:val="none" w:sz="0" w:space="0" w:color="auto"/>
        <w:left w:val="none" w:sz="0" w:space="0" w:color="auto"/>
        <w:bottom w:val="none" w:sz="0" w:space="0" w:color="auto"/>
        <w:right w:val="none" w:sz="0" w:space="0" w:color="auto"/>
      </w:divBdr>
    </w:div>
    <w:div w:id="1905873021">
      <w:bodyDiv w:val="1"/>
      <w:marLeft w:val="0"/>
      <w:marRight w:val="0"/>
      <w:marTop w:val="0"/>
      <w:marBottom w:val="0"/>
      <w:divBdr>
        <w:top w:val="none" w:sz="0" w:space="0" w:color="auto"/>
        <w:left w:val="none" w:sz="0" w:space="0" w:color="auto"/>
        <w:bottom w:val="none" w:sz="0" w:space="0" w:color="auto"/>
        <w:right w:val="none" w:sz="0" w:space="0" w:color="auto"/>
      </w:divBdr>
    </w:div>
    <w:div w:id="1915358636">
      <w:bodyDiv w:val="1"/>
      <w:marLeft w:val="0"/>
      <w:marRight w:val="0"/>
      <w:marTop w:val="0"/>
      <w:marBottom w:val="0"/>
      <w:divBdr>
        <w:top w:val="none" w:sz="0" w:space="0" w:color="auto"/>
        <w:left w:val="none" w:sz="0" w:space="0" w:color="auto"/>
        <w:bottom w:val="none" w:sz="0" w:space="0" w:color="auto"/>
        <w:right w:val="none" w:sz="0" w:space="0" w:color="auto"/>
      </w:divBdr>
    </w:div>
    <w:div w:id="2021275109">
      <w:bodyDiv w:val="1"/>
      <w:marLeft w:val="0"/>
      <w:marRight w:val="0"/>
      <w:marTop w:val="0"/>
      <w:marBottom w:val="0"/>
      <w:divBdr>
        <w:top w:val="none" w:sz="0" w:space="0" w:color="auto"/>
        <w:left w:val="none" w:sz="0" w:space="0" w:color="auto"/>
        <w:bottom w:val="none" w:sz="0" w:space="0" w:color="auto"/>
        <w:right w:val="none" w:sz="0" w:space="0" w:color="auto"/>
      </w:divBdr>
    </w:div>
    <w:div w:id="2088771705">
      <w:bodyDiv w:val="1"/>
      <w:marLeft w:val="0"/>
      <w:marRight w:val="0"/>
      <w:marTop w:val="0"/>
      <w:marBottom w:val="0"/>
      <w:divBdr>
        <w:top w:val="none" w:sz="0" w:space="0" w:color="auto"/>
        <w:left w:val="none" w:sz="0" w:space="0" w:color="auto"/>
        <w:bottom w:val="none" w:sz="0" w:space="0" w:color="auto"/>
        <w:right w:val="none" w:sz="0" w:space="0" w:color="auto"/>
      </w:divBdr>
    </w:div>
    <w:div w:id="2114476769">
      <w:bodyDiv w:val="1"/>
      <w:marLeft w:val="0"/>
      <w:marRight w:val="0"/>
      <w:marTop w:val="0"/>
      <w:marBottom w:val="0"/>
      <w:divBdr>
        <w:top w:val="none" w:sz="0" w:space="0" w:color="auto"/>
        <w:left w:val="none" w:sz="0" w:space="0" w:color="auto"/>
        <w:bottom w:val="none" w:sz="0" w:space="0" w:color="auto"/>
        <w:right w:val="none" w:sz="0" w:space="0" w:color="auto"/>
      </w:divBdr>
    </w:div>
    <w:div w:id="2127189921">
      <w:bodyDiv w:val="1"/>
      <w:marLeft w:val="0"/>
      <w:marRight w:val="0"/>
      <w:marTop w:val="0"/>
      <w:marBottom w:val="0"/>
      <w:divBdr>
        <w:top w:val="none" w:sz="0" w:space="0" w:color="auto"/>
        <w:left w:val="none" w:sz="0" w:space="0" w:color="auto"/>
        <w:bottom w:val="none" w:sz="0" w:space="0" w:color="auto"/>
        <w:right w:val="none" w:sz="0" w:space="0" w:color="auto"/>
      </w:divBdr>
    </w:div>
    <w:div w:id="2136944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09CF5F-722B-4C5E-B97E-AE7411C03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11798</TotalTime>
  <Pages>15</Pages>
  <Words>4966</Words>
  <Characters>28311</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1</cp:revision>
  <dcterms:created xsi:type="dcterms:W3CDTF">2025-07-20T05:47:00Z</dcterms:created>
  <dcterms:modified xsi:type="dcterms:W3CDTF">2025-08-03T14:08:00Z</dcterms:modified>
</cp:coreProperties>
</file>