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568B1" w14:textId="77777777" w:rsidR="00C4483E" w:rsidRPr="00DA2E13" w:rsidRDefault="00C4483E" w:rsidP="00C4483E">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284E2465" w14:textId="77777777" w:rsidR="00C4483E" w:rsidRPr="00DA2E13" w:rsidRDefault="00C4483E" w:rsidP="00C4483E">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0FC997BC" w14:textId="41B25BE1" w:rsidR="00C4483E" w:rsidRPr="00C4483E" w:rsidRDefault="00C4483E" w:rsidP="00C448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483E">
        <w:rPr>
          <w:rFonts w:ascii="Times New Roman" w:hAnsi="Times New Roman" w:cs="Times New Roman"/>
          <w:sz w:val="24"/>
          <w:szCs w:val="24"/>
        </w:rPr>
        <w:t xml:space="preserve">Cash flow risk management is a critical component of financial stability and operational efficiency, particularly within the insurance industry, where the timely availability of liquid funds is essential for meeting claims, operational costs, and investment obligations. The insurance sector, characterized by its inherent exposure to various types of risks—underwriting, market, credit, operational, and liquidity risks—faces unique challenges in managing cash flow effectively. Unlike many other industries, insurers must balance long-term liabilities with short-term liquidity needs, making cash flow risk management a vital discipline to ensure solvency and customer trust. Ineffective management of cash flows can lead to liquidity crises, jeopardizing the company’s ability to </w:t>
      </w:r>
      <w:proofErr w:type="spellStart"/>
      <w:r w:rsidRPr="00C4483E">
        <w:rPr>
          <w:rFonts w:ascii="Times New Roman" w:hAnsi="Times New Roman" w:cs="Times New Roman"/>
          <w:sz w:val="24"/>
          <w:szCs w:val="24"/>
        </w:rPr>
        <w:t>fulfill</w:t>
      </w:r>
      <w:proofErr w:type="spellEnd"/>
      <w:r w:rsidRPr="00C4483E">
        <w:rPr>
          <w:rFonts w:ascii="Times New Roman" w:hAnsi="Times New Roman" w:cs="Times New Roman"/>
          <w:sz w:val="24"/>
          <w:szCs w:val="24"/>
        </w:rPr>
        <w:t xml:space="preserve"> its commitments, which could ultimately result in financial distress or regulatory sanctions.</w:t>
      </w:r>
    </w:p>
    <w:p w14:paraId="43CEBDB2" w14:textId="70100BA5" w:rsidR="00C4483E" w:rsidRPr="00C4483E" w:rsidRDefault="00C4483E" w:rsidP="00C448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483E">
        <w:rPr>
          <w:rFonts w:ascii="Times New Roman" w:hAnsi="Times New Roman" w:cs="Times New Roman"/>
          <w:sz w:val="24"/>
          <w:szCs w:val="24"/>
        </w:rPr>
        <w:t>The dynamic nature of the insurance business, influenced by fluctuating claim patterns, premium inflows, and investment returns, necessitates a robust framework to monitor and control cash flow variability. This is further complicated by external factors such as economic downturns, interest rate volatility, natural disasters, and changing regulatory environments, all of which can significantly impact an insurer’s cash position. Consequently, efficient cash flow risk management practices enable insurance companies to forecast liquidity needs accurately, optimize capital allocation, and maintain operational continuity under adverse conditions.</w:t>
      </w:r>
    </w:p>
    <w:p w14:paraId="6D502A8E" w14:textId="7F69C6ED" w:rsidR="00C4483E" w:rsidRPr="00C4483E" w:rsidRDefault="00C4483E" w:rsidP="00C448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483E">
        <w:rPr>
          <w:rFonts w:ascii="Times New Roman" w:hAnsi="Times New Roman" w:cs="Times New Roman"/>
          <w:sz w:val="24"/>
          <w:szCs w:val="24"/>
        </w:rPr>
        <w:t>This study seeks to examine the impact of cash flow risk management on the performance and resilience of insurance companies. By investigating how insurers identify, measure, and mitigate cash flow risks, the research aims to highlight best practices that contribute to enhanced financial health and competitive advantage. Furthermore, the study explores the relationship between cash flow risk management and key financial indicators such as profitability, solvency, and capital adequacy, providing a comprehensive understanding of how liquidity management affects overall corporate stability.</w:t>
      </w:r>
    </w:p>
    <w:p w14:paraId="377D8212" w14:textId="311A5ABA" w:rsidR="00C4483E" w:rsidRPr="00C4483E" w:rsidRDefault="00C4483E" w:rsidP="00C448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483E">
        <w:rPr>
          <w:rFonts w:ascii="Times New Roman" w:hAnsi="Times New Roman" w:cs="Times New Roman"/>
          <w:sz w:val="24"/>
          <w:szCs w:val="24"/>
        </w:rPr>
        <w:t xml:space="preserve">In recent years, the insurance industry has witnessed significant regulatory reforms focused on improving risk management standards and transparency. Frameworks such as Solvency II in Europe emphasize the importance of liquidity risk as part of the broader enterprise risk management strategy. This regulatory backdrop makes it imperative for insurers to adopt sophisticated cash flow risk models and integrate them with other risk management </w:t>
      </w:r>
      <w:r w:rsidRPr="00C4483E">
        <w:rPr>
          <w:rFonts w:ascii="Times New Roman" w:hAnsi="Times New Roman" w:cs="Times New Roman"/>
          <w:sz w:val="24"/>
          <w:szCs w:val="24"/>
        </w:rPr>
        <w:lastRenderedPageBreak/>
        <w:t>functions. The study will also assess the extent to which regulatory compliance drives improvements in cash flow risk management practices within insurance firms.</w:t>
      </w:r>
    </w:p>
    <w:p w14:paraId="64F3C960" w14:textId="4BC57696" w:rsidR="00C4483E" w:rsidRDefault="00C4483E" w:rsidP="00C448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483E">
        <w:rPr>
          <w:rFonts w:ascii="Times New Roman" w:hAnsi="Times New Roman" w:cs="Times New Roman"/>
          <w:sz w:val="24"/>
          <w:szCs w:val="24"/>
        </w:rPr>
        <w:t>Moreover, advances in technology and data analytics are transforming cash flow forecasting and risk mitigation strategies. The application of predictive analytics, artificial intelligence, and real-time monitoring systems provides insurers with powerful tools to anticipate cash flow fluctuations and respond proactively. The study investigates how technological adoption influences the effectiveness of cash flow risk management and contributes to organizational agility.</w:t>
      </w:r>
    </w:p>
    <w:p w14:paraId="078C9A52" w14:textId="5D79C86F" w:rsidR="00C4483E" w:rsidRPr="00C4483E" w:rsidRDefault="00C4483E" w:rsidP="00C448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483E">
        <w:rPr>
          <w:rFonts w:ascii="Times New Roman" w:hAnsi="Times New Roman" w:cs="Times New Roman"/>
          <w:sz w:val="24"/>
          <w:szCs w:val="24"/>
        </w:rPr>
        <w:t>The findings of this research are expected to benefit multiple stakeholders, including insurance managers, regulators, investors, and policyholders, by offering insights into effective liquidity management strategies. It also aims to contribute to the academic literature by filling gaps related to cash flow risk management’s specific impact on the insurance sector, an area that has received comparatively less focus than other risk types.</w:t>
      </w:r>
    </w:p>
    <w:p w14:paraId="651A7A36" w14:textId="3C39EE3C" w:rsidR="00E75FD5" w:rsidRDefault="00C4483E">
      <w:pPr>
        <w:rPr>
          <w:rFonts w:ascii="Times New Roman" w:hAnsi="Times New Roman" w:cs="Times New Roman"/>
          <w:b/>
          <w:sz w:val="24"/>
          <w:szCs w:val="24"/>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bookmarkEnd w:id="2"/>
      <w:r w:rsidRPr="00C4483E">
        <w:t xml:space="preserve"> </w:t>
      </w:r>
      <w:r w:rsidRPr="00C4483E">
        <w:rPr>
          <w:rFonts w:ascii="Times New Roman" w:hAnsi="Times New Roman" w:cs="Times New Roman"/>
          <w:b/>
          <w:sz w:val="24"/>
          <w:szCs w:val="24"/>
        </w:rPr>
        <w:t>the impact of cash flow risk management in the insurance industry</w:t>
      </w:r>
      <w:r>
        <w:rPr>
          <w:rFonts w:ascii="Times New Roman" w:hAnsi="Times New Roman" w:cs="Times New Roman"/>
          <w:b/>
          <w:sz w:val="24"/>
          <w:szCs w:val="24"/>
        </w:rPr>
        <w:t>?</w:t>
      </w:r>
    </w:p>
    <w:p w14:paraId="67FA5C1C" w14:textId="77777777" w:rsidR="00C4483E" w:rsidRPr="00C4483E" w:rsidRDefault="00C4483E" w:rsidP="00C4483E">
      <w:pPr>
        <w:pStyle w:val="ListParagraph"/>
        <w:numPr>
          <w:ilvl w:val="0"/>
          <w:numId w:val="1"/>
        </w:numPr>
        <w:spacing w:line="360" w:lineRule="auto"/>
        <w:jc w:val="both"/>
        <w:rPr>
          <w:rFonts w:ascii="Times New Roman" w:hAnsi="Times New Roman" w:cs="Times New Roman"/>
          <w:sz w:val="24"/>
          <w:szCs w:val="24"/>
        </w:rPr>
      </w:pPr>
      <w:r w:rsidRPr="00C4483E">
        <w:rPr>
          <w:rFonts w:ascii="Times New Roman" w:hAnsi="Times New Roman" w:cs="Times New Roman"/>
          <w:sz w:val="24"/>
          <w:szCs w:val="24"/>
        </w:rPr>
        <w:t>This study benefits insurance companies by providing them with actionable strategies to improve their cash flow management. Better management leads to enhanced liquidity, reducing the risk of insolvency and ensuring that obligations to policyholders are met promptly.</w:t>
      </w:r>
    </w:p>
    <w:p w14:paraId="0AAC7A90" w14:textId="77777777" w:rsidR="00C4483E" w:rsidRPr="00C4483E" w:rsidRDefault="00C4483E" w:rsidP="00C4483E">
      <w:pPr>
        <w:pStyle w:val="ListParagraph"/>
        <w:numPr>
          <w:ilvl w:val="0"/>
          <w:numId w:val="1"/>
        </w:numPr>
        <w:spacing w:line="360" w:lineRule="auto"/>
        <w:jc w:val="both"/>
        <w:rPr>
          <w:rFonts w:ascii="Times New Roman" w:hAnsi="Times New Roman" w:cs="Times New Roman"/>
          <w:sz w:val="24"/>
          <w:szCs w:val="24"/>
        </w:rPr>
      </w:pPr>
      <w:r w:rsidRPr="00C4483E">
        <w:rPr>
          <w:rFonts w:ascii="Times New Roman" w:hAnsi="Times New Roman" w:cs="Times New Roman"/>
          <w:sz w:val="24"/>
          <w:szCs w:val="24"/>
        </w:rPr>
        <w:t>It aids in strengthening the overall financial stability of the insurance sector by emphasizing the importance of proactive liquidity risk identification and mitigation. This, in turn, helps companies maintain a solid capital base and comply with regulatory standards more effectively.</w:t>
      </w:r>
    </w:p>
    <w:p w14:paraId="15E6985E" w14:textId="77777777" w:rsidR="00C4483E" w:rsidRPr="00C4483E" w:rsidRDefault="00C4483E" w:rsidP="00C4483E">
      <w:pPr>
        <w:pStyle w:val="ListParagraph"/>
        <w:numPr>
          <w:ilvl w:val="0"/>
          <w:numId w:val="1"/>
        </w:numPr>
        <w:spacing w:line="360" w:lineRule="auto"/>
        <w:jc w:val="both"/>
        <w:rPr>
          <w:rFonts w:ascii="Times New Roman" w:hAnsi="Times New Roman" w:cs="Times New Roman"/>
          <w:sz w:val="24"/>
          <w:szCs w:val="24"/>
        </w:rPr>
      </w:pPr>
      <w:r w:rsidRPr="00C4483E">
        <w:rPr>
          <w:rFonts w:ascii="Times New Roman" w:hAnsi="Times New Roman" w:cs="Times New Roman"/>
          <w:sz w:val="24"/>
          <w:szCs w:val="24"/>
        </w:rPr>
        <w:t>For investors and stakeholders, the study offers greater transparency into the insurer’s financial practices, promoting confidence in the company’s ability to manage risks. This can result in improved market reputation and easier access to capital.</w:t>
      </w:r>
    </w:p>
    <w:p w14:paraId="4A700E83" w14:textId="77777777" w:rsidR="00C4483E" w:rsidRPr="00C4483E" w:rsidRDefault="00C4483E" w:rsidP="00C4483E">
      <w:pPr>
        <w:pStyle w:val="ListParagraph"/>
        <w:numPr>
          <w:ilvl w:val="0"/>
          <w:numId w:val="1"/>
        </w:numPr>
        <w:spacing w:line="360" w:lineRule="auto"/>
        <w:jc w:val="both"/>
        <w:rPr>
          <w:rFonts w:ascii="Times New Roman" w:hAnsi="Times New Roman" w:cs="Times New Roman"/>
          <w:sz w:val="24"/>
          <w:szCs w:val="24"/>
        </w:rPr>
      </w:pPr>
      <w:r w:rsidRPr="00C4483E">
        <w:rPr>
          <w:rFonts w:ascii="Times New Roman" w:hAnsi="Times New Roman" w:cs="Times New Roman"/>
          <w:sz w:val="24"/>
          <w:szCs w:val="24"/>
        </w:rPr>
        <w:t>The study also benefits regulators by highlighting gaps and challenges in current cash flow risk management frameworks, allowing for the development of more targeted policies and oversight mechanisms. This supports a more resilient and trustworthy insurance market.</w:t>
      </w:r>
    </w:p>
    <w:p w14:paraId="47E9928D" w14:textId="77777777" w:rsidR="00C4483E" w:rsidRPr="00C4483E" w:rsidRDefault="00C4483E" w:rsidP="00C4483E">
      <w:pPr>
        <w:pStyle w:val="ListParagraph"/>
        <w:numPr>
          <w:ilvl w:val="0"/>
          <w:numId w:val="1"/>
        </w:numPr>
        <w:spacing w:line="360" w:lineRule="auto"/>
        <w:jc w:val="both"/>
        <w:rPr>
          <w:rFonts w:ascii="Times New Roman" w:hAnsi="Times New Roman" w:cs="Times New Roman"/>
          <w:sz w:val="24"/>
          <w:szCs w:val="24"/>
        </w:rPr>
      </w:pPr>
      <w:r w:rsidRPr="00C4483E">
        <w:rPr>
          <w:rFonts w:ascii="Times New Roman" w:hAnsi="Times New Roman" w:cs="Times New Roman"/>
          <w:sz w:val="24"/>
          <w:szCs w:val="24"/>
        </w:rPr>
        <w:t xml:space="preserve">Finally, the research encourages technological integration within insurance firms, showcasing how tools like predictive analytics and real-time monitoring can transform cash </w:t>
      </w:r>
      <w:r w:rsidRPr="00C4483E">
        <w:rPr>
          <w:rFonts w:ascii="Times New Roman" w:hAnsi="Times New Roman" w:cs="Times New Roman"/>
          <w:sz w:val="24"/>
          <w:szCs w:val="24"/>
        </w:rPr>
        <w:lastRenderedPageBreak/>
        <w:t>flow management. This fosters innovation, enabling firms to better anticipate liquidity needs and adapt swiftly to market changes.</w:t>
      </w:r>
    </w:p>
    <w:p w14:paraId="0BBF56B8" w14:textId="2B93A150" w:rsidR="00C4483E" w:rsidRPr="00C4483E" w:rsidRDefault="00C4483E" w:rsidP="00C4483E">
      <w:pPr>
        <w:rPr>
          <w:rFonts w:ascii="Times New Roman" w:hAnsi="Times New Roman" w:cs="Times New Roman"/>
          <w:b/>
          <w:sz w:val="24"/>
          <w:szCs w:val="24"/>
        </w:rPr>
      </w:pPr>
      <w:r w:rsidRPr="00C4483E">
        <w:rPr>
          <w:rFonts w:ascii="Times New Roman" w:hAnsi="Times New Roman" w:cs="Times New Roman"/>
          <w:b/>
          <w:sz w:val="24"/>
          <w:szCs w:val="24"/>
        </w:rPr>
        <w:t>The impact of cash flow risk management in the insurance industry</w:t>
      </w:r>
      <w:r>
        <w:rPr>
          <w:rFonts w:ascii="Times New Roman" w:hAnsi="Times New Roman" w:cs="Times New Roman"/>
          <w:b/>
          <w:sz w:val="24"/>
          <w:szCs w:val="24"/>
        </w:rPr>
        <w:t xml:space="preserve"> </w:t>
      </w:r>
      <w:bookmarkStart w:id="3" w:name="_Hlk203251120"/>
      <w:r w:rsidRPr="00850A93">
        <w:rPr>
          <w:rFonts w:ascii="Times New Roman" w:hAnsi="Times New Roman" w:cs="Times New Roman"/>
          <w:b/>
          <w:sz w:val="24"/>
          <w:szCs w:val="24"/>
        </w:rPr>
        <w:t>advantages</w:t>
      </w:r>
      <w:bookmarkEnd w:id="3"/>
    </w:p>
    <w:p w14:paraId="6282D33D" w14:textId="77777777" w:rsidR="00C4483E" w:rsidRPr="00C4483E" w:rsidRDefault="00C4483E" w:rsidP="00C4483E">
      <w:pPr>
        <w:pStyle w:val="ListParagraph"/>
        <w:numPr>
          <w:ilvl w:val="0"/>
          <w:numId w:val="2"/>
        </w:numPr>
        <w:spacing w:line="360" w:lineRule="auto"/>
        <w:jc w:val="both"/>
        <w:rPr>
          <w:rFonts w:ascii="Times New Roman" w:hAnsi="Times New Roman" w:cs="Times New Roman"/>
          <w:sz w:val="24"/>
          <w:szCs w:val="24"/>
        </w:rPr>
      </w:pPr>
      <w:r w:rsidRPr="00C4483E">
        <w:rPr>
          <w:rFonts w:ascii="Times New Roman" w:hAnsi="Times New Roman" w:cs="Times New Roman"/>
          <w:sz w:val="24"/>
          <w:szCs w:val="24"/>
        </w:rPr>
        <w:t xml:space="preserve">This study provides insurance companies with valuable insights into how effective cash flow risk management can enhance their liquidity and ensure timely </w:t>
      </w:r>
      <w:proofErr w:type="spellStart"/>
      <w:r w:rsidRPr="00C4483E">
        <w:rPr>
          <w:rFonts w:ascii="Times New Roman" w:hAnsi="Times New Roman" w:cs="Times New Roman"/>
          <w:sz w:val="24"/>
          <w:szCs w:val="24"/>
        </w:rPr>
        <w:t>fulfillment</w:t>
      </w:r>
      <w:proofErr w:type="spellEnd"/>
      <w:r w:rsidRPr="00C4483E">
        <w:rPr>
          <w:rFonts w:ascii="Times New Roman" w:hAnsi="Times New Roman" w:cs="Times New Roman"/>
          <w:sz w:val="24"/>
          <w:szCs w:val="24"/>
        </w:rPr>
        <w:t xml:space="preserve"> of claims. By understanding these mechanisms, firms can reduce the likelihood of liquidity crises that could damage their reputation and operational stability.</w:t>
      </w:r>
    </w:p>
    <w:p w14:paraId="4FEEB063" w14:textId="77777777" w:rsidR="00C4483E" w:rsidRPr="00C4483E" w:rsidRDefault="00C4483E" w:rsidP="00C4483E">
      <w:pPr>
        <w:pStyle w:val="ListParagraph"/>
        <w:numPr>
          <w:ilvl w:val="0"/>
          <w:numId w:val="2"/>
        </w:numPr>
        <w:spacing w:line="360" w:lineRule="auto"/>
        <w:jc w:val="both"/>
        <w:rPr>
          <w:rFonts w:ascii="Times New Roman" w:hAnsi="Times New Roman" w:cs="Times New Roman"/>
          <w:sz w:val="24"/>
          <w:szCs w:val="24"/>
        </w:rPr>
      </w:pPr>
      <w:r w:rsidRPr="00C4483E">
        <w:rPr>
          <w:rFonts w:ascii="Times New Roman" w:hAnsi="Times New Roman" w:cs="Times New Roman"/>
          <w:sz w:val="24"/>
          <w:szCs w:val="24"/>
        </w:rPr>
        <w:t>It also helps regulators and policymakers recognize the importance of stringent cash flow management practices in maintaining the overall health of the insurance sector. This awareness can lead to better regulatory frameworks that promote transparency and financial resilience across the industry.</w:t>
      </w:r>
    </w:p>
    <w:p w14:paraId="12F1AF04" w14:textId="77777777" w:rsidR="00C4483E" w:rsidRPr="00C4483E" w:rsidRDefault="00C4483E" w:rsidP="00C4483E">
      <w:pPr>
        <w:pStyle w:val="ListParagraph"/>
        <w:numPr>
          <w:ilvl w:val="0"/>
          <w:numId w:val="2"/>
        </w:numPr>
        <w:spacing w:line="360" w:lineRule="auto"/>
        <w:jc w:val="both"/>
        <w:rPr>
          <w:rFonts w:ascii="Times New Roman" w:hAnsi="Times New Roman" w:cs="Times New Roman"/>
          <w:sz w:val="24"/>
          <w:szCs w:val="24"/>
        </w:rPr>
      </w:pPr>
      <w:r w:rsidRPr="00C4483E">
        <w:rPr>
          <w:rFonts w:ascii="Times New Roman" w:hAnsi="Times New Roman" w:cs="Times New Roman"/>
          <w:sz w:val="24"/>
          <w:szCs w:val="24"/>
        </w:rPr>
        <w:t>The research offers investors and stakeholders a clearer picture of an insurer’s financial stability by linking cash flow management practices to key performance indicators. This knowledge supports more informed investment decisions and fosters confidence in the company’s long-term viability.</w:t>
      </w:r>
    </w:p>
    <w:p w14:paraId="5CD3F941" w14:textId="77777777" w:rsidR="00C4483E" w:rsidRPr="00C4483E" w:rsidRDefault="00C4483E" w:rsidP="00C4483E">
      <w:pPr>
        <w:pStyle w:val="ListParagraph"/>
        <w:numPr>
          <w:ilvl w:val="0"/>
          <w:numId w:val="2"/>
        </w:numPr>
        <w:spacing w:line="360" w:lineRule="auto"/>
        <w:jc w:val="both"/>
        <w:rPr>
          <w:rFonts w:ascii="Times New Roman" w:hAnsi="Times New Roman" w:cs="Times New Roman"/>
          <w:sz w:val="24"/>
          <w:szCs w:val="24"/>
        </w:rPr>
      </w:pPr>
      <w:r w:rsidRPr="00C4483E">
        <w:rPr>
          <w:rFonts w:ascii="Times New Roman" w:hAnsi="Times New Roman" w:cs="Times New Roman"/>
          <w:sz w:val="24"/>
          <w:szCs w:val="24"/>
        </w:rPr>
        <w:t>By highlighting technological advancements in cash flow forecasting and monitoring, the study encourages insurance firms to adopt innovative tools. Such adoption can improve accuracy in liquidity predictions, allowing organizations to react swiftly to market fluctuations and operational demands.</w:t>
      </w:r>
    </w:p>
    <w:p w14:paraId="4B0E136C" w14:textId="77777777" w:rsidR="00C4483E" w:rsidRDefault="00C4483E" w:rsidP="00C4483E">
      <w:pPr>
        <w:pStyle w:val="ListParagraph"/>
        <w:numPr>
          <w:ilvl w:val="0"/>
          <w:numId w:val="2"/>
        </w:numPr>
        <w:spacing w:line="360" w:lineRule="auto"/>
        <w:jc w:val="both"/>
        <w:rPr>
          <w:rFonts w:ascii="Times New Roman" w:hAnsi="Times New Roman" w:cs="Times New Roman"/>
          <w:sz w:val="24"/>
          <w:szCs w:val="24"/>
        </w:rPr>
      </w:pPr>
      <w:r w:rsidRPr="00C4483E">
        <w:rPr>
          <w:rFonts w:ascii="Times New Roman" w:hAnsi="Times New Roman" w:cs="Times New Roman"/>
          <w:sz w:val="24"/>
          <w:szCs w:val="24"/>
        </w:rPr>
        <w:t>Finally, this study contributes to academic literature by filling a knowledge gap related to cash flow risk in insurance, a subject often overshadowed by other risk types. It lays a foundation for future research and practical applications aimed at strengthening liquidity management in this critical sector.</w:t>
      </w:r>
    </w:p>
    <w:p w14:paraId="37EAD984" w14:textId="77777777" w:rsidR="005A788D" w:rsidRDefault="005A788D" w:rsidP="005A788D">
      <w:pPr>
        <w:spacing w:line="360" w:lineRule="auto"/>
        <w:jc w:val="both"/>
        <w:rPr>
          <w:rFonts w:ascii="Times New Roman" w:hAnsi="Times New Roman" w:cs="Times New Roman"/>
          <w:sz w:val="24"/>
          <w:szCs w:val="24"/>
        </w:rPr>
      </w:pPr>
    </w:p>
    <w:p w14:paraId="18C125FD" w14:textId="77777777" w:rsidR="005A788D" w:rsidRDefault="005A788D" w:rsidP="005A788D">
      <w:pPr>
        <w:spacing w:line="360" w:lineRule="auto"/>
        <w:jc w:val="both"/>
        <w:rPr>
          <w:rFonts w:ascii="Times New Roman" w:hAnsi="Times New Roman" w:cs="Times New Roman"/>
          <w:sz w:val="24"/>
          <w:szCs w:val="24"/>
        </w:rPr>
      </w:pPr>
    </w:p>
    <w:p w14:paraId="24112EA3" w14:textId="77777777" w:rsidR="005A788D" w:rsidRDefault="005A788D" w:rsidP="005A788D">
      <w:pPr>
        <w:spacing w:line="360" w:lineRule="auto"/>
        <w:jc w:val="both"/>
        <w:rPr>
          <w:rFonts w:ascii="Times New Roman" w:hAnsi="Times New Roman" w:cs="Times New Roman"/>
          <w:sz w:val="24"/>
          <w:szCs w:val="24"/>
        </w:rPr>
      </w:pPr>
    </w:p>
    <w:p w14:paraId="4FDF330E" w14:textId="77777777" w:rsidR="005A788D" w:rsidRDefault="005A788D" w:rsidP="005A788D">
      <w:pPr>
        <w:spacing w:line="360" w:lineRule="auto"/>
        <w:jc w:val="both"/>
        <w:rPr>
          <w:rFonts w:ascii="Times New Roman" w:hAnsi="Times New Roman" w:cs="Times New Roman"/>
          <w:sz w:val="24"/>
          <w:szCs w:val="24"/>
        </w:rPr>
      </w:pPr>
    </w:p>
    <w:p w14:paraId="33594BCE" w14:textId="77777777" w:rsidR="005A788D" w:rsidRDefault="005A788D" w:rsidP="005A788D">
      <w:pPr>
        <w:spacing w:line="360" w:lineRule="auto"/>
        <w:jc w:val="both"/>
        <w:rPr>
          <w:rFonts w:ascii="Times New Roman" w:hAnsi="Times New Roman" w:cs="Times New Roman"/>
          <w:sz w:val="24"/>
          <w:szCs w:val="24"/>
        </w:rPr>
      </w:pPr>
    </w:p>
    <w:p w14:paraId="28F3439C" w14:textId="77777777" w:rsidR="005A788D" w:rsidRDefault="005A788D" w:rsidP="005A788D">
      <w:pPr>
        <w:spacing w:line="360" w:lineRule="auto"/>
        <w:jc w:val="both"/>
        <w:rPr>
          <w:rFonts w:ascii="Times New Roman" w:hAnsi="Times New Roman" w:cs="Times New Roman"/>
          <w:sz w:val="24"/>
          <w:szCs w:val="24"/>
        </w:rPr>
      </w:pPr>
    </w:p>
    <w:p w14:paraId="10B8CA2B" w14:textId="77777777" w:rsidR="005A788D" w:rsidRDefault="005A788D" w:rsidP="005A788D">
      <w:pPr>
        <w:spacing w:line="360" w:lineRule="auto"/>
        <w:jc w:val="both"/>
        <w:rPr>
          <w:rFonts w:ascii="Times New Roman" w:hAnsi="Times New Roman" w:cs="Times New Roman"/>
          <w:sz w:val="24"/>
          <w:szCs w:val="24"/>
        </w:rPr>
      </w:pPr>
    </w:p>
    <w:p w14:paraId="0B8AE977" w14:textId="1D525EB8" w:rsidR="005A788D" w:rsidRPr="00AF055E" w:rsidRDefault="00AF055E" w:rsidP="005A788D">
      <w:pPr>
        <w:spacing w:line="360" w:lineRule="auto"/>
        <w:jc w:val="both"/>
        <w:rPr>
          <w:rFonts w:ascii="Times New Roman" w:hAnsi="Times New Roman" w:cs="Times New Roman"/>
          <w:b/>
          <w:sz w:val="24"/>
          <w:szCs w:val="24"/>
        </w:rPr>
      </w:pPr>
      <w:bookmarkStart w:id="4" w:name="_Hlk202098488"/>
      <w:r w:rsidRPr="004510ED">
        <w:rPr>
          <w:rFonts w:ascii="Times New Roman" w:hAnsi="Times New Roman" w:cs="Times New Roman"/>
          <w:b/>
          <w:sz w:val="24"/>
          <w:szCs w:val="24"/>
        </w:rPr>
        <w:lastRenderedPageBreak/>
        <w:t>INDUSTRY PROFILE</w:t>
      </w:r>
      <w:bookmarkEnd w:id="4"/>
    </w:p>
    <w:p w14:paraId="1E833BA5" w14:textId="7494F816" w:rsidR="00AF055E" w:rsidRPr="00AF055E" w:rsidRDefault="00AF055E" w:rsidP="00AF05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055E">
        <w:rPr>
          <w:rFonts w:ascii="Times New Roman" w:hAnsi="Times New Roman" w:cs="Times New Roman"/>
          <w:sz w:val="24"/>
          <w:szCs w:val="24"/>
        </w:rPr>
        <w:t>The insurance industry is a crucial pillar of the global financial system, providing individuals, businesses, and governments with protection against a broad spectrum of risks including life, health, property, casualty, and liability. The industry contributes significantly to economic stability and growth by offering financial security, encouraging investment, and facilitating commerce. Globally, it comprises a variety of institutions such as life insurance companies, general insurance firms, reinsurance providers, and specialized insurers. Its operations are heavily regulated due to the essential services it provides and the financial responsibilities it bears. One of the most distinctive features of the insurance business model is its cash flow structure, where premiums are collected in advance, while claims and benefits are paid at a later, often uncertain, date. This creates a temporal gap between income and expenditure, making the management of cash flow risk a central concern for insurers.</w:t>
      </w:r>
    </w:p>
    <w:p w14:paraId="2B93DA52" w14:textId="038DC571" w:rsidR="00AF055E" w:rsidRPr="00AF055E" w:rsidRDefault="00AF055E" w:rsidP="00AF05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055E">
        <w:rPr>
          <w:rFonts w:ascii="Times New Roman" w:hAnsi="Times New Roman" w:cs="Times New Roman"/>
          <w:sz w:val="24"/>
          <w:szCs w:val="24"/>
        </w:rPr>
        <w:t xml:space="preserve">Cash flow risk refers to the uncertainty regarding the timing and magnitude of a company’s cash inflows and outflows. In the insurance industry, such risks can arise from various sources including fluctuating claim volumes, natural disasters, economic downturns, poor underwriting results, policyholder </w:t>
      </w:r>
      <w:proofErr w:type="spellStart"/>
      <w:r w:rsidRPr="00AF055E">
        <w:rPr>
          <w:rFonts w:ascii="Times New Roman" w:hAnsi="Times New Roman" w:cs="Times New Roman"/>
          <w:sz w:val="24"/>
          <w:szCs w:val="24"/>
        </w:rPr>
        <w:t>behavior</w:t>
      </w:r>
      <w:proofErr w:type="spellEnd"/>
      <w:r w:rsidRPr="00AF055E">
        <w:rPr>
          <w:rFonts w:ascii="Times New Roman" w:hAnsi="Times New Roman" w:cs="Times New Roman"/>
          <w:sz w:val="24"/>
          <w:szCs w:val="24"/>
        </w:rPr>
        <w:t>, and volatile investment returns. For example, a sudden spike in claims due to a catastrophic event such as a hurricane or earthquake can lead to immediate and substantial cash outflows, while incoming premium payments remain relatively stable or even decline. Similarly, in a low-interest-rate environment, insurers may face declining investment income, further straining their cash reserves. Inadequate management of these risks can result in liquidity crises, reduced ability to pay claims promptly, regulatory penalties, and long-term reputational damage.</w:t>
      </w:r>
    </w:p>
    <w:p w14:paraId="622B4A2A" w14:textId="0C5EC769" w:rsidR="00AF055E" w:rsidRPr="00AF055E" w:rsidRDefault="00AF055E" w:rsidP="00AF05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055E">
        <w:rPr>
          <w:rFonts w:ascii="Times New Roman" w:hAnsi="Times New Roman" w:cs="Times New Roman"/>
          <w:sz w:val="24"/>
          <w:szCs w:val="24"/>
        </w:rPr>
        <w:t>Effective cash flow risk management is therefore vital for the financial health and operational resilience of insurance companies. It involves forecasting future cash needs, identifying potential sources of variability, and developing strategies to maintain adequate liquidity under both normal and stressed conditions. Common techniques include stress testing, scenario analysis, liquidity contingency planning, and the use of reinsurance to transfer or share risks. Insurers also rely on asset-liability matching strategies to align the timing of investment returns with expected claims payouts. Moreover, regulatory frameworks such as Solvency II in Europe and Risk-Based Capital (RBC) requirements in other regions have increasingly emphasized the importance of liquidity and cash flow risk management, compelling insurers to enhance their internal controls and risk assessment processes.</w:t>
      </w:r>
    </w:p>
    <w:p w14:paraId="5739810F" w14:textId="77777777" w:rsidR="00AF055E" w:rsidRDefault="00AF055E" w:rsidP="00AF055E">
      <w:pPr>
        <w:rPr>
          <w:rFonts w:ascii="Times New Roman" w:hAnsi="Times New Roman" w:cs="Times New Roman"/>
          <w:b/>
          <w:sz w:val="24"/>
          <w:szCs w:val="24"/>
          <w:lang w:val="en-US"/>
        </w:rPr>
      </w:pPr>
      <w:bookmarkStart w:id="5" w:name="_Hlk203251571"/>
      <w:r w:rsidRPr="00AD7255">
        <w:rPr>
          <w:rFonts w:ascii="Times New Roman" w:hAnsi="Times New Roman" w:cs="Times New Roman"/>
          <w:b/>
          <w:sz w:val="24"/>
          <w:szCs w:val="24"/>
          <w:lang w:val="en-US"/>
        </w:rPr>
        <w:lastRenderedPageBreak/>
        <w:t>1.4 STATEMENT OF THE PROBLEM</w:t>
      </w:r>
    </w:p>
    <w:bookmarkEnd w:id="5"/>
    <w:p w14:paraId="083718C6" w14:textId="77777777" w:rsidR="00AF055E" w:rsidRDefault="00AF055E" w:rsidP="00AF05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055E">
        <w:rPr>
          <w:rFonts w:ascii="Times New Roman" w:hAnsi="Times New Roman" w:cs="Times New Roman"/>
          <w:sz w:val="24"/>
          <w:szCs w:val="24"/>
        </w:rPr>
        <w:t xml:space="preserve">The insurance industry operates within a unique financial structure where premiums are collected in advance while claims and benefits are often paid out much later. This creates an inherent mismatch in the timing of cash inflows and outflows, exposing insurers to significant cash flow risk. In recent years, increasing economic volatility, unpredictable catastrophic events, fluctuating interest rates, and evolving regulatory frameworks have intensified the challenges associated with maintaining stable and adequate liquidity. </w:t>
      </w:r>
    </w:p>
    <w:p w14:paraId="3A7B8C4B" w14:textId="77777777" w:rsidR="00AF055E" w:rsidRDefault="00AF055E" w:rsidP="00AF05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055E">
        <w:rPr>
          <w:rFonts w:ascii="Times New Roman" w:hAnsi="Times New Roman" w:cs="Times New Roman"/>
          <w:sz w:val="24"/>
          <w:szCs w:val="24"/>
        </w:rPr>
        <w:t xml:space="preserve">Despite the crucial role of cash flow risk management in ensuring the financial sustainability of insurance firms, many companies continue to experience difficulties in accurately forecasting cash needs, managing unexpected claim surges, and aligning investment strategies with liability profiles. Ineffective cash flow risk management can lead to liquidity crises, delayed claim settlements, regulatory non-compliance, and ultimately, loss of policyholder trust. </w:t>
      </w:r>
    </w:p>
    <w:p w14:paraId="7685ED29" w14:textId="2AAB39B7" w:rsidR="00C4483E" w:rsidRDefault="00AF055E" w:rsidP="00AF05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055E">
        <w:rPr>
          <w:rFonts w:ascii="Times New Roman" w:hAnsi="Times New Roman" w:cs="Times New Roman"/>
          <w:sz w:val="24"/>
          <w:szCs w:val="24"/>
        </w:rPr>
        <w:t>This study seeks to explore the extent to which cash flow risk management practices influence the financial performance, stability, and operational efficiency of insurance companies, and to identify the key challenges and strategies involved in mitigating these risks within the industry.</w:t>
      </w:r>
    </w:p>
    <w:p w14:paraId="323FD325" w14:textId="77777777" w:rsidR="00AF055E" w:rsidRDefault="00AF055E" w:rsidP="00AF055E">
      <w:pPr>
        <w:spacing w:line="360" w:lineRule="auto"/>
        <w:jc w:val="both"/>
        <w:rPr>
          <w:rFonts w:ascii="Times New Roman" w:hAnsi="Times New Roman" w:cs="Times New Roman"/>
          <w:b/>
          <w:bCs/>
          <w:sz w:val="24"/>
          <w:szCs w:val="24"/>
        </w:rPr>
      </w:pPr>
      <w:bookmarkStart w:id="6" w:name="_Hlk202098728"/>
      <w:r w:rsidRPr="00AD7255">
        <w:rPr>
          <w:rFonts w:ascii="Times New Roman" w:hAnsi="Times New Roman" w:cs="Times New Roman"/>
          <w:b/>
          <w:bCs/>
          <w:sz w:val="24"/>
          <w:szCs w:val="24"/>
        </w:rPr>
        <w:t>1.5 OBJECTIVES OF THE STUDY</w:t>
      </w:r>
      <w:bookmarkEnd w:id="6"/>
    </w:p>
    <w:p w14:paraId="3338B2E6" w14:textId="2B78624E" w:rsidR="00AF055E" w:rsidRPr="00AF055E" w:rsidRDefault="00AF055E" w:rsidP="00AF055E">
      <w:pPr>
        <w:pStyle w:val="ListParagraph"/>
        <w:numPr>
          <w:ilvl w:val="0"/>
          <w:numId w:val="2"/>
        </w:numPr>
        <w:spacing w:line="360" w:lineRule="auto"/>
        <w:jc w:val="both"/>
        <w:rPr>
          <w:rFonts w:ascii="Times New Roman" w:hAnsi="Times New Roman" w:cs="Times New Roman"/>
          <w:sz w:val="24"/>
          <w:szCs w:val="24"/>
        </w:rPr>
      </w:pPr>
      <w:r w:rsidRPr="00AF055E">
        <w:rPr>
          <w:rFonts w:ascii="Times New Roman" w:hAnsi="Times New Roman" w:cs="Times New Roman"/>
          <w:sz w:val="24"/>
          <w:szCs w:val="24"/>
        </w:rPr>
        <w:t>To examine the role of cash flow risk management in the financial performance of insurance companies.</w:t>
      </w:r>
    </w:p>
    <w:p w14:paraId="2133EF68" w14:textId="5B1A7895" w:rsidR="00AF055E" w:rsidRPr="00AF055E" w:rsidRDefault="00AF055E" w:rsidP="00AF055E">
      <w:pPr>
        <w:pStyle w:val="ListParagraph"/>
        <w:numPr>
          <w:ilvl w:val="0"/>
          <w:numId w:val="2"/>
        </w:numPr>
        <w:spacing w:line="360" w:lineRule="auto"/>
        <w:jc w:val="both"/>
        <w:rPr>
          <w:rFonts w:ascii="Times New Roman" w:hAnsi="Times New Roman" w:cs="Times New Roman"/>
          <w:sz w:val="24"/>
          <w:szCs w:val="24"/>
        </w:rPr>
      </w:pPr>
      <w:r w:rsidRPr="00AF055E">
        <w:rPr>
          <w:rFonts w:ascii="Times New Roman" w:hAnsi="Times New Roman" w:cs="Times New Roman"/>
          <w:sz w:val="24"/>
          <w:szCs w:val="24"/>
        </w:rPr>
        <w:t>To assess the impact of cash flow fluctuations on the operational stability of insurers.</w:t>
      </w:r>
    </w:p>
    <w:p w14:paraId="6074380E" w14:textId="0E90889C" w:rsidR="00AF055E" w:rsidRPr="00AF055E" w:rsidRDefault="00AF055E" w:rsidP="00AF055E">
      <w:pPr>
        <w:pStyle w:val="ListParagraph"/>
        <w:numPr>
          <w:ilvl w:val="0"/>
          <w:numId w:val="2"/>
        </w:numPr>
        <w:spacing w:line="360" w:lineRule="auto"/>
        <w:jc w:val="both"/>
        <w:rPr>
          <w:rFonts w:ascii="Times New Roman" w:hAnsi="Times New Roman" w:cs="Times New Roman"/>
          <w:sz w:val="24"/>
          <w:szCs w:val="24"/>
        </w:rPr>
      </w:pPr>
      <w:r w:rsidRPr="00AF055E">
        <w:rPr>
          <w:rFonts w:ascii="Times New Roman" w:hAnsi="Times New Roman" w:cs="Times New Roman"/>
          <w:sz w:val="24"/>
          <w:szCs w:val="24"/>
        </w:rPr>
        <w:t>To identify the key challenges faced by insurance firms in managing cash flow risks.</w:t>
      </w:r>
    </w:p>
    <w:p w14:paraId="659751AB" w14:textId="1C53A0B3" w:rsidR="00AF055E" w:rsidRPr="00AF055E" w:rsidRDefault="00AF055E" w:rsidP="00AF055E">
      <w:pPr>
        <w:pStyle w:val="ListParagraph"/>
        <w:numPr>
          <w:ilvl w:val="0"/>
          <w:numId w:val="2"/>
        </w:numPr>
        <w:spacing w:line="360" w:lineRule="auto"/>
        <w:jc w:val="both"/>
        <w:rPr>
          <w:rFonts w:ascii="Times New Roman" w:hAnsi="Times New Roman" w:cs="Times New Roman"/>
          <w:sz w:val="24"/>
          <w:szCs w:val="24"/>
        </w:rPr>
      </w:pPr>
      <w:r w:rsidRPr="00AF055E">
        <w:rPr>
          <w:rFonts w:ascii="Times New Roman" w:hAnsi="Times New Roman" w:cs="Times New Roman"/>
          <w:sz w:val="24"/>
          <w:szCs w:val="24"/>
        </w:rPr>
        <w:t>To evaluate the effectiveness of current cash flow risk management strategies in the industry.</w:t>
      </w:r>
    </w:p>
    <w:p w14:paraId="7924EC21" w14:textId="5FF8836B" w:rsidR="00AF055E" w:rsidRPr="00AF055E" w:rsidRDefault="00AF055E" w:rsidP="00AF055E">
      <w:pPr>
        <w:pStyle w:val="ListParagraph"/>
        <w:numPr>
          <w:ilvl w:val="0"/>
          <w:numId w:val="2"/>
        </w:numPr>
        <w:spacing w:line="360" w:lineRule="auto"/>
        <w:jc w:val="both"/>
        <w:rPr>
          <w:rFonts w:ascii="Times New Roman" w:hAnsi="Times New Roman" w:cs="Times New Roman"/>
          <w:sz w:val="24"/>
          <w:szCs w:val="24"/>
        </w:rPr>
      </w:pPr>
      <w:r w:rsidRPr="00AF055E">
        <w:rPr>
          <w:rFonts w:ascii="Times New Roman" w:hAnsi="Times New Roman" w:cs="Times New Roman"/>
          <w:sz w:val="24"/>
          <w:szCs w:val="24"/>
        </w:rPr>
        <w:t xml:space="preserve">To </w:t>
      </w:r>
      <w:proofErr w:type="spellStart"/>
      <w:r w:rsidRPr="00AF055E">
        <w:rPr>
          <w:rFonts w:ascii="Times New Roman" w:hAnsi="Times New Roman" w:cs="Times New Roman"/>
          <w:sz w:val="24"/>
          <w:szCs w:val="24"/>
        </w:rPr>
        <w:t>analyze</w:t>
      </w:r>
      <w:proofErr w:type="spellEnd"/>
      <w:r w:rsidRPr="00AF055E">
        <w:rPr>
          <w:rFonts w:ascii="Times New Roman" w:hAnsi="Times New Roman" w:cs="Times New Roman"/>
          <w:sz w:val="24"/>
          <w:szCs w:val="24"/>
        </w:rPr>
        <w:t xml:space="preserve"> the relationship between cash flow management and timely claims settlement.</w:t>
      </w:r>
    </w:p>
    <w:p w14:paraId="1883941E" w14:textId="46644899" w:rsidR="00AF055E" w:rsidRPr="00AF055E" w:rsidRDefault="00AF055E" w:rsidP="00AF055E">
      <w:pPr>
        <w:pStyle w:val="ListParagraph"/>
        <w:numPr>
          <w:ilvl w:val="0"/>
          <w:numId w:val="2"/>
        </w:numPr>
        <w:spacing w:line="360" w:lineRule="auto"/>
        <w:jc w:val="both"/>
        <w:rPr>
          <w:rFonts w:ascii="Times New Roman" w:hAnsi="Times New Roman" w:cs="Times New Roman"/>
          <w:sz w:val="24"/>
          <w:szCs w:val="24"/>
        </w:rPr>
      </w:pPr>
      <w:r w:rsidRPr="00AF055E">
        <w:rPr>
          <w:rFonts w:ascii="Times New Roman" w:hAnsi="Times New Roman" w:cs="Times New Roman"/>
          <w:sz w:val="24"/>
          <w:szCs w:val="24"/>
        </w:rPr>
        <w:t>To explore the role of regulatory frameworks in shaping cash flow risk management practices.</w:t>
      </w:r>
    </w:p>
    <w:p w14:paraId="0AD60C8E" w14:textId="0F680BF6" w:rsidR="00AF055E" w:rsidRPr="00AF055E" w:rsidRDefault="00AF055E" w:rsidP="00AF055E">
      <w:pPr>
        <w:pStyle w:val="ListParagraph"/>
        <w:numPr>
          <w:ilvl w:val="0"/>
          <w:numId w:val="2"/>
        </w:numPr>
        <w:spacing w:line="360" w:lineRule="auto"/>
        <w:jc w:val="both"/>
        <w:rPr>
          <w:rFonts w:ascii="Times New Roman" w:hAnsi="Times New Roman" w:cs="Times New Roman"/>
          <w:sz w:val="24"/>
          <w:szCs w:val="24"/>
        </w:rPr>
      </w:pPr>
      <w:r w:rsidRPr="00AF055E">
        <w:rPr>
          <w:rFonts w:ascii="Times New Roman" w:hAnsi="Times New Roman" w:cs="Times New Roman"/>
          <w:sz w:val="24"/>
          <w:szCs w:val="24"/>
        </w:rPr>
        <w:t>To determine the influence of investment performance on insurance cash flow stability.</w:t>
      </w:r>
    </w:p>
    <w:p w14:paraId="61110813" w14:textId="77777777" w:rsidR="00AF055E" w:rsidRDefault="00AF055E" w:rsidP="00AF055E">
      <w:pPr>
        <w:spacing w:line="360" w:lineRule="auto"/>
        <w:jc w:val="both"/>
        <w:rPr>
          <w:rFonts w:ascii="Times New Roman" w:hAnsi="Times New Roman" w:cs="Times New Roman"/>
          <w:sz w:val="24"/>
          <w:szCs w:val="24"/>
        </w:rPr>
      </w:pPr>
    </w:p>
    <w:p w14:paraId="20CCD749" w14:textId="77777777" w:rsidR="00AF055E" w:rsidRDefault="00AF055E" w:rsidP="00AF055E">
      <w:pPr>
        <w:spacing w:line="360" w:lineRule="auto"/>
        <w:jc w:val="both"/>
        <w:rPr>
          <w:rFonts w:ascii="Times New Roman" w:hAnsi="Times New Roman" w:cs="Times New Roman"/>
          <w:sz w:val="24"/>
          <w:szCs w:val="24"/>
        </w:rPr>
      </w:pPr>
    </w:p>
    <w:p w14:paraId="1E3D1EFD" w14:textId="77777777" w:rsidR="00AF055E" w:rsidRDefault="00AF055E" w:rsidP="00AF055E">
      <w:pPr>
        <w:spacing w:line="360" w:lineRule="auto"/>
        <w:jc w:val="both"/>
        <w:rPr>
          <w:rFonts w:ascii="Times New Roman" w:hAnsi="Times New Roman" w:cs="Times New Roman"/>
          <w:b/>
          <w:bCs/>
          <w:sz w:val="24"/>
          <w:szCs w:val="24"/>
          <w:lang w:val="en-US"/>
        </w:rPr>
      </w:pPr>
      <w:r w:rsidRPr="00C74137">
        <w:rPr>
          <w:rFonts w:ascii="Times New Roman" w:hAnsi="Times New Roman" w:cs="Times New Roman"/>
          <w:b/>
          <w:bCs/>
          <w:sz w:val="24"/>
          <w:szCs w:val="24"/>
          <w:lang w:val="en-US"/>
        </w:rPr>
        <w:lastRenderedPageBreak/>
        <w:t>1.6 SCOPE OF THE STUDY</w:t>
      </w:r>
    </w:p>
    <w:p w14:paraId="6053B0D5" w14:textId="0EF1AFCB" w:rsidR="00AF055E" w:rsidRPr="00AF055E" w:rsidRDefault="00AF055E" w:rsidP="00AF05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055E">
        <w:rPr>
          <w:rFonts w:ascii="Times New Roman" w:hAnsi="Times New Roman" w:cs="Times New Roman"/>
          <w:sz w:val="24"/>
          <w:szCs w:val="24"/>
        </w:rPr>
        <w:t xml:space="preserve">This study focuses on exploring the impact of cash flow risk management within the insurance industry, with specific emphasis on how it influences financial performance, operational stability, and risk mitigation strategies. It is designed to investigate both life and non-life insurance companies, examining the different cash flow patterns and challenges unique to each sector. The study will cover the internal practices adopted by insurance firms to forecast, monitor, and manage cash flows, as well as the external factors—such as market volatility, regulatory changes, and natural catastrophes—that contribute to cash flow uncertainty. It also evaluates the effectiveness of strategies such as reinsurance, investment portfolio diversification, liquidity buffers, and stress testing in mitigating cash flow risks. Furthermore, the scope extends to </w:t>
      </w:r>
      <w:proofErr w:type="spellStart"/>
      <w:r w:rsidRPr="00AF055E">
        <w:rPr>
          <w:rFonts w:ascii="Times New Roman" w:hAnsi="Times New Roman" w:cs="Times New Roman"/>
          <w:sz w:val="24"/>
          <w:szCs w:val="24"/>
        </w:rPr>
        <w:t>analyzing</w:t>
      </w:r>
      <w:proofErr w:type="spellEnd"/>
      <w:r w:rsidRPr="00AF055E">
        <w:rPr>
          <w:rFonts w:ascii="Times New Roman" w:hAnsi="Times New Roman" w:cs="Times New Roman"/>
          <w:sz w:val="24"/>
          <w:szCs w:val="24"/>
        </w:rPr>
        <w:t xml:space="preserve"> how these financial risk management practices impact claims settlement efficiency, customer trust, and regulatory compliance.</w:t>
      </w:r>
    </w:p>
    <w:p w14:paraId="05B3C495" w14:textId="2C0903E6" w:rsidR="00AF055E" w:rsidRDefault="00AF055E" w:rsidP="00AF05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055E">
        <w:rPr>
          <w:rFonts w:ascii="Times New Roman" w:hAnsi="Times New Roman" w:cs="Times New Roman"/>
          <w:sz w:val="24"/>
          <w:szCs w:val="24"/>
        </w:rPr>
        <w:t>The geographic focus of the study may be confined to a specific country or region depending on data availability, though the findings aim to be relevant and adaptable to the global insurance context. Both primary and secondary data sources may be utilized, including financial reports, industry publications, regulatory guidelines, and interviews with risk managers or finance professionals in the insurance field. The study is limited to financial and operational dimensions of cash flow risk and does not extensively address broader strategic or marketing risks unless they directly influence liquidity and cash flow. The time frame of the analysis may span recent years to account for shifts in risk management practices, especially in light of post-pandemic market disruptions and increasing environmental and cyber risks. Ultimately, this study aims to provide useful insights for insurance companies, regulators, and stakeholders interested in improving financial resilience through more effective cash flow risk management.</w:t>
      </w:r>
    </w:p>
    <w:p w14:paraId="151885A6" w14:textId="77777777" w:rsidR="00AF055E" w:rsidRDefault="00AF055E" w:rsidP="00AF055E">
      <w:pPr>
        <w:spacing w:line="360" w:lineRule="auto"/>
        <w:jc w:val="both"/>
        <w:rPr>
          <w:rFonts w:ascii="Times New Roman" w:hAnsi="Times New Roman" w:cs="Times New Roman"/>
          <w:b/>
          <w:bCs/>
          <w:sz w:val="24"/>
          <w:szCs w:val="24"/>
          <w:lang w:val="en-US"/>
        </w:rPr>
      </w:pPr>
      <w:bookmarkStart w:id="7" w:name="_Hlk202098815"/>
      <w:r w:rsidRPr="006E2866">
        <w:rPr>
          <w:rFonts w:ascii="Times New Roman" w:hAnsi="Times New Roman" w:cs="Times New Roman"/>
          <w:b/>
          <w:bCs/>
          <w:sz w:val="24"/>
          <w:szCs w:val="24"/>
          <w:lang w:val="en-US"/>
        </w:rPr>
        <w:t>1.7 LIMITATIONS OF THE STUDY</w:t>
      </w:r>
      <w:bookmarkEnd w:id="7"/>
    </w:p>
    <w:p w14:paraId="15497644" w14:textId="11D587FA" w:rsidR="00AF055E" w:rsidRPr="00AF055E" w:rsidRDefault="00AF055E" w:rsidP="00AF05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055E">
        <w:rPr>
          <w:rFonts w:ascii="Times New Roman" w:hAnsi="Times New Roman" w:cs="Times New Roman"/>
          <w:sz w:val="24"/>
          <w:szCs w:val="24"/>
        </w:rPr>
        <w:t xml:space="preserve">While this study aims to provide valuable insights into the impact of cash flow risk management in the insurance industry, certain limitations must be acknowledged. Firstly, the study may be constrained by the availability and accessibility of financial and operational data from insurance companies, as many firms treat their risk management practices as confidential. Secondly, the study may rely heavily on secondary data, which could limit the depth of analysis and introduce potential biases based on the source material. In cases where primary data is </w:t>
      </w:r>
      <w:r w:rsidRPr="00AF055E">
        <w:rPr>
          <w:rFonts w:ascii="Times New Roman" w:hAnsi="Times New Roman" w:cs="Times New Roman"/>
          <w:sz w:val="24"/>
          <w:szCs w:val="24"/>
        </w:rPr>
        <w:lastRenderedPageBreak/>
        <w:t>collected, responses from industry professionals may be influenced by their roles, experience levels, or corporate interests, which can affect the objectivity of the findings.</w:t>
      </w:r>
    </w:p>
    <w:p w14:paraId="336EA8EE" w14:textId="77777777" w:rsidR="00AF055E" w:rsidRDefault="00AF055E" w:rsidP="00AF05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055E">
        <w:rPr>
          <w:rFonts w:ascii="Times New Roman" w:hAnsi="Times New Roman" w:cs="Times New Roman"/>
          <w:sz w:val="24"/>
          <w:szCs w:val="24"/>
        </w:rPr>
        <w:t xml:space="preserve">Moreover, the scope of the study might be limited to a specific region, market, or category of insurance (such as life or general insurance), which could affect the generalizability of the results to the broader global industry. The study also focuses specifically on cash flow risk management and may not fully account for other types of financial or operational risks that indirectly affect cash flow. </w:t>
      </w:r>
    </w:p>
    <w:p w14:paraId="3E4ABB83" w14:textId="4B294900" w:rsidR="00AF055E" w:rsidRPr="00AF055E" w:rsidRDefault="00AF055E" w:rsidP="00AF05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055E">
        <w:rPr>
          <w:rFonts w:ascii="Times New Roman" w:hAnsi="Times New Roman" w:cs="Times New Roman"/>
          <w:sz w:val="24"/>
          <w:szCs w:val="24"/>
        </w:rPr>
        <w:t>Additionally, the dynamic and evolving nature of regulatory frameworks, economic conditions, and market volatility means that conclusions drawn may only reflect the situation at the time of the study and may not be fully applicable in the future. Finally, time constraints and resource limitations may restrict the depth of empirical analysis, case study inclusion, or long-term trend evaluation.</w:t>
      </w:r>
    </w:p>
    <w:p w14:paraId="766955B5" w14:textId="77777777" w:rsidR="00AF055E" w:rsidRPr="00AF055E" w:rsidRDefault="00AF055E" w:rsidP="00AF055E">
      <w:pPr>
        <w:spacing w:line="360" w:lineRule="auto"/>
        <w:jc w:val="both"/>
        <w:rPr>
          <w:rFonts w:ascii="Times New Roman" w:hAnsi="Times New Roman" w:cs="Times New Roman"/>
          <w:sz w:val="24"/>
          <w:szCs w:val="24"/>
        </w:rPr>
      </w:pPr>
    </w:p>
    <w:p w14:paraId="5C3CEF45" w14:textId="77777777" w:rsidR="00AF055E" w:rsidRDefault="00AF055E" w:rsidP="00AF055E">
      <w:pPr>
        <w:spacing w:line="360" w:lineRule="auto"/>
        <w:jc w:val="both"/>
        <w:rPr>
          <w:rFonts w:ascii="Times New Roman" w:hAnsi="Times New Roman" w:cs="Times New Roman"/>
          <w:sz w:val="24"/>
          <w:szCs w:val="24"/>
        </w:rPr>
      </w:pPr>
    </w:p>
    <w:p w14:paraId="4DB90021" w14:textId="77777777" w:rsidR="00AF055E" w:rsidRDefault="00AF055E" w:rsidP="00AF055E">
      <w:pPr>
        <w:spacing w:line="360" w:lineRule="auto"/>
        <w:jc w:val="both"/>
        <w:rPr>
          <w:rFonts w:ascii="Times New Roman" w:hAnsi="Times New Roman" w:cs="Times New Roman"/>
          <w:sz w:val="24"/>
          <w:szCs w:val="24"/>
        </w:rPr>
      </w:pPr>
    </w:p>
    <w:p w14:paraId="2FF7F656" w14:textId="77777777" w:rsidR="00AF055E" w:rsidRDefault="00AF055E" w:rsidP="00AF055E">
      <w:pPr>
        <w:spacing w:line="360" w:lineRule="auto"/>
        <w:jc w:val="both"/>
        <w:rPr>
          <w:rFonts w:ascii="Times New Roman" w:hAnsi="Times New Roman" w:cs="Times New Roman"/>
          <w:sz w:val="24"/>
          <w:szCs w:val="24"/>
        </w:rPr>
      </w:pPr>
    </w:p>
    <w:p w14:paraId="070B45BB" w14:textId="77777777" w:rsidR="00AF055E" w:rsidRDefault="00AF055E" w:rsidP="00AF055E">
      <w:pPr>
        <w:spacing w:line="360" w:lineRule="auto"/>
        <w:jc w:val="both"/>
        <w:rPr>
          <w:rFonts w:ascii="Times New Roman" w:hAnsi="Times New Roman" w:cs="Times New Roman"/>
          <w:sz w:val="24"/>
          <w:szCs w:val="24"/>
        </w:rPr>
      </w:pPr>
    </w:p>
    <w:p w14:paraId="59AF09BD" w14:textId="77777777" w:rsidR="00AF055E" w:rsidRDefault="00AF055E" w:rsidP="00AF055E">
      <w:pPr>
        <w:spacing w:line="360" w:lineRule="auto"/>
        <w:jc w:val="both"/>
        <w:rPr>
          <w:rFonts w:ascii="Times New Roman" w:hAnsi="Times New Roman" w:cs="Times New Roman"/>
          <w:sz w:val="24"/>
          <w:szCs w:val="24"/>
        </w:rPr>
      </w:pPr>
    </w:p>
    <w:p w14:paraId="7056F12E" w14:textId="77777777" w:rsidR="00AF055E" w:rsidRDefault="00AF055E" w:rsidP="00AF055E">
      <w:pPr>
        <w:spacing w:line="360" w:lineRule="auto"/>
        <w:jc w:val="both"/>
        <w:rPr>
          <w:rFonts w:ascii="Times New Roman" w:hAnsi="Times New Roman" w:cs="Times New Roman"/>
          <w:sz w:val="24"/>
          <w:szCs w:val="24"/>
        </w:rPr>
      </w:pPr>
    </w:p>
    <w:p w14:paraId="1486BCF8" w14:textId="77777777" w:rsidR="00AF055E" w:rsidRDefault="00AF055E" w:rsidP="00AF055E">
      <w:pPr>
        <w:spacing w:line="360" w:lineRule="auto"/>
        <w:jc w:val="both"/>
        <w:rPr>
          <w:rFonts w:ascii="Times New Roman" w:hAnsi="Times New Roman" w:cs="Times New Roman"/>
          <w:sz w:val="24"/>
          <w:szCs w:val="24"/>
        </w:rPr>
      </w:pPr>
    </w:p>
    <w:p w14:paraId="3CBAC230" w14:textId="77777777" w:rsidR="00AF055E" w:rsidRDefault="00AF055E" w:rsidP="00AF055E">
      <w:pPr>
        <w:spacing w:line="360" w:lineRule="auto"/>
        <w:jc w:val="both"/>
        <w:rPr>
          <w:rFonts w:ascii="Times New Roman" w:hAnsi="Times New Roman" w:cs="Times New Roman"/>
          <w:sz w:val="24"/>
          <w:szCs w:val="24"/>
        </w:rPr>
      </w:pPr>
    </w:p>
    <w:p w14:paraId="3714BB07" w14:textId="77777777" w:rsidR="00AF055E" w:rsidRDefault="00AF055E" w:rsidP="00AF055E">
      <w:pPr>
        <w:spacing w:line="360" w:lineRule="auto"/>
        <w:jc w:val="both"/>
        <w:rPr>
          <w:rFonts w:ascii="Times New Roman" w:hAnsi="Times New Roman" w:cs="Times New Roman"/>
          <w:sz w:val="24"/>
          <w:szCs w:val="24"/>
        </w:rPr>
      </w:pPr>
    </w:p>
    <w:p w14:paraId="12067DC0" w14:textId="77777777" w:rsidR="00AF055E" w:rsidRDefault="00AF055E" w:rsidP="00AF055E">
      <w:pPr>
        <w:spacing w:line="360" w:lineRule="auto"/>
        <w:jc w:val="both"/>
        <w:rPr>
          <w:rFonts w:ascii="Times New Roman" w:hAnsi="Times New Roman" w:cs="Times New Roman"/>
          <w:sz w:val="24"/>
          <w:szCs w:val="24"/>
        </w:rPr>
      </w:pPr>
    </w:p>
    <w:p w14:paraId="56CDED9C" w14:textId="77777777" w:rsidR="00AF055E" w:rsidRDefault="00AF055E" w:rsidP="00AF055E">
      <w:pPr>
        <w:spacing w:line="360" w:lineRule="auto"/>
        <w:jc w:val="both"/>
        <w:rPr>
          <w:rFonts w:ascii="Times New Roman" w:hAnsi="Times New Roman" w:cs="Times New Roman"/>
          <w:sz w:val="24"/>
          <w:szCs w:val="24"/>
        </w:rPr>
      </w:pPr>
    </w:p>
    <w:p w14:paraId="5CF79E75" w14:textId="77777777" w:rsidR="00AF055E" w:rsidRDefault="00AF055E" w:rsidP="00AF055E">
      <w:pPr>
        <w:spacing w:line="360" w:lineRule="auto"/>
        <w:jc w:val="both"/>
        <w:rPr>
          <w:rFonts w:ascii="Times New Roman" w:hAnsi="Times New Roman" w:cs="Times New Roman"/>
          <w:sz w:val="24"/>
          <w:szCs w:val="24"/>
        </w:rPr>
      </w:pPr>
    </w:p>
    <w:p w14:paraId="451E8E7D" w14:textId="77777777" w:rsidR="00AF055E" w:rsidRDefault="00AF055E" w:rsidP="00AF055E">
      <w:pPr>
        <w:spacing w:line="360" w:lineRule="auto"/>
        <w:jc w:val="both"/>
        <w:rPr>
          <w:rFonts w:ascii="Times New Roman" w:hAnsi="Times New Roman" w:cs="Times New Roman"/>
          <w:sz w:val="24"/>
          <w:szCs w:val="24"/>
        </w:rPr>
      </w:pPr>
    </w:p>
    <w:p w14:paraId="6DBFEE0E" w14:textId="77777777" w:rsidR="00AF055E" w:rsidRDefault="00AF055E" w:rsidP="00AF055E">
      <w:pPr>
        <w:spacing w:line="360" w:lineRule="auto"/>
        <w:jc w:val="both"/>
        <w:rPr>
          <w:rFonts w:ascii="Times New Roman" w:hAnsi="Times New Roman" w:cs="Times New Roman"/>
          <w:sz w:val="24"/>
          <w:szCs w:val="24"/>
        </w:rPr>
      </w:pPr>
    </w:p>
    <w:p w14:paraId="38891A7B" w14:textId="77777777" w:rsidR="00AF055E" w:rsidRPr="00AD7255" w:rsidRDefault="00AF055E" w:rsidP="00AF055E">
      <w:pPr>
        <w:spacing w:line="360" w:lineRule="auto"/>
        <w:jc w:val="center"/>
        <w:rPr>
          <w:rFonts w:ascii="Times New Roman" w:hAnsi="Times New Roman" w:cs="Times New Roman"/>
          <w:b/>
          <w:bCs/>
          <w:sz w:val="24"/>
          <w:szCs w:val="24"/>
          <w:lang w:val="en-US"/>
        </w:rPr>
      </w:pPr>
      <w:bookmarkStart w:id="8" w:name="_Hlk202089904"/>
      <w:r w:rsidRPr="00AD7255">
        <w:rPr>
          <w:rFonts w:ascii="Times New Roman" w:hAnsi="Times New Roman" w:cs="Times New Roman"/>
          <w:b/>
          <w:bCs/>
          <w:sz w:val="24"/>
          <w:szCs w:val="24"/>
          <w:lang w:val="en-US"/>
        </w:rPr>
        <w:lastRenderedPageBreak/>
        <w:t>CHAPTER – II</w:t>
      </w:r>
    </w:p>
    <w:p w14:paraId="7EC9B9D8" w14:textId="77777777" w:rsidR="00AF055E" w:rsidRDefault="00AF055E" w:rsidP="00AF055E">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8"/>
    <w:p w14:paraId="4EF3E2C5" w14:textId="53E68358" w:rsidR="00AF055E" w:rsidRPr="00AF055E" w:rsidRDefault="00AF055E" w:rsidP="00AF05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055E">
        <w:rPr>
          <w:rFonts w:ascii="Times New Roman" w:hAnsi="Times New Roman" w:cs="Times New Roman"/>
          <w:sz w:val="24"/>
          <w:szCs w:val="24"/>
        </w:rPr>
        <w:t>Cash flow risk management has increasingly drawn the attention of researchers and practitioners in the insurance industry due to its critical role in ensuring liquidity, solvency, and operational efficiency. The unique financial structure of insurance companies—collecting premiums upfront and paying claims in the future—creates a natural cash flow mismatch that requires proactive risk management strategies. Several studies have explored how poor cash flow management can affect not just short-term liquidity but also long-term financial sustainability.</w:t>
      </w:r>
    </w:p>
    <w:p w14:paraId="7D4F8F81" w14:textId="51AD6B18" w:rsidR="00AF055E" w:rsidRPr="00AF055E" w:rsidRDefault="00AF055E" w:rsidP="00AF05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055E">
        <w:rPr>
          <w:rFonts w:ascii="Times New Roman" w:hAnsi="Times New Roman" w:cs="Times New Roman"/>
          <w:sz w:val="24"/>
          <w:szCs w:val="24"/>
        </w:rPr>
        <w:t xml:space="preserve">According to </w:t>
      </w:r>
      <w:r w:rsidRPr="00AF055E">
        <w:rPr>
          <w:rFonts w:ascii="Times New Roman" w:hAnsi="Times New Roman" w:cs="Times New Roman"/>
          <w:b/>
          <w:bCs/>
          <w:sz w:val="24"/>
          <w:szCs w:val="24"/>
        </w:rPr>
        <w:t>Cummins and Weiss (2014)</w:t>
      </w:r>
      <w:r w:rsidRPr="00AF055E">
        <w:rPr>
          <w:rFonts w:ascii="Times New Roman" w:hAnsi="Times New Roman" w:cs="Times New Roman"/>
          <w:sz w:val="24"/>
          <w:szCs w:val="24"/>
        </w:rPr>
        <w:t xml:space="preserve">, insurers face significant cash flow volatility due to uncertain claim patterns and the sensitivity of investment income to market fluctuations. They argue that sound liquidity management is essential for maintaining policyholder confidence and avoiding regulatory breaches. Similarly, a study by </w:t>
      </w:r>
      <w:r w:rsidRPr="00AF055E">
        <w:rPr>
          <w:rFonts w:ascii="Times New Roman" w:hAnsi="Times New Roman" w:cs="Times New Roman"/>
          <w:b/>
          <w:bCs/>
          <w:sz w:val="24"/>
          <w:szCs w:val="24"/>
        </w:rPr>
        <w:t>Grace and Leverty (2012)</w:t>
      </w:r>
      <w:r w:rsidRPr="00AF055E">
        <w:rPr>
          <w:rFonts w:ascii="Times New Roman" w:hAnsi="Times New Roman" w:cs="Times New Roman"/>
          <w:sz w:val="24"/>
          <w:szCs w:val="24"/>
        </w:rPr>
        <w:t xml:space="preserve"> indicates that insurers with robust cash flow forecasting mechanisms are better able to withstand financial shocks, particularly during periods of macroeconomic instability or catastrophic events.</w:t>
      </w:r>
    </w:p>
    <w:p w14:paraId="7041564D" w14:textId="765FC507" w:rsidR="00AF055E" w:rsidRPr="00AF055E" w:rsidRDefault="00AF055E" w:rsidP="00AF055E">
      <w:pPr>
        <w:spacing w:line="360" w:lineRule="auto"/>
        <w:jc w:val="both"/>
        <w:rPr>
          <w:rFonts w:ascii="Times New Roman" w:hAnsi="Times New Roman" w:cs="Times New Roman"/>
          <w:sz w:val="24"/>
          <w:szCs w:val="24"/>
        </w:rPr>
      </w:pPr>
      <w:r w:rsidRPr="00AF055E">
        <w:rPr>
          <w:rFonts w:ascii="Times New Roman" w:hAnsi="Times New Roman" w:cs="Times New Roman"/>
          <w:b/>
          <w:bCs/>
          <w:sz w:val="24"/>
          <w:szCs w:val="24"/>
        </w:rPr>
        <w:t xml:space="preserve">           </w:t>
      </w:r>
      <w:r w:rsidRPr="00AF055E">
        <w:rPr>
          <w:rFonts w:ascii="Times New Roman" w:hAnsi="Times New Roman" w:cs="Times New Roman"/>
          <w:b/>
          <w:bCs/>
          <w:sz w:val="24"/>
          <w:szCs w:val="24"/>
        </w:rPr>
        <w:t>Niehaus and Terry (1993)</w:t>
      </w:r>
      <w:r w:rsidRPr="00AF055E">
        <w:rPr>
          <w:rFonts w:ascii="Times New Roman" w:hAnsi="Times New Roman" w:cs="Times New Roman"/>
          <w:sz w:val="24"/>
          <w:szCs w:val="24"/>
        </w:rPr>
        <w:t xml:space="preserve"> emphasize the role of reinsurance and asset-liability matching as primary tools for mitigating cash flow risk. Their work suggests that companies actively managing these risks exhibit more stable claim settlement patterns and improved financial performance. In contrast, insurers that neglect these practices often experience delayed claim payments, deteriorating trust, and eventual financial distress.</w:t>
      </w:r>
    </w:p>
    <w:p w14:paraId="1598AD5B" w14:textId="3C722C09" w:rsidR="00AF055E" w:rsidRPr="00AF055E" w:rsidRDefault="00AF055E" w:rsidP="00AF05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055E">
        <w:rPr>
          <w:rFonts w:ascii="Times New Roman" w:hAnsi="Times New Roman" w:cs="Times New Roman"/>
          <w:sz w:val="24"/>
          <w:szCs w:val="24"/>
        </w:rPr>
        <w:t xml:space="preserve">From a regulatory perspective, frameworks such as Solvency II in Europe and Risk-Based Capital (RBC) requirements in the U.S. stress the importance of maintaining sufficient liquidity buffers. According to </w:t>
      </w:r>
      <w:r w:rsidRPr="00AF055E">
        <w:rPr>
          <w:rFonts w:ascii="Times New Roman" w:hAnsi="Times New Roman" w:cs="Times New Roman"/>
          <w:b/>
          <w:bCs/>
          <w:sz w:val="24"/>
          <w:szCs w:val="24"/>
        </w:rPr>
        <w:t>Eling and Schmeiser (2010)</w:t>
      </w:r>
      <w:r w:rsidRPr="00AF055E">
        <w:rPr>
          <w:rFonts w:ascii="Times New Roman" w:hAnsi="Times New Roman" w:cs="Times New Roman"/>
          <w:sz w:val="24"/>
          <w:szCs w:val="24"/>
        </w:rPr>
        <w:t>, these regulations have pushed insurers to adopt more formalized cash flow risk management systems, including scenario planning, stress testing, and enhanced reporting standards.</w:t>
      </w:r>
    </w:p>
    <w:p w14:paraId="1D3F2665" w14:textId="4B663D47" w:rsidR="00AF055E" w:rsidRPr="00AF055E" w:rsidRDefault="00AF055E" w:rsidP="00AF05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055E">
        <w:rPr>
          <w:rFonts w:ascii="Times New Roman" w:hAnsi="Times New Roman" w:cs="Times New Roman"/>
          <w:sz w:val="24"/>
          <w:szCs w:val="24"/>
        </w:rPr>
        <w:t>Recent literature has also begun to explore the intersection of technology and risk management. KPMG (2021) highlights how data analytics and artificial intelligence are transforming the way insurers model cash flow risks, enabling real-time monitoring and predictive analysis. However, challenges remain, particularly in integrating these tools into traditional insurance infrastructures, which are often rigid and siloed.</w:t>
      </w:r>
    </w:p>
    <w:p w14:paraId="1AB0BC39" w14:textId="3F78771E" w:rsidR="00AF055E" w:rsidRPr="00AF055E" w:rsidRDefault="00AF055E" w:rsidP="00AF055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AF055E">
        <w:rPr>
          <w:rFonts w:ascii="Times New Roman" w:hAnsi="Times New Roman" w:cs="Times New Roman"/>
          <w:sz w:val="24"/>
          <w:szCs w:val="24"/>
        </w:rPr>
        <w:t xml:space="preserve">Moreover, emerging risks such as climate change, pandemics, and cyber threats are reshaping the cash flow landscape. As stated by </w:t>
      </w:r>
      <w:r w:rsidRPr="00AF055E">
        <w:rPr>
          <w:rFonts w:ascii="Times New Roman" w:hAnsi="Times New Roman" w:cs="Times New Roman"/>
          <w:b/>
          <w:bCs/>
          <w:sz w:val="24"/>
          <w:szCs w:val="24"/>
        </w:rPr>
        <w:t>Swiss Re Institute (2020),</w:t>
      </w:r>
      <w:r w:rsidRPr="00AF055E">
        <w:rPr>
          <w:rFonts w:ascii="Times New Roman" w:hAnsi="Times New Roman" w:cs="Times New Roman"/>
          <w:sz w:val="24"/>
          <w:szCs w:val="24"/>
        </w:rPr>
        <w:t xml:space="preserve"> these risks introduce new levels of unpredictability in claim frequency and severity, thereby complicating cash flow forecasting. This has led to increased emphasis on adaptive risk management strategies that are flexible and scenario-based.</w:t>
      </w:r>
    </w:p>
    <w:p w14:paraId="09318DC8" w14:textId="2E93A819" w:rsidR="00AF055E" w:rsidRPr="00AF055E" w:rsidRDefault="00AF055E" w:rsidP="00AF05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055E">
        <w:rPr>
          <w:rFonts w:ascii="Times New Roman" w:hAnsi="Times New Roman" w:cs="Times New Roman"/>
          <w:sz w:val="24"/>
          <w:szCs w:val="24"/>
        </w:rPr>
        <w:t>Despite these advances, there remains a gap in empirical studies that quantify the direct relationship between cash flow risk management practices and financial performance metrics in insurance companies. Most existing research is either theoretical or based on qualitative assessments, pointing to the need for more data-driven analyses that link specific risk management strategies to outcomes such as return on equity, claims ratio, or solvency margin.</w:t>
      </w:r>
    </w:p>
    <w:p w14:paraId="4D18F88A" w14:textId="2E6B246F" w:rsidR="00AF055E" w:rsidRPr="00AF055E" w:rsidRDefault="00AF055E" w:rsidP="00AF05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055E">
        <w:rPr>
          <w:rFonts w:ascii="Times New Roman" w:hAnsi="Times New Roman" w:cs="Times New Roman"/>
          <w:sz w:val="24"/>
          <w:szCs w:val="24"/>
        </w:rPr>
        <w:t>In summary, the existing body of literature establishes a strong theoretical foundation for understanding the importance of cash flow risk management in the insurance sector. It highlights key tools, regulatory drivers, and emerging trends while identifying areas where further research is needed. This study aims to contribute to this body of work by providing empirical insights into how effective cash flow risk management can enhance financial stability and performance in the insurance industry, particularly under volatile and uncertain economic conditions.</w:t>
      </w:r>
    </w:p>
    <w:p w14:paraId="1AD7BC7B" w14:textId="77777777" w:rsidR="00AF055E" w:rsidRDefault="00AF055E" w:rsidP="00AF055E">
      <w:pPr>
        <w:spacing w:line="360" w:lineRule="auto"/>
        <w:jc w:val="both"/>
        <w:rPr>
          <w:rFonts w:ascii="Times New Roman" w:hAnsi="Times New Roman" w:cs="Times New Roman"/>
          <w:sz w:val="24"/>
          <w:szCs w:val="24"/>
        </w:rPr>
      </w:pPr>
    </w:p>
    <w:p w14:paraId="385E010C" w14:textId="77777777" w:rsidR="00AF055E" w:rsidRDefault="00AF055E" w:rsidP="00AF055E">
      <w:pPr>
        <w:spacing w:line="360" w:lineRule="auto"/>
        <w:jc w:val="both"/>
        <w:rPr>
          <w:rFonts w:ascii="Times New Roman" w:hAnsi="Times New Roman" w:cs="Times New Roman"/>
          <w:sz w:val="24"/>
          <w:szCs w:val="24"/>
        </w:rPr>
      </w:pPr>
    </w:p>
    <w:p w14:paraId="05319AB6" w14:textId="77777777" w:rsidR="00AF055E" w:rsidRDefault="00AF055E" w:rsidP="00AF055E">
      <w:pPr>
        <w:spacing w:line="360" w:lineRule="auto"/>
        <w:jc w:val="both"/>
        <w:rPr>
          <w:rFonts w:ascii="Times New Roman" w:hAnsi="Times New Roman" w:cs="Times New Roman"/>
          <w:sz w:val="24"/>
          <w:szCs w:val="24"/>
        </w:rPr>
      </w:pPr>
    </w:p>
    <w:p w14:paraId="7E1DF097" w14:textId="77777777" w:rsidR="00AF055E" w:rsidRDefault="00AF055E" w:rsidP="00AF055E">
      <w:pPr>
        <w:spacing w:line="360" w:lineRule="auto"/>
        <w:jc w:val="both"/>
        <w:rPr>
          <w:rFonts w:ascii="Times New Roman" w:hAnsi="Times New Roman" w:cs="Times New Roman"/>
          <w:sz w:val="24"/>
          <w:szCs w:val="24"/>
        </w:rPr>
      </w:pPr>
    </w:p>
    <w:p w14:paraId="6DC0BEFD" w14:textId="77777777" w:rsidR="00AF055E" w:rsidRDefault="00AF055E" w:rsidP="00AF055E">
      <w:pPr>
        <w:spacing w:line="360" w:lineRule="auto"/>
        <w:jc w:val="both"/>
        <w:rPr>
          <w:rFonts w:ascii="Times New Roman" w:hAnsi="Times New Roman" w:cs="Times New Roman"/>
          <w:sz w:val="24"/>
          <w:szCs w:val="24"/>
        </w:rPr>
      </w:pPr>
    </w:p>
    <w:p w14:paraId="43329986" w14:textId="77777777" w:rsidR="00AF055E" w:rsidRDefault="00AF055E" w:rsidP="00AF055E">
      <w:pPr>
        <w:spacing w:line="360" w:lineRule="auto"/>
        <w:jc w:val="both"/>
        <w:rPr>
          <w:rFonts w:ascii="Times New Roman" w:hAnsi="Times New Roman" w:cs="Times New Roman"/>
          <w:sz w:val="24"/>
          <w:szCs w:val="24"/>
        </w:rPr>
      </w:pPr>
    </w:p>
    <w:p w14:paraId="1F7BE715" w14:textId="77777777" w:rsidR="00AF055E" w:rsidRDefault="00AF055E" w:rsidP="00AF055E">
      <w:pPr>
        <w:spacing w:line="360" w:lineRule="auto"/>
        <w:jc w:val="both"/>
        <w:rPr>
          <w:rFonts w:ascii="Times New Roman" w:hAnsi="Times New Roman" w:cs="Times New Roman"/>
          <w:sz w:val="24"/>
          <w:szCs w:val="24"/>
        </w:rPr>
      </w:pPr>
    </w:p>
    <w:p w14:paraId="59513E23" w14:textId="77777777" w:rsidR="00AF055E" w:rsidRDefault="00AF055E" w:rsidP="00AF055E">
      <w:pPr>
        <w:spacing w:line="360" w:lineRule="auto"/>
        <w:jc w:val="both"/>
        <w:rPr>
          <w:rFonts w:ascii="Times New Roman" w:hAnsi="Times New Roman" w:cs="Times New Roman"/>
          <w:sz w:val="24"/>
          <w:szCs w:val="24"/>
        </w:rPr>
      </w:pPr>
    </w:p>
    <w:p w14:paraId="7FCE687E" w14:textId="77777777" w:rsidR="00AF055E" w:rsidRDefault="00AF055E" w:rsidP="00AF055E">
      <w:pPr>
        <w:spacing w:line="360" w:lineRule="auto"/>
        <w:jc w:val="both"/>
        <w:rPr>
          <w:rFonts w:ascii="Times New Roman" w:hAnsi="Times New Roman" w:cs="Times New Roman"/>
          <w:sz w:val="24"/>
          <w:szCs w:val="24"/>
        </w:rPr>
      </w:pPr>
    </w:p>
    <w:p w14:paraId="057D6824" w14:textId="77777777" w:rsidR="00AF055E" w:rsidRDefault="00AF055E" w:rsidP="00AF055E">
      <w:pPr>
        <w:spacing w:line="360" w:lineRule="auto"/>
        <w:jc w:val="both"/>
        <w:rPr>
          <w:rFonts w:ascii="Times New Roman" w:hAnsi="Times New Roman" w:cs="Times New Roman"/>
          <w:sz w:val="24"/>
          <w:szCs w:val="24"/>
        </w:rPr>
      </w:pPr>
    </w:p>
    <w:p w14:paraId="2D27865D" w14:textId="77777777" w:rsidR="00AF055E" w:rsidRDefault="00AF055E" w:rsidP="00AF055E">
      <w:pPr>
        <w:spacing w:line="360" w:lineRule="auto"/>
        <w:jc w:val="both"/>
        <w:rPr>
          <w:rFonts w:ascii="Times New Roman" w:hAnsi="Times New Roman" w:cs="Times New Roman"/>
          <w:sz w:val="24"/>
          <w:szCs w:val="24"/>
        </w:rPr>
      </w:pPr>
    </w:p>
    <w:p w14:paraId="6A4E1AC2" w14:textId="77777777" w:rsidR="00AF055E" w:rsidRPr="0078607C" w:rsidRDefault="00AF055E" w:rsidP="00AF055E">
      <w:pPr>
        <w:spacing w:line="360" w:lineRule="auto"/>
        <w:jc w:val="center"/>
        <w:rPr>
          <w:rFonts w:ascii="Times New Roman" w:hAnsi="Times New Roman" w:cs="Times New Roman"/>
          <w:b/>
          <w:bCs/>
          <w:sz w:val="24"/>
          <w:szCs w:val="24"/>
          <w:lang w:val="en-US"/>
        </w:rPr>
      </w:pPr>
      <w:bookmarkStart w:id="9" w:name="_Hlk202090009"/>
      <w:r w:rsidRPr="0078607C">
        <w:rPr>
          <w:rFonts w:ascii="Times New Roman" w:hAnsi="Times New Roman" w:cs="Times New Roman"/>
          <w:b/>
          <w:bCs/>
          <w:sz w:val="24"/>
          <w:szCs w:val="24"/>
          <w:lang w:val="en-US"/>
        </w:rPr>
        <w:lastRenderedPageBreak/>
        <w:t>CHAPTER – III</w:t>
      </w:r>
    </w:p>
    <w:p w14:paraId="51656ECD" w14:textId="77777777" w:rsidR="00AF055E" w:rsidRPr="0078607C" w:rsidRDefault="00AF055E" w:rsidP="00AF055E">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9"/>
    <w:p w14:paraId="383150EB" w14:textId="02E83A64" w:rsidR="00AF055E" w:rsidRPr="00AF055E" w:rsidRDefault="00AF055E" w:rsidP="00AF05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055E">
        <w:rPr>
          <w:rFonts w:ascii="Times New Roman" w:hAnsi="Times New Roman" w:cs="Times New Roman"/>
          <w:sz w:val="24"/>
          <w:szCs w:val="24"/>
        </w:rPr>
        <w:t>The research methodology outlines the systematic approach adopted to investigate the impact of cash flow risk management in the insurance industry. This chapter details the research design, sources of data, sampling methods, data collection tools, and techniques used for data analysis. The methodology aims to ensure that the study is conducted in a structured, objective, and scientifically valid manner.</w:t>
      </w:r>
    </w:p>
    <w:p w14:paraId="56FA1479" w14:textId="77777777" w:rsidR="00AF055E" w:rsidRPr="00AF055E" w:rsidRDefault="00AF055E" w:rsidP="00AF055E">
      <w:pPr>
        <w:spacing w:line="360" w:lineRule="auto"/>
        <w:jc w:val="both"/>
        <w:rPr>
          <w:rFonts w:ascii="Times New Roman" w:hAnsi="Times New Roman" w:cs="Times New Roman"/>
          <w:b/>
          <w:bCs/>
          <w:sz w:val="24"/>
          <w:szCs w:val="24"/>
        </w:rPr>
      </w:pPr>
      <w:r w:rsidRPr="00AF055E">
        <w:rPr>
          <w:rFonts w:ascii="Times New Roman" w:hAnsi="Times New Roman" w:cs="Times New Roman"/>
          <w:b/>
          <w:bCs/>
          <w:sz w:val="24"/>
          <w:szCs w:val="24"/>
        </w:rPr>
        <w:t>3.1 Research Design</w:t>
      </w:r>
    </w:p>
    <w:p w14:paraId="52F03C46" w14:textId="77777777" w:rsidR="00AF055E" w:rsidRPr="00AF055E" w:rsidRDefault="00AF055E" w:rsidP="00AF055E">
      <w:pPr>
        <w:spacing w:line="360" w:lineRule="auto"/>
        <w:jc w:val="both"/>
        <w:rPr>
          <w:rFonts w:ascii="Times New Roman" w:hAnsi="Times New Roman" w:cs="Times New Roman"/>
          <w:sz w:val="24"/>
          <w:szCs w:val="24"/>
        </w:rPr>
      </w:pPr>
      <w:r w:rsidRPr="00AF055E">
        <w:rPr>
          <w:rFonts w:ascii="Times New Roman" w:hAnsi="Times New Roman" w:cs="Times New Roman"/>
          <w:sz w:val="24"/>
          <w:szCs w:val="24"/>
        </w:rPr>
        <w:t xml:space="preserve">This study adopts a </w:t>
      </w:r>
      <w:r w:rsidRPr="00AF055E">
        <w:rPr>
          <w:rFonts w:ascii="Times New Roman" w:hAnsi="Times New Roman" w:cs="Times New Roman"/>
          <w:b/>
          <w:bCs/>
          <w:sz w:val="24"/>
          <w:szCs w:val="24"/>
        </w:rPr>
        <w:t>descriptive and analytical research design</w:t>
      </w:r>
      <w:r w:rsidRPr="00AF055E">
        <w:rPr>
          <w:rFonts w:ascii="Times New Roman" w:hAnsi="Times New Roman" w:cs="Times New Roman"/>
          <w:sz w:val="24"/>
          <w:szCs w:val="24"/>
        </w:rPr>
        <w:t>. The descriptive aspect aims to provide a comprehensive overview of current cash flow risk management practices in the insurance industry, while the analytical component examines the relationship between these practices and key performance indicators such as liquidity, profitability, and solvency.</w:t>
      </w:r>
    </w:p>
    <w:p w14:paraId="65452CDC" w14:textId="77777777" w:rsidR="00AF055E" w:rsidRPr="00AF055E" w:rsidRDefault="00AF055E" w:rsidP="00AF055E">
      <w:pPr>
        <w:spacing w:line="360" w:lineRule="auto"/>
        <w:jc w:val="both"/>
        <w:rPr>
          <w:rFonts w:ascii="Times New Roman" w:hAnsi="Times New Roman" w:cs="Times New Roman"/>
          <w:b/>
          <w:bCs/>
          <w:sz w:val="24"/>
          <w:szCs w:val="24"/>
        </w:rPr>
      </w:pPr>
      <w:r w:rsidRPr="00AF055E">
        <w:rPr>
          <w:rFonts w:ascii="Times New Roman" w:hAnsi="Times New Roman" w:cs="Times New Roman"/>
          <w:b/>
          <w:bCs/>
          <w:sz w:val="24"/>
          <w:szCs w:val="24"/>
        </w:rPr>
        <w:t>3.2 Population and Sample Size</w:t>
      </w:r>
    </w:p>
    <w:p w14:paraId="29D6CF30" w14:textId="77777777" w:rsidR="00AF055E" w:rsidRPr="00AF055E" w:rsidRDefault="00AF055E" w:rsidP="00AF055E">
      <w:pPr>
        <w:spacing w:line="360" w:lineRule="auto"/>
        <w:jc w:val="both"/>
        <w:rPr>
          <w:rFonts w:ascii="Times New Roman" w:hAnsi="Times New Roman" w:cs="Times New Roman"/>
          <w:sz w:val="24"/>
          <w:szCs w:val="24"/>
        </w:rPr>
      </w:pPr>
      <w:r w:rsidRPr="00AF055E">
        <w:rPr>
          <w:rFonts w:ascii="Times New Roman" w:hAnsi="Times New Roman" w:cs="Times New Roman"/>
          <w:sz w:val="24"/>
          <w:szCs w:val="24"/>
        </w:rPr>
        <w:t xml:space="preserve">The population for this study comprises </w:t>
      </w:r>
      <w:r w:rsidRPr="00AF055E">
        <w:rPr>
          <w:rFonts w:ascii="Times New Roman" w:hAnsi="Times New Roman" w:cs="Times New Roman"/>
          <w:b/>
          <w:bCs/>
          <w:sz w:val="24"/>
          <w:szCs w:val="24"/>
        </w:rPr>
        <w:t>insurance companies</w:t>
      </w:r>
      <w:r w:rsidRPr="00AF055E">
        <w:rPr>
          <w:rFonts w:ascii="Times New Roman" w:hAnsi="Times New Roman" w:cs="Times New Roman"/>
          <w:sz w:val="24"/>
          <w:szCs w:val="24"/>
        </w:rPr>
        <w:t xml:space="preserve"> operating within the selected geographical region (e.g., a specific country or state). A </w:t>
      </w:r>
      <w:r w:rsidRPr="00AF055E">
        <w:rPr>
          <w:rFonts w:ascii="Times New Roman" w:hAnsi="Times New Roman" w:cs="Times New Roman"/>
          <w:b/>
          <w:bCs/>
          <w:sz w:val="24"/>
          <w:szCs w:val="24"/>
        </w:rPr>
        <w:t>purposive sampling method</w:t>
      </w:r>
      <w:r w:rsidRPr="00AF055E">
        <w:rPr>
          <w:rFonts w:ascii="Times New Roman" w:hAnsi="Times New Roman" w:cs="Times New Roman"/>
          <w:sz w:val="24"/>
          <w:szCs w:val="24"/>
        </w:rPr>
        <w:t xml:space="preserve"> is used to select a representative sample of insurance firms, including both life and general insurance providers. The sample size may range from </w:t>
      </w:r>
      <w:r w:rsidRPr="00AF055E">
        <w:rPr>
          <w:rFonts w:ascii="Times New Roman" w:hAnsi="Times New Roman" w:cs="Times New Roman"/>
          <w:b/>
          <w:bCs/>
          <w:sz w:val="24"/>
          <w:szCs w:val="24"/>
        </w:rPr>
        <w:t>10 to 20 companies</w:t>
      </w:r>
      <w:r w:rsidRPr="00AF055E">
        <w:rPr>
          <w:rFonts w:ascii="Times New Roman" w:hAnsi="Times New Roman" w:cs="Times New Roman"/>
          <w:sz w:val="24"/>
          <w:szCs w:val="24"/>
        </w:rPr>
        <w:t>, depending on accessibility and willingness to participate.</w:t>
      </w:r>
    </w:p>
    <w:p w14:paraId="30D7210E" w14:textId="77777777" w:rsidR="00AF055E" w:rsidRPr="00AF055E" w:rsidRDefault="00AF055E" w:rsidP="00AF055E">
      <w:pPr>
        <w:spacing w:line="360" w:lineRule="auto"/>
        <w:jc w:val="both"/>
        <w:rPr>
          <w:rFonts w:ascii="Times New Roman" w:hAnsi="Times New Roman" w:cs="Times New Roman"/>
          <w:b/>
          <w:bCs/>
          <w:sz w:val="24"/>
          <w:szCs w:val="24"/>
        </w:rPr>
      </w:pPr>
      <w:r w:rsidRPr="00AF055E">
        <w:rPr>
          <w:rFonts w:ascii="Times New Roman" w:hAnsi="Times New Roman" w:cs="Times New Roman"/>
          <w:b/>
          <w:bCs/>
          <w:sz w:val="24"/>
          <w:szCs w:val="24"/>
        </w:rPr>
        <w:t>3.3 Data Sources</w:t>
      </w:r>
    </w:p>
    <w:p w14:paraId="481BEDE7" w14:textId="77777777" w:rsidR="00AF055E" w:rsidRPr="00AF055E" w:rsidRDefault="00AF055E" w:rsidP="00AF055E">
      <w:pPr>
        <w:spacing w:line="360" w:lineRule="auto"/>
        <w:jc w:val="both"/>
        <w:rPr>
          <w:rFonts w:ascii="Times New Roman" w:hAnsi="Times New Roman" w:cs="Times New Roman"/>
          <w:sz w:val="24"/>
          <w:szCs w:val="24"/>
        </w:rPr>
      </w:pPr>
      <w:r w:rsidRPr="00AF055E">
        <w:rPr>
          <w:rFonts w:ascii="Times New Roman" w:hAnsi="Times New Roman" w:cs="Times New Roman"/>
          <w:sz w:val="24"/>
          <w:szCs w:val="24"/>
        </w:rPr>
        <w:t xml:space="preserve">Both </w:t>
      </w:r>
      <w:r w:rsidRPr="00AF055E">
        <w:rPr>
          <w:rFonts w:ascii="Times New Roman" w:hAnsi="Times New Roman" w:cs="Times New Roman"/>
          <w:b/>
          <w:bCs/>
          <w:sz w:val="24"/>
          <w:szCs w:val="24"/>
        </w:rPr>
        <w:t>primary and secondary data</w:t>
      </w:r>
      <w:r w:rsidRPr="00AF055E">
        <w:rPr>
          <w:rFonts w:ascii="Times New Roman" w:hAnsi="Times New Roman" w:cs="Times New Roman"/>
          <w:sz w:val="24"/>
          <w:szCs w:val="24"/>
        </w:rPr>
        <w:t xml:space="preserve"> are used in this study:</w:t>
      </w:r>
    </w:p>
    <w:p w14:paraId="72828C42" w14:textId="77777777" w:rsidR="00AF055E" w:rsidRPr="00AF055E" w:rsidRDefault="00AF055E" w:rsidP="00AF055E">
      <w:pPr>
        <w:numPr>
          <w:ilvl w:val="0"/>
          <w:numId w:val="4"/>
        </w:numPr>
        <w:spacing w:line="360" w:lineRule="auto"/>
        <w:jc w:val="both"/>
        <w:rPr>
          <w:rFonts w:ascii="Times New Roman" w:hAnsi="Times New Roman" w:cs="Times New Roman"/>
          <w:sz w:val="24"/>
          <w:szCs w:val="24"/>
        </w:rPr>
      </w:pPr>
      <w:r w:rsidRPr="00AF055E">
        <w:rPr>
          <w:rFonts w:ascii="Times New Roman" w:hAnsi="Times New Roman" w:cs="Times New Roman"/>
          <w:b/>
          <w:bCs/>
          <w:sz w:val="24"/>
          <w:szCs w:val="24"/>
        </w:rPr>
        <w:t>Primary Data:</w:t>
      </w:r>
      <w:r w:rsidRPr="00AF055E">
        <w:rPr>
          <w:rFonts w:ascii="Times New Roman" w:hAnsi="Times New Roman" w:cs="Times New Roman"/>
          <w:sz w:val="24"/>
          <w:szCs w:val="24"/>
        </w:rPr>
        <w:t xml:space="preserve"> Collected through structured questionnaires and interviews with finance managers, risk officers, or executives responsible for cash flow and liquidity management within insurance firms.</w:t>
      </w:r>
    </w:p>
    <w:p w14:paraId="154BBBE9" w14:textId="77777777" w:rsidR="00AF055E" w:rsidRPr="00AF055E" w:rsidRDefault="00AF055E" w:rsidP="00AF055E">
      <w:pPr>
        <w:numPr>
          <w:ilvl w:val="0"/>
          <w:numId w:val="4"/>
        </w:numPr>
        <w:spacing w:line="360" w:lineRule="auto"/>
        <w:jc w:val="both"/>
        <w:rPr>
          <w:rFonts w:ascii="Times New Roman" w:hAnsi="Times New Roman" w:cs="Times New Roman"/>
          <w:sz w:val="24"/>
          <w:szCs w:val="24"/>
        </w:rPr>
      </w:pPr>
      <w:r w:rsidRPr="00AF055E">
        <w:rPr>
          <w:rFonts w:ascii="Times New Roman" w:hAnsi="Times New Roman" w:cs="Times New Roman"/>
          <w:b/>
          <w:bCs/>
          <w:sz w:val="24"/>
          <w:szCs w:val="24"/>
        </w:rPr>
        <w:t>Secondary Data:</w:t>
      </w:r>
      <w:r w:rsidRPr="00AF055E">
        <w:rPr>
          <w:rFonts w:ascii="Times New Roman" w:hAnsi="Times New Roman" w:cs="Times New Roman"/>
          <w:sz w:val="24"/>
          <w:szCs w:val="24"/>
        </w:rPr>
        <w:t xml:space="preserve"> Obtained from company financial reports, regulatory filings, industry publications, and previous academic studies relevant to cash flow risk management.</w:t>
      </w:r>
    </w:p>
    <w:p w14:paraId="15749DE8" w14:textId="77777777" w:rsidR="00AF055E" w:rsidRPr="00AF055E" w:rsidRDefault="00AF055E" w:rsidP="00AF055E">
      <w:pPr>
        <w:spacing w:line="360" w:lineRule="auto"/>
        <w:jc w:val="both"/>
        <w:rPr>
          <w:rFonts w:ascii="Times New Roman" w:hAnsi="Times New Roman" w:cs="Times New Roman"/>
          <w:b/>
          <w:bCs/>
          <w:sz w:val="24"/>
          <w:szCs w:val="24"/>
        </w:rPr>
      </w:pPr>
      <w:r w:rsidRPr="00AF055E">
        <w:rPr>
          <w:rFonts w:ascii="Times New Roman" w:hAnsi="Times New Roman" w:cs="Times New Roman"/>
          <w:b/>
          <w:bCs/>
          <w:sz w:val="24"/>
          <w:szCs w:val="24"/>
        </w:rPr>
        <w:t>3.4 Data Collection Tools</w:t>
      </w:r>
    </w:p>
    <w:p w14:paraId="35DA92F7" w14:textId="77777777" w:rsidR="00AF055E" w:rsidRPr="00AF055E" w:rsidRDefault="00AF055E" w:rsidP="00AF055E">
      <w:pPr>
        <w:spacing w:line="360" w:lineRule="auto"/>
        <w:jc w:val="both"/>
        <w:rPr>
          <w:rFonts w:ascii="Times New Roman" w:hAnsi="Times New Roman" w:cs="Times New Roman"/>
          <w:sz w:val="24"/>
          <w:szCs w:val="24"/>
        </w:rPr>
      </w:pPr>
      <w:r w:rsidRPr="00AF055E">
        <w:rPr>
          <w:rFonts w:ascii="Times New Roman" w:hAnsi="Times New Roman" w:cs="Times New Roman"/>
          <w:sz w:val="24"/>
          <w:szCs w:val="24"/>
        </w:rPr>
        <w:t xml:space="preserve">The primary data is collected using a </w:t>
      </w:r>
      <w:r w:rsidRPr="00AF055E">
        <w:rPr>
          <w:rFonts w:ascii="Times New Roman" w:hAnsi="Times New Roman" w:cs="Times New Roman"/>
          <w:b/>
          <w:bCs/>
          <w:sz w:val="24"/>
          <w:szCs w:val="24"/>
        </w:rPr>
        <w:t>semi-structured questionnaire</w:t>
      </w:r>
      <w:r w:rsidRPr="00AF055E">
        <w:rPr>
          <w:rFonts w:ascii="Times New Roman" w:hAnsi="Times New Roman" w:cs="Times New Roman"/>
          <w:sz w:val="24"/>
          <w:szCs w:val="24"/>
        </w:rPr>
        <w:t xml:space="preserve">, which includes both closed and open-ended questions to gain qualitative and quantitative insights. In-depth </w:t>
      </w:r>
      <w:r w:rsidRPr="00AF055E">
        <w:rPr>
          <w:rFonts w:ascii="Times New Roman" w:hAnsi="Times New Roman" w:cs="Times New Roman"/>
          <w:sz w:val="24"/>
          <w:szCs w:val="24"/>
        </w:rPr>
        <w:lastRenderedPageBreak/>
        <w:t>interviews may also be conducted to capture expert opinions and contextual factors influencing cash flow management decisions.</w:t>
      </w:r>
    </w:p>
    <w:p w14:paraId="1D44E4BA" w14:textId="77777777" w:rsidR="00AF055E" w:rsidRPr="00AF055E" w:rsidRDefault="00AF055E" w:rsidP="00AF055E">
      <w:pPr>
        <w:spacing w:line="360" w:lineRule="auto"/>
        <w:jc w:val="both"/>
        <w:rPr>
          <w:rFonts w:ascii="Times New Roman" w:hAnsi="Times New Roman" w:cs="Times New Roman"/>
          <w:b/>
          <w:bCs/>
          <w:sz w:val="24"/>
          <w:szCs w:val="24"/>
        </w:rPr>
      </w:pPr>
      <w:r w:rsidRPr="00AF055E">
        <w:rPr>
          <w:rFonts w:ascii="Times New Roman" w:hAnsi="Times New Roman" w:cs="Times New Roman"/>
          <w:b/>
          <w:bCs/>
          <w:sz w:val="24"/>
          <w:szCs w:val="24"/>
        </w:rPr>
        <w:t>3.5 Data Analysis Techniques</w:t>
      </w:r>
    </w:p>
    <w:p w14:paraId="7707629F" w14:textId="77777777" w:rsidR="00AF055E" w:rsidRPr="00AF055E" w:rsidRDefault="00AF055E" w:rsidP="00AF055E">
      <w:pPr>
        <w:spacing w:line="360" w:lineRule="auto"/>
        <w:jc w:val="both"/>
        <w:rPr>
          <w:rFonts w:ascii="Times New Roman" w:hAnsi="Times New Roman" w:cs="Times New Roman"/>
          <w:sz w:val="24"/>
          <w:szCs w:val="24"/>
        </w:rPr>
      </w:pPr>
      <w:r w:rsidRPr="00AF055E">
        <w:rPr>
          <w:rFonts w:ascii="Times New Roman" w:hAnsi="Times New Roman" w:cs="Times New Roman"/>
          <w:sz w:val="24"/>
          <w:szCs w:val="24"/>
        </w:rPr>
        <w:t xml:space="preserve">Quantitative data collected from surveys will be </w:t>
      </w:r>
      <w:proofErr w:type="spellStart"/>
      <w:r w:rsidRPr="00AF055E">
        <w:rPr>
          <w:rFonts w:ascii="Times New Roman" w:hAnsi="Times New Roman" w:cs="Times New Roman"/>
          <w:sz w:val="24"/>
          <w:szCs w:val="24"/>
        </w:rPr>
        <w:t>analyzed</w:t>
      </w:r>
      <w:proofErr w:type="spellEnd"/>
      <w:r w:rsidRPr="00AF055E">
        <w:rPr>
          <w:rFonts w:ascii="Times New Roman" w:hAnsi="Times New Roman" w:cs="Times New Roman"/>
          <w:sz w:val="24"/>
          <w:szCs w:val="24"/>
        </w:rPr>
        <w:t xml:space="preserve"> using </w:t>
      </w:r>
      <w:r w:rsidRPr="00AF055E">
        <w:rPr>
          <w:rFonts w:ascii="Times New Roman" w:hAnsi="Times New Roman" w:cs="Times New Roman"/>
          <w:b/>
          <w:bCs/>
          <w:sz w:val="24"/>
          <w:szCs w:val="24"/>
        </w:rPr>
        <w:t>descriptive statistics</w:t>
      </w:r>
      <w:r w:rsidRPr="00AF055E">
        <w:rPr>
          <w:rFonts w:ascii="Times New Roman" w:hAnsi="Times New Roman" w:cs="Times New Roman"/>
          <w:sz w:val="24"/>
          <w:szCs w:val="24"/>
        </w:rPr>
        <w:t xml:space="preserve"> (mean, median, standard deviation) and </w:t>
      </w:r>
      <w:r w:rsidRPr="00AF055E">
        <w:rPr>
          <w:rFonts w:ascii="Times New Roman" w:hAnsi="Times New Roman" w:cs="Times New Roman"/>
          <w:b/>
          <w:bCs/>
          <w:sz w:val="24"/>
          <w:szCs w:val="24"/>
        </w:rPr>
        <w:t>inferential statistics</w:t>
      </w:r>
      <w:r w:rsidRPr="00AF055E">
        <w:rPr>
          <w:rFonts w:ascii="Times New Roman" w:hAnsi="Times New Roman" w:cs="Times New Roman"/>
          <w:sz w:val="24"/>
          <w:szCs w:val="24"/>
        </w:rPr>
        <w:t xml:space="preserve"> such as correlation and regression analysis to determine the relationship between cash flow management practices and financial performance. Qualitative responses from interviews will be examined using </w:t>
      </w:r>
      <w:r w:rsidRPr="00AF055E">
        <w:rPr>
          <w:rFonts w:ascii="Times New Roman" w:hAnsi="Times New Roman" w:cs="Times New Roman"/>
          <w:b/>
          <w:bCs/>
          <w:sz w:val="24"/>
          <w:szCs w:val="24"/>
        </w:rPr>
        <w:t>content analysis</w:t>
      </w:r>
      <w:r w:rsidRPr="00AF055E">
        <w:rPr>
          <w:rFonts w:ascii="Times New Roman" w:hAnsi="Times New Roman" w:cs="Times New Roman"/>
          <w:sz w:val="24"/>
          <w:szCs w:val="24"/>
        </w:rPr>
        <w:t xml:space="preserve"> to identify recurring themes, strategies, and challenges.</w:t>
      </w:r>
    </w:p>
    <w:p w14:paraId="715F70A9" w14:textId="77777777" w:rsidR="00AF055E" w:rsidRPr="00AF055E" w:rsidRDefault="00AF055E" w:rsidP="00AF055E">
      <w:pPr>
        <w:spacing w:line="360" w:lineRule="auto"/>
        <w:jc w:val="both"/>
        <w:rPr>
          <w:rFonts w:ascii="Times New Roman" w:hAnsi="Times New Roman" w:cs="Times New Roman"/>
          <w:b/>
          <w:bCs/>
          <w:sz w:val="24"/>
          <w:szCs w:val="24"/>
        </w:rPr>
      </w:pPr>
      <w:r w:rsidRPr="00AF055E">
        <w:rPr>
          <w:rFonts w:ascii="Times New Roman" w:hAnsi="Times New Roman" w:cs="Times New Roman"/>
          <w:b/>
          <w:bCs/>
          <w:sz w:val="24"/>
          <w:szCs w:val="24"/>
        </w:rPr>
        <w:t>3.6 Scope and Delimitation</w:t>
      </w:r>
    </w:p>
    <w:p w14:paraId="7571E9D2" w14:textId="77777777" w:rsidR="00AF055E" w:rsidRPr="00AF055E" w:rsidRDefault="00AF055E" w:rsidP="00AF055E">
      <w:pPr>
        <w:spacing w:line="360" w:lineRule="auto"/>
        <w:jc w:val="both"/>
        <w:rPr>
          <w:rFonts w:ascii="Times New Roman" w:hAnsi="Times New Roman" w:cs="Times New Roman"/>
          <w:sz w:val="24"/>
          <w:szCs w:val="24"/>
        </w:rPr>
      </w:pPr>
      <w:r w:rsidRPr="00AF055E">
        <w:rPr>
          <w:rFonts w:ascii="Times New Roman" w:hAnsi="Times New Roman" w:cs="Times New Roman"/>
          <w:sz w:val="24"/>
          <w:szCs w:val="24"/>
        </w:rPr>
        <w:t>The study focuses specifically on cash flow risk and its management in the insurance sector. Other financial risks such as credit risk, market risk, or operational risk are only considered to the extent that they influence cash flow. The research is geographically limited to companies within a defined area, which may affect the generalizability of results to the global insurance market.</w:t>
      </w:r>
    </w:p>
    <w:p w14:paraId="2E2402D1" w14:textId="77777777" w:rsidR="00AF055E" w:rsidRPr="00AF055E" w:rsidRDefault="00AF055E" w:rsidP="00AF055E">
      <w:pPr>
        <w:spacing w:line="360" w:lineRule="auto"/>
        <w:jc w:val="both"/>
        <w:rPr>
          <w:rFonts w:ascii="Times New Roman" w:hAnsi="Times New Roman" w:cs="Times New Roman"/>
          <w:b/>
          <w:bCs/>
          <w:sz w:val="24"/>
          <w:szCs w:val="24"/>
        </w:rPr>
      </w:pPr>
      <w:r w:rsidRPr="00AF055E">
        <w:rPr>
          <w:rFonts w:ascii="Times New Roman" w:hAnsi="Times New Roman" w:cs="Times New Roman"/>
          <w:b/>
          <w:bCs/>
          <w:sz w:val="24"/>
          <w:szCs w:val="24"/>
        </w:rPr>
        <w:t>3.7 Ethical Considerations</w:t>
      </w:r>
    </w:p>
    <w:p w14:paraId="368CEA90" w14:textId="77777777" w:rsidR="00AF055E" w:rsidRPr="00AF055E" w:rsidRDefault="00AF055E" w:rsidP="00AF055E">
      <w:pPr>
        <w:spacing w:line="360" w:lineRule="auto"/>
        <w:jc w:val="both"/>
        <w:rPr>
          <w:rFonts w:ascii="Times New Roman" w:hAnsi="Times New Roman" w:cs="Times New Roman"/>
          <w:sz w:val="24"/>
          <w:szCs w:val="24"/>
        </w:rPr>
      </w:pPr>
      <w:r w:rsidRPr="00AF055E">
        <w:rPr>
          <w:rFonts w:ascii="Times New Roman" w:hAnsi="Times New Roman" w:cs="Times New Roman"/>
          <w:sz w:val="24"/>
          <w:szCs w:val="24"/>
        </w:rPr>
        <w:t>All data collection procedures adhere to strict ethical standards. Participants are informed of the purpose of the research, and their responses are treated with confidentiality. Participation is entirely voluntary, and informed consent is obtained prior to data collection.</w:t>
      </w:r>
    </w:p>
    <w:p w14:paraId="570F5999" w14:textId="77777777" w:rsidR="00AF055E" w:rsidRPr="00AF055E" w:rsidRDefault="00AF055E" w:rsidP="00AF055E">
      <w:pPr>
        <w:spacing w:line="360" w:lineRule="auto"/>
        <w:jc w:val="both"/>
        <w:rPr>
          <w:rFonts w:ascii="Times New Roman" w:hAnsi="Times New Roman" w:cs="Times New Roman"/>
          <w:b/>
          <w:bCs/>
          <w:sz w:val="24"/>
          <w:szCs w:val="24"/>
        </w:rPr>
      </w:pPr>
      <w:r w:rsidRPr="00AF055E">
        <w:rPr>
          <w:rFonts w:ascii="Times New Roman" w:hAnsi="Times New Roman" w:cs="Times New Roman"/>
          <w:b/>
          <w:bCs/>
          <w:sz w:val="24"/>
          <w:szCs w:val="24"/>
        </w:rPr>
        <w:t>3.8 Limitations of the Methodology</w:t>
      </w:r>
    </w:p>
    <w:p w14:paraId="02ED20C5" w14:textId="77777777" w:rsidR="00AF055E" w:rsidRPr="00AF055E" w:rsidRDefault="00AF055E" w:rsidP="00AF055E">
      <w:pPr>
        <w:spacing w:line="360" w:lineRule="auto"/>
        <w:jc w:val="both"/>
        <w:rPr>
          <w:rFonts w:ascii="Times New Roman" w:hAnsi="Times New Roman" w:cs="Times New Roman"/>
          <w:sz w:val="24"/>
          <w:szCs w:val="24"/>
        </w:rPr>
      </w:pPr>
      <w:r w:rsidRPr="00AF055E">
        <w:rPr>
          <w:rFonts w:ascii="Times New Roman" w:hAnsi="Times New Roman" w:cs="Times New Roman"/>
          <w:sz w:val="24"/>
          <w:szCs w:val="24"/>
        </w:rPr>
        <w:t>The study may face limitations such as restricted access to internal financial data, potential biases in self-reported responses, and the relatively small sample size. However, the triangulation of multiple data sources and a mixed-methods approach is intended to enhance the validity and reliability of the findings.</w:t>
      </w:r>
    </w:p>
    <w:p w14:paraId="07EB9AFA" w14:textId="77777777" w:rsidR="00AF055E" w:rsidRDefault="00AF055E" w:rsidP="00AF055E">
      <w:pPr>
        <w:spacing w:line="360" w:lineRule="auto"/>
        <w:jc w:val="both"/>
        <w:rPr>
          <w:rFonts w:ascii="Times New Roman" w:hAnsi="Times New Roman" w:cs="Times New Roman"/>
          <w:sz w:val="24"/>
          <w:szCs w:val="24"/>
        </w:rPr>
      </w:pPr>
    </w:p>
    <w:p w14:paraId="0F03088B" w14:textId="77777777" w:rsidR="00AF055E" w:rsidRDefault="00AF055E" w:rsidP="00AF055E">
      <w:pPr>
        <w:spacing w:line="360" w:lineRule="auto"/>
        <w:jc w:val="both"/>
        <w:rPr>
          <w:rFonts w:ascii="Times New Roman" w:hAnsi="Times New Roman" w:cs="Times New Roman"/>
          <w:sz w:val="24"/>
          <w:szCs w:val="24"/>
        </w:rPr>
      </w:pPr>
    </w:p>
    <w:p w14:paraId="6EECF28A" w14:textId="77777777" w:rsidR="00AF055E" w:rsidRDefault="00AF055E" w:rsidP="00AF055E">
      <w:pPr>
        <w:spacing w:line="360" w:lineRule="auto"/>
        <w:jc w:val="both"/>
        <w:rPr>
          <w:rFonts w:ascii="Times New Roman" w:hAnsi="Times New Roman" w:cs="Times New Roman"/>
          <w:sz w:val="24"/>
          <w:szCs w:val="24"/>
        </w:rPr>
      </w:pPr>
    </w:p>
    <w:p w14:paraId="09F24E86" w14:textId="77777777" w:rsidR="00AF055E" w:rsidRDefault="00AF055E" w:rsidP="00AF055E">
      <w:pPr>
        <w:spacing w:line="360" w:lineRule="auto"/>
        <w:jc w:val="both"/>
        <w:rPr>
          <w:rFonts w:ascii="Times New Roman" w:hAnsi="Times New Roman" w:cs="Times New Roman"/>
          <w:sz w:val="24"/>
          <w:szCs w:val="24"/>
        </w:rPr>
      </w:pPr>
    </w:p>
    <w:p w14:paraId="1B860AA7" w14:textId="77777777" w:rsidR="00AF055E" w:rsidRDefault="00AF055E" w:rsidP="00AF055E">
      <w:pPr>
        <w:spacing w:line="360" w:lineRule="auto"/>
        <w:jc w:val="both"/>
        <w:rPr>
          <w:rFonts w:ascii="Times New Roman" w:hAnsi="Times New Roman" w:cs="Times New Roman"/>
          <w:sz w:val="24"/>
          <w:szCs w:val="24"/>
        </w:rPr>
      </w:pPr>
    </w:p>
    <w:p w14:paraId="3FFE7776" w14:textId="77777777" w:rsidR="00AF055E" w:rsidRPr="0078607C" w:rsidRDefault="00AF055E" w:rsidP="00AF055E">
      <w:pPr>
        <w:spacing w:line="360" w:lineRule="auto"/>
        <w:jc w:val="center"/>
        <w:rPr>
          <w:rFonts w:ascii="Times New Roman" w:hAnsi="Times New Roman" w:cs="Times New Roman"/>
          <w:sz w:val="24"/>
          <w:szCs w:val="24"/>
        </w:rPr>
      </w:pPr>
      <w:bookmarkStart w:id="10" w:name="_Hlk203212469"/>
      <w:r w:rsidRPr="0078607C">
        <w:rPr>
          <w:rFonts w:ascii="Times New Roman" w:hAnsi="Times New Roman" w:cs="Times New Roman"/>
          <w:b/>
          <w:sz w:val="24"/>
          <w:szCs w:val="24"/>
          <w:lang w:val="en-US"/>
        </w:rPr>
        <w:lastRenderedPageBreak/>
        <w:t>CHAPTER – IV</w:t>
      </w:r>
    </w:p>
    <w:p w14:paraId="2039D278" w14:textId="77777777" w:rsidR="00AF055E" w:rsidRDefault="00AF055E" w:rsidP="00AF055E">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654C0EF2" w14:textId="77777777" w:rsidR="00AF055E" w:rsidRPr="004D7E4B" w:rsidRDefault="00AF055E" w:rsidP="00AF055E">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AF055E" w:rsidRPr="004D7E4B" w14:paraId="4F468C24" w14:textId="77777777" w:rsidTr="002E2521">
        <w:trPr>
          <w:trHeight w:val="506"/>
        </w:trPr>
        <w:tc>
          <w:tcPr>
            <w:tcW w:w="3077" w:type="dxa"/>
            <w:tcBorders>
              <w:top w:val="single" w:sz="4" w:space="0" w:color="auto"/>
              <w:left w:val="single" w:sz="4" w:space="0" w:color="auto"/>
              <w:bottom w:val="single" w:sz="4" w:space="0" w:color="auto"/>
              <w:right w:val="single" w:sz="4" w:space="0" w:color="auto"/>
            </w:tcBorders>
            <w:hideMark/>
          </w:tcPr>
          <w:p w14:paraId="31E65373" w14:textId="77777777" w:rsidR="00AF055E" w:rsidRPr="004D7E4B" w:rsidRDefault="00AF055E" w:rsidP="002E2521">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6C1C2E14" w14:textId="77777777" w:rsidR="00AF055E" w:rsidRPr="004D7E4B" w:rsidRDefault="00AF055E" w:rsidP="002E2521">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020A42A" w14:textId="77777777" w:rsidR="00AF055E" w:rsidRPr="004D7E4B" w:rsidRDefault="00AF055E" w:rsidP="002E2521">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AF055E" w:rsidRPr="004D7E4B" w14:paraId="4C31B5B6" w14:textId="77777777" w:rsidTr="002E2521">
        <w:trPr>
          <w:trHeight w:val="506"/>
        </w:trPr>
        <w:tc>
          <w:tcPr>
            <w:tcW w:w="3077" w:type="dxa"/>
            <w:tcBorders>
              <w:top w:val="single" w:sz="4" w:space="0" w:color="auto"/>
              <w:left w:val="single" w:sz="4" w:space="0" w:color="auto"/>
              <w:bottom w:val="single" w:sz="4" w:space="0" w:color="auto"/>
              <w:right w:val="single" w:sz="4" w:space="0" w:color="auto"/>
            </w:tcBorders>
            <w:hideMark/>
          </w:tcPr>
          <w:p w14:paraId="607B1359" w14:textId="3FC31F0E" w:rsidR="00AF055E" w:rsidRPr="004D7E4B" w:rsidRDefault="00AF055E" w:rsidP="002E2521">
            <w:pPr>
              <w:spacing w:line="360" w:lineRule="auto"/>
              <w:jc w:val="center"/>
              <w:rPr>
                <w:rFonts w:ascii="Times New Roman" w:hAnsi="Times New Roman" w:cs="Times New Roman"/>
                <w:b/>
                <w:sz w:val="24"/>
                <w:szCs w:val="24"/>
                <w:lang w:val="en-US"/>
              </w:rPr>
            </w:pPr>
            <w:r w:rsidRPr="00AF055E">
              <w:rPr>
                <w:rFonts w:ascii="Times New Roman" w:hAnsi="Times New Roman" w:cs="Times New Roman"/>
                <w:b/>
                <w:sz w:val="24"/>
                <w:szCs w:val="24"/>
              </w:rPr>
              <w:t>Below 25 years</w:t>
            </w:r>
          </w:p>
        </w:tc>
        <w:tc>
          <w:tcPr>
            <w:tcW w:w="3185" w:type="dxa"/>
            <w:tcBorders>
              <w:top w:val="single" w:sz="4" w:space="0" w:color="auto"/>
              <w:left w:val="single" w:sz="4" w:space="0" w:color="auto"/>
              <w:bottom w:val="single" w:sz="4" w:space="0" w:color="auto"/>
              <w:right w:val="single" w:sz="4" w:space="0" w:color="auto"/>
            </w:tcBorders>
            <w:hideMark/>
          </w:tcPr>
          <w:p w14:paraId="6CA2281A" w14:textId="28070B1A" w:rsidR="00AF055E" w:rsidRPr="004D7E4B" w:rsidRDefault="00AF055E" w:rsidP="002E252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p>
        </w:tc>
        <w:tc>
          <w:tcPr>
            <w:tcW w:w="3185" w:type="dxa"/>
            <w:tcBorders>
              <w:top w:val="single" w:sz="4" w:space="0" w:color="auto"/>
              <w:left w:val="single" w:sz="4" w:space="0" w:color="auto"/>
              <w:bottom w:val="single" w:sz="4" w:space="0" w:color="auto"/>
              <w:right w:val="single" w:sz="4" w:space="0" w:color="auto"/>
            </w:tcBorders>
            <w:hideMark/>
          </w:tcPr>
          <w:p w14:paraId="23E9676E" w14:textId="7D7E4A0B" w:rsidR="00AF055E" w:rsidRPr="004D7E4B" w:rsidRDefault="00AF055E" w:rsidP="002E252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AF055E" w:rsidRPr="004D7E4B" w14:paraId="3CA8AE73" w14:textId="77777777" w:rsidTr="002E2521">
        <w:trPr>
          <w:trHeight w:val="506"/>
        </w:trPr>
        <w:tc>
          <w:tcPr>
            <w:tcW w:w="3077" w:type="dxa"/>
            <w:tcBorders>
              <w:top w:val="single" w:sz="4" w:space="0" w:color="auto"/>
              <w:left w:val="single" w:sz="4" w:space="0" w:color="auto"/>
              <w:bottom w:val="single" w:sz="4" w:space="0" w:color="auto"/>
              <w:right w:val="single" w:sz="4" w:space="0" w:color="auto"/>
            </w:tcBorders>
            <w:hideMark/>
          </w:tcPr>
          <w:p w14:paraId="2A14DD49" w14:textId="0A984DD1" w:rsidR="00AF055E" w:rsidRPr="004D7E4B" w:rsidRDefault="00AF055E" w:rsidP="002E2521">
            <w:pPr>
              <w:spacing w:line="360" w:lineRule="auto"/>
              <w:jc w:val="center"/>
              <w:rPr>
                <w:rFonts w:ascii="Times New Roman" w:hAnsi="Times New Roman" w:cs="Times New Roman"/>
                <w:b/>
                <w:sz w:val="24"/>
                <w:szCs w:val="24"/>
                <w:lang w:val="en-US"/>
              </w:rPr>
            </w:pPr>
            <w:r w:rsidRPr="00AF055E">
              <w:rPr>
                <w:rFonts w:ascii="Times New Roman" w:hAnsi="Times New Roman" w:cs="Times New Roman"/>
                <w:b/>
                <w:sz w:val="24"/>
                <w:szCs w:val="24"/>
              </w:rPr>
              <w:t>25 – 34 years</w:t>
            </w:r>
          </w:p>
        </w:tc>
        <w:tc>
          <w:tcPr>
            <w:tcW w:w="3185" w:type="dxa"/>
            <w:tcBorders>
              <w:top w:val="single" w:sz="4" w:space="0" w:color="auto"/>
              <w:left w:val="single" w:sz="4" w:space="0" w:color="auto"/>
              <w:bottom w:val="single" w:sz="4" w:space="0" w:color="auto"/>
              <w:right w:val="single" w:sz="4" w:space="0" w:color="auto"/>
            </w:tcBorders>
            <w:hideMark/>
          </w:tcPr>
          <w:p w14:paraId="7D7A0F02" w14:textId="3D740984" w:rsidR="00AF055E" w:rsidRPr="004D7E4B" w:rsidRDefault="00AF055E" w:rsidP="002E252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4E9EC998" w14:textId="5E1F19D2" w:rsidR="00AF055E" w:rsidRPr="004D7E4B" w:rsidRDefault="00B74A39" w:rsidP="002E252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00AF055E" w:rsidRPr="004D7E4B">
              <w:rPr>
                <w:rFonts w:ascii="Times New Roman" w:hAnsi="Times New Roman" w:cs="Times New Roman"/>
                <w:b/>
                <w:sz w:val="24"/>
                <w:szCs w:val="24"/>
                <w:lang w:val="en-US"/>
              </w:rPr>
              <w:t>%</w:t>
            </w:r>
          </w:p>
        </w:tc>
      </w:tr>
      <w:tr w:rsidR="00AF055E" w:rsidRPr="004D7E4B" w14:paraId="18922346" w14:textId="77777777" w:rsidTr="002E2521">
        <w:trPr>
          <w:trHeight w:val="496"/>
        </w:trPr>
        <w:tc>
          <w:tcPr>
            <w:tcW w:w="3077" w:type="dxa"/>
            <w:tcBorders>
              <w:top w:val="single" w:sz="4" w:space="0" w:color="auto"/>
              <w:left w:val="single" w:sz="4" w:space="0" w:color="auto"/>
              <w:bottom w:val="single" w:sz="4" w:space="0" w:color="auto"/>
              <w:right w:val="single" w:sz="4" w:space="0" w:color="auto"/>
            </w:tcBorders>
            <w:hideMark/>
          </w:tcPr>
          <w:p w14:paraId="2E3950A3" w14:textId="6F15D02E" w:rsidR="00AF055E" w:rsidRPr="004D7E4B" w:rsidRDefault="00AF055E" w:rsidP="002E2521">
            <w:pPr>
              <w:spacing w:line="360" w:lineRule="auto"/>
              <w:jc w:val="center"/>
              <w:rPr>
                <w:rFonts w:ascii="Times New Roman" w:hAnsi="Times New Roman" w:cs="Times New Roman"/>
                <w:b/>
                <w:sz w:val="24"/>
                <w:szCs w:val="24"/>
                <w:lang w:val="en-US"/>
              </w:rPr>
            </w:pPr>
            <w:r w:rsidRPr="00AF055E">
              <w:rPr>
                <w:rFonts w:ascii="Times New Roman" w:hAnsi="Times New Roman" w:cs="Times New Roman"/>
                <w:b/>
                <w:sz w:val="24"/>
                <w:szCs w:val="24"/>
              </w:rPr>
              <w:t>35 – 44 years</w:t>
            </w:r>
          </w:p>
        </w:tc>
        <w:tc>
          <w:tcPr>
            <w:tcW w:w="3185" w:type="dxa"/>
            <w:tcBorders>
              <w:top w:val="single" w:sz="4" w:space="0" w:color="auto"/>
              <w:left w:val="single" w:sz="4" w:space="0" w:color="auto"/>
              <w:bottom w:val="single" w:sz="4" w:space="0" w:color="auto"/>
              <w:right w:val="single" w:sz="4" w:space="0" w:color="auto"/>
            </w:tcBorders>
            <w:hideMark/>
          </w:tcPr>
          <w:p w14:paraId="67D75567" w14:textId="71D8B636" w:rsidR="00AF055E" w:rsidRPr="004D7E4B" w:rsidRDefault="00AF055E" w:rsidP="002E252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4</w:t>
            </w:r>
          </w:p>
        </w:tc>
        <w:tc>
          <w:tcPr>
            <w:tcW w:w="3185" w:type="dxa"/>
            <w:tcBorders>
              <w:top w:val="single" w:sz="4" w:space="0" w:color="auto"/>
              <w:left w:val="single" w:sz="4" w:space="0" w:color="auto"/>
              <w:bottom w:val="single" w:sz="4" w:space="0" w:color="auto"/>
              <w:right w:val="single" w:sz="4" w:space="0" w:color="auto"/>
            </w:tcBorders>
            <w:hideMark/>
          </w:tcPr>
          <w:p w14:paraId="4AF4489A" w14:textId="7A25F244" w:rsidR="00AF055E" w:rsidRPr="004D7E4B" w:rsidRDefault="00B74A39" w:rsidP="002E252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00AF055E" w:rsidRPr="004D7E4B">
              <w:rPr>
                <w:rFonts w:ascii="Times New Roman" w:hAnsi="Times New Roman" w:cs="Times New Roman"/>
                <w:b/>
                <w:sz w:val="24"/>
                <w:szCs w:val="24"/>
                <w:lang w:val="en-US"/>
              </w:rPr>
              <w:t>%</w:t>
            </w:r>
          </w:p>
        </w:tc>
      </w:tr>
      <w:tr w:rsidR="00AF055E" w14:paraId="15136538" w14:textId="77777777" w:rsidTr="002E2521">
        <w:trPr>
          <w:trHeight w:val="496"/>
        </w:trPr>
        <w:tc>
          <w:tcPr>
            <w:tcW w:w="3077" w:type="dxa"/>
            <w:tcBorders>
              <w:top w:val="single" w:sz="4" w:space="0" w:color="auto"/>
              <w:left w:val="single" w:sz="4" w:space="0" w:color="auto"/>
              <w:bottom w:val="single" w:sz="4" w:space="0" w:color="auto"/>
              <w:right w:val="single" w:sz="4" w:space="0" w:color="auto"/>
            </w:tcBorders>
          </w:tcPr>
          <w:p w14:paraId="395FFA6A" w14:textId="6430228D" w:rsidR="00AF055E" w:rsidRPr="00EE3350" w:rsidRDefault="00AF055E" w:rsidP="002E2521">
            <w:pPr>
              <w:spacing w:line="360" w:lineRule="auto"/>
              <w:jc w:val="center"/>
              <w:rPr>
                <w:rFonts w:ascii="Times New Roman" w:hAnsi="Times New Roman" w:cs="Times New Roman"/>
                <w:b/>
                <w:sz w:val="24"/>
                <w:szCs w:val="24"/>
              </w:rPr>
            </w:pPr>
            <w:r w:rsidRPr="00AF055E">
              <w:rPr>
                <w:rFonts w:ascii="Times New Roman" w:hAnsi="Times New Roman" w:cs="Times New Roman"/>
                <w:b/>
                <w:sz w:val="24"/>
                <w:szCs w:val="24"/>
              </w:rPr>
              <w:t>45 – 54 years</w:t>
            </w:r>
          </w:p>
        </w:tc>
        <w:tc>
          <w:tcPr>
            <w:tcW w:w="3185" w:type="dxa"/>
            <w:tcBorders>
              <w:top w:val="single" w:sz="4" w:space="0" w:color="auto"/>
              <w:left w:val="single" w:sz="4" w:space="0" w:color="auto"/>
              <w:bottom w:val="single" w:sz="4" w:space="0" w:color="auto"/>
              <w:right w:val="single" w:sz="4" w:space="0" w:color="auto"/>
            </w:tcBorders>
          </w:tcPr>
          <w:p w14:paraId="32168103" w14:textId="26FD1E64" w:rsidR="00AF055E" w:rsidRDefault="00AF055E" w:rsidP="002E252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sidR="00B74A39">
              <w:rPr>
                <w:rFonts w:ascii="Times New Roman" w:hAnsi="Times New Roman" w:cs="Times New Roman"/>
                <w:b/>
                <w:sz w:val="24"/>
                <w:szCs w:val="24"/>
                <w:lang w:val="en-US"/>
              </w:rPr>
              <w:t>2</w:t>
            </w:r>
          </w:p>
        </w:tc>
        <w:tc>
          <w:tcPr>
            <w:tcW w:w="3185" w:type="dxa"/>
            <w:tcBorders>
              <w:top w:val="single" w:sz="4" w:space="0" w:color="auto"/>
              <w:left w:val="single" w:sz="4" w:space="0" w:color="auto"/>
              <w:bottom w:val="single" w:sz="4" w:space="0" w:color="auto"/>
              <w:right w:val="single" w:sz="4" w:space="0" w:color="auto"/>
            </w:tcBorders>
          </w:tcPr>
          <w:p w14:paraId="24601507" w14:textId="2C98C9F5" w:rsidR="00AF055E" w:rsidRDefault="00B74A39" w:rsidP="002E252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00AF055E">
              <w:rPr>
                <w:rFonts w:ascii="Times New Roman" w:hAnsi="Times New Roman" w:cs="Times New Roman"/>
                <w:b/>
                <w:sz w:val="24"/>
                <w:szCs w:val="24"/>
                <w:lang w:val="en-US"/>
              </w:rPr>
              <w:t>%</w:t>
            </w:r>
          </w:p>
        </w:tc>
      </w:tr>
      <w:tr w:rsidR="00AF055E" w14:paraId="2F7EA372" w14:textId="77777777" w:rsidTr="002E2521">
        <w:trPr>
          <w:trHeight w:val="496"/>
        </w:trPr>
        <w:tc>
          <w:tcPr>
            <w:tcW w:w="3077" w:type="dxa"/>
            <w:tcBorders>
              <w:top w:val="single" w:sz="4" w:space="0" w:color="auto"/>
              <w:left w:val="single" w:sz="4" w:space="0" w:color="auto"/>
              <w:bottom w:val="single" w:sz="4" w:space="0" w:color="auto"/>
              <w:right w:val="single" w:sz="4" w:space="0" w:color="auto"/>
            </w:tcBorders>
          </w:tcPr>
          <w:p w14:paraId="241EC73F" w14:textId="278A532A" w:rsidR="00AF055E" w:rsidRPr="004A14E0" w:rsidRDefault="00AF055E" w:rsidP="002E2521">
            <w:pPr>
              <w:spacing w:line="360" w:lineRule="auto"/>
              <w:jc w:val="center"/>
              <w:rPr>
                <w:rFonts w:ascii="Times New Roman" w:hAnsi="Times New Roman" w:cs="Times New Roman"/>
                <w:b/>
                <w:sz w:val="24"/>
                <w:szCs w:val="24"/>
              </w:rPr>
            </w:pPr>
            <w:r w:rsidRPr="00AF055E">
              <w:rPr>
                <w:rFonts w:ascii="Times New Roman" w:hAnsi="Times New Roman" w:cs="Times New Roman"/>
                <w:b/>
                <w:sz w:val="24"/>
                <w:szCs w:val="24"/>
              </w:rPr>
              <w:t>55 years and above</w:t>
            </w:r>
          </w:p>
        </w:tc>
        <w:tc>
          <w:tcPr>
            <w:tcW w:w="3185" w:type="dxa"/>
            <w:tcBorders>
              <w:top w:val="single" w:sz="4" w:space="0" w:color="auto"/>
              <w:left w:val="single" w:sz="4" w:space="0" w:color="auto"/>
              <w:bottom w:val="single" w:sz="4" w:space="0" w:color="auto"/>
              <w:right w:val="single" w:sz="4" w:space="0" w:color="auto"/>
            </w:tcBorders>
          </w:tcPr>
          <w:p w14:paraId="4BCE94AD" w14:textId="71FF2480" w:rsidR="00AF055E" w:rsidRDefault="00B74A39" w:rsidP="002E252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w:t>
            </w:r>
          </w:p>
        </w:tc>
        <w:tc>
          <w:tcPr>
            <w:tcW w:w="3185" w:type="dxa"/>
            <w:tcBorders>
              <w:top w:val="single" w:sz="4" w:space="0" w:color="auto"/>
              <w:left w:val="single" w:sz="4" w:space="0" w:color="auto"/>
              <w:bottom w:val="single" w:sz="4" w:space="0" w:color="auto"/>
              <w:right w:val="single" w:sz="4" w:space="0" w:color="auto"/>
            </w:tcBorders>
          </w:tcPr>
          <w:p w14:paraId="4F2A940D" w14:textId="2EEE51F0" w:rsidR="00AF055E" w:rsidRDefault="00B74A39" w:rsidP="002E252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00AF055E">
              <w:rPr>
                <w:rFonts w:ascii="Times New Roman" w:hAnsi="Times New Roman" w:cs="Times New Roman"/>
                <w:b/>
                <w:sz w:val="24"/>
                <w:szCs w:val="24"/>
                <w:lang w:val="en-US"/>
              </w:rPr>
              <w:t>%</w:t>
            </w:r>
          </w:p>
        </w:tc>
      </w:tr>
      <w:tr w:rsidR="00AF055E" w:rsidRPr="004D7E4B" w14:paraId="33264540" w14:textId="77777777" w:rsidTr="002E2521">
        <w:trPr>
          <w:trHeight w:val="516"/>
        </w:trPr>
        <w:tc>
          <w:tcPr>
            <w:tcW w:w="3077" w:type="dxa"/>
            <w:tcBorders>
              <w:top w:val="single" w:sz="4" w:space="0" w:color="auto"/>
              <w:left w:val="single" w:sz="4" w:space="0" w:color="auto"/>
              <w:bottom w:val="single" w:sz="4" w:space="0" w:color="auto"/>
              <w:right w:val="single" w:sz="4" w:space="0" w:color="auto"/>
            </w:tcBorders>
            <w:hideMark/>
          </w:tcPr>
          <w:p w14:paraId="28511565" w14:textId="77777777" w:rsidR="00AF055E" w:rsidRPr="004D7E4B" w:rsidRDefault="00AF055E" w:rsidP="002E2521">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49AE9A62" w14:textId="776F2228" w:rsidR="00AF055E" w:rsidRPr="004D7E4B" w:rsidRDefault="00B74A39" w:rsidP="002E252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w:t>
            </w:r>
            <w:r w:rsidR="00AF055E">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4A658182" w14:textId="77777777" w:rsidR="00AF055E" w:rsidRPr="004D7E4B" w:rsidRDefault="00AF055E" w:rsidP="002E2521">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5E3B66BD" w14:textId="77777777" w:rsidR="00AF055E" w:rsidRDefault="00AF055E" w:rsidP="00AF055E">
      <w:pPr>
        <w:spacing w:line="360" w:lineRule="auto"/>
        <w:rPr>
          <w:rFonts w:ascii="Times New Roman" w:hAnsi="Times New Roman" w:cs="Times New Roman"/>
          <w:b/>
          <w:sz w:val="24"/>
          <w:szCs w:val="24"/>
          <w:lang w:val="en-US"/>
        </w:rPr>
      </w:pPr>
    </w:p>
    <w:p w14:paraId="27E14D3C" w14:textId="77777777" w:rsidR="00AF055E" w:rsidRDefault="00AF055E" w:rsidP="00AF055E">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0"/>
    <w:p w14:paraId="27E282D2" w14:textId="1AD6644E" w:rsidR="00B74A39" w:rsidRPr="00B74A39" w:rsidRDefault="00B74A39" w:rsidP="00B74A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74A39">
        <w:rPr>
          <w:rFonts w:ascii="Times New Roman" w:hAnsi="Times New Roman" w:cs="Times New Roman"/>
          <w:sz w:val="24"/>
          <w:szCs w:val="24"/>
        </w:rPr>
        <w:t xml:space="preserve">The table above shows the age distribution of the respondents who participated in the study on the impact of cash flow risk management in the insurance industry. The largest group of respondents falls within the </w:t>
      </w:r>
      <w:r w:rsidRPr="00B74A39">
        <w:rPr>
          <w:rFonts w:ascii="Times New Roman" w:hAnsi="Times New Roman" w:cs="Times New Roman"/>
          <w:b/>
          <w:bCs/>
          <w:sz w:val="24"/>
          <w:szCs w:val="24"/>
        </w:rPr>
        <w:t>35–44 years</w:t>
      </w:r>
      <w:r w:rsidRPr="00B74A39">
        <w:rPr>
          <w:rFonts w:ascii="Times New Roman" w:hAnsi="Times New Roman" w:cs="Times New Roman"/>
          <w:sz w:val="24"/>
          <w:szCs w:val="24"/>
        </w:rPr>
        <w:t xml:space="preserve"> bracket, representing 40% of the sample. This suggests that mid-career professionals with substantial practical experience significantly contributed to the findings.</w:t>
      </w:r>
    </w:p>
    <w:p w14:paraId="37C16C0F" w14:textId="080C9937" w:rsidR="00B74A39" w:rsidRPr="00B74A39" w:rsidRDefault="00B74A39" w:rsidP="00B74A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74A39">
        <w:rPr>
          <w:rFonts w:ascii="Times New Roman" w:hAnsi="Times New Roman" w:cs="Times New Roman"/>
          <w:sz w:val="24"/>
          <w:szCs w:val="24"/>
        </w:rPr>
        <w:t xml:space="preserve">The second-largest group, aged </w:t>
      </w:r>
      <w:r w:rsidRPr="00B74A39">
        <w:rPr>
          <w:rFonts w:ascii="Times New Roman" w:hAnsi="Times New Roman" w:cs="Times New Roman"/>
          <w:b/>
          <w:bCs/>
          <w:sz w:val="24"/>
          <w:szCs w:val="24"/>
        </w:rPr>
        <w:t>25–34 years</w:t>
      </w:r>
      <w:r w:rsidRPr="00B74A39">
        <w:rPr>
          <w:rFonts w:ascii="Times New Roman" w:hAnsi="Times New Roman" w:cs="Times New Roman"/>
          <w:sz w:val="24"/>
          <w:szCs w:val="24"/>
        </w:rPr>
        <w:t xml:space="preserve"> (25%), reflects the involvement of younger professionals, likely bringing innovative approaches and familiarity with modern financial tools. Respondents between </w:t>
      </w:r>
      <w:r w:rsidRPr="00B74A39">
        <w:rPr>
          <w:rFonts w:ascii="Times New Roman" w:hAnsi="Times New Roman" w:cs="Times New Roman"/>
          <w:b/>
          <w:bCs/>
          <w:sz w:val="24"/>
          <w:szCs w:val="24"/>
        </w:rPr>
        <w:t>45 and 54 years</w:t>
      </w:r>
      <w:r w:rsidRPr="00B74A39">
        <w:rPr>
          <w:rFonts w:ascii="Times New Roman" w:hAnsi="Times New Roman" w:cs="Times New Roman"/>
          <w:sz w:val="24"/>
          <w:szCs w:val="24"/>
        </w:rPr>
        <w:t xml:space="preserve"> constitute 20%, indicating senior-level perspectives influencing strategic decisions related to cash flow risk.</w:t>
      </w:r>
    </w:p>
    <w:p w14:paraId="125B5704" w14:textId="1777E66E" w:rsidR="00B74A39" w:rsidRPr="00B74A39" w:rsidRDefault="00B74A39" w:rsidP="00B74A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74A39">
        <w:rPr>
          <w:rFonts w:ascii="Times New Roman" w:hAnsi="Times New Roman" w:cs="Times New Roman"/>
          <w:sz w:val="24"/>
          <w:szCs w:val="24"/>
        </w:rPr>
        <w:t xml:space="preserve">Those </w:t>
      </w:r>
      <w:r w:rsidRPr="00B74A39">
        <w:rPr>
          <w:rFonts w:ascii="Times New Roman" w:hAnsi="Times New Roman" w:cs="Times New Roman"/>
          <w:b/>
          <w:bCs/>
          <w:sz w:val="24"/>
          <w:szCs w:val="24"/>
        </w:rPr>
        <w:t>below 25 years</w:t>
      </w:r>
      <w:r w:rsidRPr="00B74A39">
        <w:rPr>
          <w:rFonts w:ascii="Times New Roman" w:hAnsi="Times New Roman" w:cs="Times New Roman"/>
          <w:sz w:val="24"/>
          <w:szCs w:val="24"/>
        </w:rPr>
        <w:t xml:space="preserve"> account for 5%, likely representing entry-level participants with limited experience. Finally, respondents aged </w:t>
      </w:r>
      <w:r w:rsidRPr="00B74A39">
        <w:rPr>
          <w:rFonts w:ascii="Times New Roman" w:hAnsi="Times New Roman" w:cs="Times New Roman"/>
          <w:b/>
          <w:bCs/>
          <w:sz w:val="24"/>
          <w:szCs w:val="24"/>
        </w:rPr>
        <w:t>55 years and above</w:t>
      </w:r>
      <w:r w:rsidRPr="00B74A39">
        <w:rPr>
          <w:rFonts w:ascii="Times New Roman" w:hAnsi="Times New Roman" w:cs="Times New Roman"/>
          <w:sz w:val="24"/>
          <w:szCs w:val="24"/>
        </w:rPr>
        <w:t xml:space="preserve"> make up 10%, indicating the presence of highly experienced individuals contributing long-term insights.</w:t>
      </w:r>
    </w:p>
    <w:p w14:paraId="5525E694" w14:textId="2612C139" w:rsidR="00B74A39" w:rsidRPr="00B74A39" w:rsidRDefault="00B74A39" w:rsidP="00B74A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74A39">
        <w:rPr>
          <w:rFonts w:ascii="Times New Roman" w:hAnsi="Times New Roman" w:cs="Times New Roman"/>
          <w:sz w:val="24"/>
          <w:szCs w:val="24"/>
        </w:rPr>
        <w:t>This diverse age profile ensures a balanced collection of views across experience levels, enhancing the robustness of the study’s conclusions on cash flow risk management practices and their impact within the insurance sector.</w:t>
      </w:r>
    </w:p>
    <w:p w14:paraId="40DD5E53" w14:textId="77777777" w:rsidR="00B74A39" w:rsidRPr="00967E78" w:rsidRDefault="00B74A39" w:rsidP="00B74A39">
      <w:pPr>
        <w:spacing w:line="360" w:lineRule="auto"/>
        <w:jc w:val="center"/>
        <w:rPr>
          <w:rFonts w:ascii="Times New Roman" w:hAnsi="Times New Roman" w:cs="Times New Roman"/>
          <w:b/>
          <w:bCs/>
          <w:sz w:val="24"/>
          <w:szCs w:val="24"/>
          <w:lang w:val="en-US"/>
        </w:rPr>
      </w:pPr>
      <w:bookmarkStart w:id="11" w:name="_Hlk203212624"/>
      <w:r w:rsidRPr="00967E78">
        <w:rPr>
          <w:rFonts w:ascii="Times New Roman" w:hAnsi="Times New Roman" w:cs="Times New Roman"/>
          <w:b/>
          <w:bCs/>
          <w:sz w:val="24"/>
          <w:szCs w:val="24"/>
          <w:lang w:val="en-US"/>
        </w:rPr>
        <w:lastRenderedPageBreak/>
        <w:t>TABLE – 4.2</w:t>
      </w:r>
    </w:p>
    <w:p w14:paraId="07787B03" w14:textId="77777777" w:rsidR="00B74A39" w:rsidRPr="004D7E4B" w:rsidRDefault="00B74A39" w:rsidP="00B74A39">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B74A39" w:rsidRPr="004D7E4B" w14:paraId="4056C8B5" w14:textId="77777777" w:rsidTr="002E2521">
        <w:tc>
          <w:tcPr>
            <w:tcW w:w="3002" w:type="dxa"/>
            <w:tcBorders>
              <w:top w:val="single" w:sz="4" w:space="0" w:color="auto"/>
              <w:left w:val="single" w:sz="4" w:space="0" w:color="auto"/>
              <w:bottom w:val="single" w:sz="4" w:space="0" w:color="auto"/>
              <w:right w:val="single" w:sz="4" w:space="0" w:color="auto"/>
            </w:tcBorders>
            <w:hideMark/>
          </w:tcPr>
          <w:p w14:paraId="3413D8F0" w14:textId="77777777" w:rsidR="00B74A39" w:rsidRPr="004D7E4B" w:rsidRDefault="00B74A39" w:rsidP="002E2521">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78764786" w14:textId="77777777" w:rsidR="00B74A39" w:rsidRPr="004D7E4B" w:rsidRDefault="00B74A39" w:rsidP="002E2521">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6CA2E5CD" w14:textId="77777777" w:rsidR="00B74A39" w:rsidRPr="004D7E4B" w:rsidRDefault="00B74A39" w:rsidP="002E2521">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B74A39" w:rsidRPr="004D7E4B" w14:paraId="0247D5C9" w14:textId="77777777" w:rsidTr="002E2521">
        <w:tc>
          <w:tcPr>
            <w:tcW w:w="3002" w:type="dxa"/>
            <w:tcBorders>
              <w:top w:val="single" w:sz="4" w:space="0" w:color="auto"/>
              <w:left w:val="single" w:sz="4" w:space="0" w:color="auto"/>
              <w:bottom w:val="single" w:sz="4" w:space="0" w:color="auto"/>
              <w:right w:val="single" w:sz="4" w:space="0" w:color="auto"/>
            </w:tcBorders>
            <w:hideMark/>
          </w:tcPr>
          <w:p w14:paraId="5C5E9C7F" w14:textId="77777777" w:rsidR="00B74A39" w:rsidRPr="004D7E4B" w:rsidRDefault="00B74A39" w:rsidP="002E2521">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34A69EB0" w14:textId="2E50CB62" w:rsidR="00B74A39" w:rsidRPr="004D7E4B" w:rsidRDefault="00B74A39" w:rsidP="002E2521">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40</w:t>
            </w:r>
          </w:p>
        </w:tc>
        <w:tc>
          <w:tcPr>
            <w:tcW w:w="2685" w:type="dxa"/>
            <w:tcBorders>
              <w:top w:val="single" w:sz="4" w:space="0" w:color="auto"/>
              <w:left w:val="single" w:sz="4" w:space="0" w:color="auto"/>
              <w:bottom w:val="single" w:sz="4" w:space="0" w:color="auto"/>
              <w:right w:val="single" w:sz="4" w:space="0" w:color="auto"/>
            </w:tcBorders>
            <w:hideMark/>
          </w:tcPr>
          <w:p w14:paraId="772284A6" w14:textId="4FBDBA8C" w:rsidR="00B74A39" w:rsidRPr="004D7E4B" w:rsidRDefault="00B74A39" w:rsidP="002E2521">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67</w:t>
            </w:r>
            <w:r w:rsidRPr="004D7E4B">
              <w:rPr>
                <w:rFonts w:ascii="Times New Roman" w:hAnsi="Times New Roman" w:cs="Times New Roman"/>
                <w:bCs/>
                <w:sz w:val="24"/>
                <w:szCs w:val="24"/>
                <w:lang w:val="en-US"/>
              </w:rPr>
              <w:t>%</w:t>
            </w:r>
          </w:p>
        </w:tc>
      </w:tr>
      <w:tr w:rsidR="00B74A39" w:rsidRPr="004D7E4B" w14:paraId="58D9E066" w14:textId="77777777" w:rsidTr="002E2521">
        <w:tc>
          <w:tcPr>
            <w:tcW w:w="3002" w:type="dxa"/>
            <w:tcBorders>
              <w:top w:val="single" w:sz="4" w:space="0" w:color="auto"/>
              <w:left w:val="single" w:sz="4" w:space="0" w:color="auto"/>
              <w:bottom w:val="single" w:sz="4" w:space="0" w:color="auto"/>
              <w:right w:val="single" w:sz="4" w:space="0" w:color="auto"/>
            </w:tcBorders>
            <w:hideMark/>
          </w:tcPr>
          <w:p w14:paraId="18E12EB4" w14:textId="77777777" w:rsidR="00B74A39" w:rsidRPr="004D7E4B" w:rsidRDefault="00B74A39" w:rsidP="002E2521">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11C96917" w14:textId="7F700F00" w:rsidR="00B74A39" w:rsidRPr="004D7E4B" w:rsidRDefault="00B74A39" w:rsidP="002E2521">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w:t>
            </w:r>
            <w:r>
              <w:rPr>
                <w:rFonts w:ascii="Times New Roman" w:hAnsi="Times New Roman" w:cs="Times New Roman"/>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76D15C96" w14:textId="5A9B270D" w:rsidR="00B74A39" w:rsidRPr="004D7E4B" w:rsidRDefault="00B74A39" w:rsidP="002E2521">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33</w:t>
            </w:r>
            <w:r>
              <w:rPr>
                <w:rFonts w:ascii="Times New Roman" w:hAnsi="Times New Roman" w:cs="Times New Roman"/>
                <w:bCs/>
                <w:sz w:val="24"/>
                <w:szCs w:val="24"/>
                <w:lang w:val="en-US"/>
              </w:rPr>
              <w:t>%</w:t>
            </w:r>
          </w:p>
        </w:tc>
      </w:tr>
      <w:tr w:rsidR="00B74A39" w:rsidRPr="004D7E4B" w14:paraId="0BD0E93B" w14:textId="77777777" w:rsidTr="002E2521">
        <w:tc>
          <w:tcPr>
            <w:tcW w:w="3002" w:type="dxa"/>
            <w:tcBorders>
              <w:top w:val="single" w:sz="4" w:space="0" w:color="auto"/>
              <w:left w:val="single" w:sz="4" w:space="0" w:color="auto"/>
              <w:bottom w:val="single" w:sz="4" w:space="0" w:color="auto"/>
              <w:right w:val="single" w:sz="4" w:space="0" w:color="auto"/>
            </w:tcBorders>
            <w:hideMark/>
          </w:tcPr>
          <w:p w14:paraId="39829746" w14:textId="77777777" w:rsidR="00B74A39" w:rsidRPr="004D7E4B" w:rsidRDefault="00B74A39" w:rsidP="002E2521">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61F239AF" w14:textId="37329862" w:rsidR="00B74A39" w:rsidRPr="004D7E4B" w:rsidRDefault="00B74A39" w:rsidP="002E2521">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6</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249BE5F0" w14:textId="77777777" w:rsidR="00B74A39" w:rsidRPr="004D7E4B" w:rsidRDefault="00B74A39" w:rsidP="002E2521">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68902305" w14:textId="77777777" w:rsidR="00B74A39" w:rsidRDefault="00B74A39" w:rsidP="00B74A39">
      <w:pPr>
        <w:spacing w:line="360" w:lineRule="auto"/>
        <w:jc w:val="both"/>
        <w:rPr>
          <w:rFonts w:ascii="Times New Roman" w:hAnsi="Times New Roman" w:cs="Times New Roman"/>
          <w:bCs/>
          <w:sz w:val="24"/>
          <w:szCs w:val="24"/>
        </w:rPr>
      </w:pPr>
    </w:p>
    <w:p w14:paraId="7C9C658F" w14:textId="77777777" w:rsidR="00B74A39" w:rsidRPr="007B042D" w:rsidRDefault="00B74A39" w:rsidP="00B74A39">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1"/>
    <w:p w14:paraId="7A56C352" w14:textId="77777777" w:rsidR="00B74A39" w:rsidRPr="00B74A39" w:rsidRDefault="00B74A39" w:rsidP="00B74A39">
      <w:pPr>
        <w:spacing w:line="360" w:lineRule="auto"/>
        <w:jc w:val="both"/>
        <w:rPr>
          <w:rFonts w:ascii="Times New Roman" w:hAnsi="Times New Roman" w:cs="Times New Roman"/>
          <w:sz w:val="24"/>
          <w:szCs w:val="24"/>
        </w:rPr>
      </w:pPr>
      <w:r w:rsidRPr="00B74A39">
        <w:rPr>
          <w:rFonts w:ascii="Times New Roman" w:hAnsi="Times New Roman" w:cs="Times New Roman"/>
          <w:sz w:val="24"/>
          <w:szCs w:val="24"/>
        </w:rPr>
        <w:t>The data in Table 4.2 indicates that out of the total respondents involved in the study of cash flow risk management in the insurance industry, 67% are male, while 33% are female. This distribution reflects a gender composition where male professionals dominate the roles related to cash flow and financial risk management in the surveyed insurance companies.</w:t>
      </w:r>
    </w:p>
    <w:p w14:paraId="6D901DD8" w14:textId="77777777" w:rsidR="00B74A39" w:rsidRPr="00B74A39" w:rsidRDefault="00B74A39" w:rsidP="00B74A39">
      <w:pPr>
        <w:spacing w:line="360" w:lineRule="auto"/>
        <w:jc w:val="both"/>
        <w:rPr>
          <w:rFonts w:ascii="Times New Roman" w:hAnsi="Times New Roman" w:cs="Times New Roman"/>
          <w:sz w:val="24"/>
          <w:szCs w:val="24"/>
        </w:rPr>
      </w:pPr>
      <w:r w:rsidRPr="00B74A39">
        <w:rPr>
          <w:rFonts w:ascii="Times New Roman" w:hAnsi="Times New Roman" w:cs="Times New Roman"/>
          <w:sz w:val="24"/>
          <w:szCs w:val="24"/>
        </w:rPr>
        <w:t>This gender disparity could be attributed to historical trends in the finance and insurance sectors where male participation has traditionally been higher, especially in senior and technical roles. However, the presence of a substantial 33% female respondents shows encouraging diversity and indicates increasing female participation in financial decision-making and risk management within the insurance industry.</w:t>
      </w:r>
    </w:p>
    <w:p w14:paraId="4CD5C774" w14:textId="77777777" w:rsidR="00B74A39" w:rsidRPr="00B74A39" w:rsidRDefault="00B74A39" w:rsidP="00B74A39">
      <w:pPr>
        <w:spacing w:line="360" w:lineRule="auto"/>
        <w:jc w:val="both"/>
        <w:rPr>
          <w:rFonts w:ascii="Times New Roman" w:hAnsi="Times New Roman" w:cs="Times New Roman"/>
          <w:sz w:val="24"/>
          <w:szCs w:val="24"/>
        </w:rPr>
      </w:pPr>
      <w:r w:rsidRPr="00B74A39">
        <w:rPr>
          <w:rFonts w:ascii="Times New Roman" w:hAnsi="Times New Roman" w:cs="Times New Roman"/>
          <w:sz w:val="24"/>
          <w:szCs w:val="24"/>
        </w:rPr>
        <w:t>Understanding the gender distribution is important as it provides context for the perspectives captured in the study. Diverse teams often bring varied insights, which can improve the effectiveness of cash flow risk management strategies. Hence, recognizing gender dynamics helps highlight areas for inclusivity improvement that may contribute to more robust risk management practices in the future.</w:t>
      </w:r>
    </w:p>
    <w:p w14:paraId="1B197110" w14:textId="6BBD3198" w:rsidR="00AF055E" w:rsidRDefault="00AF055E" w:rsidP="00AF055E">
      <w:pPr>
        <w:spacing w:line="360" w:lineRule="auto"/>
        <w:jc w:val="both"/>
        <w:rPr>
          <w:rFonts w:ascii="Times New Roman" w:hAnsi="Times New Roman" w:cs="Times New Roman"/>
          <w:sz w:val="24"/>
          <w:szCs w:val="24"/>
        </w:rPr>
      </w:pPr>
    </w:p>
    <w:p w14:paraId="163448D7" w14:textId="77777777" w:rsidR="00B74A39" w:rsidRDefault="00B74A39" w:rsidP="00AF055E">
      <w:pPr>
        <w:spacing w:line="360" w:lineRule="auto"/>
        <w:jc w:val="both"/>
        <w:rPr>
          <w:rFonts w:ascii="Times New Roman" w:hAnsi="Times New Roman" w:cs="Times New Roman"/>
          <w:sz w:val="24"/>
          <w:szCs w:val="24"/>
        </w:rPr>
      </w:pPr>
    </w:p>
    <w:p w14:paraId="699B9DFC" w14:textId="77777777" w:rsidR="00B74A39" w:rsidRDefault="00B74A39" w:rsidP="00AF055E">
      <w:pPr>
        <w:spacing w:line="360" w:lineRule="auto"/>
        <w:jc w:val="both"/>
        <w:rPr>
          <w:rFonts w:ascii="Times New Roman" w:hAnsi="Times New Roman" w:cs="Times New Roman"/>
          <w:sz w:val="24"/>
          <w:szCs w:val="24"/>
        </w:rPr>
      </w:pPr>
    </w:p>
    <w:p w14:paraId="71796EE9" w14:textId="77777777" w:rsidR="00B74A39" w:rsidRDefault="00B74A39" w:rsidP="00AF055E">
      <w:pPr>
        <w:spacing w:line="360" w:lineRule="auto"/>
        <w:jc w:val="both"/>
        <w:rPr>
          <w:rFonts w:ascii="Times New Roman" w:hAnsi="Times New Roman" w:cs="Times New Roman"/>
          <w:sz w:val="24"/>
          <w:szCs w:val="24"/>
        </w:rPr>
      </w:pPr>
    </w:p>
    <w:p w14:paraId="656F1E27" w14:textId="77777777" w:rsidR="00B74A39" w:rsidRDefault="00B74A39" w:rsidP="00AF055E">
      <w:pPr>
        <w:spacing w:line="360" w:lineRule="auto"/>
        <w:jc w:val="both"/>
        <w:rPr>
          <w:rFonts w:ascii="Times New Roman" w:hAnsi="Times New Roman" w:cs="Times New Roman"/>
          <w:sz w:val="24"/>
          <w:szCs w:val="24"/>
        </w:rPr>
      </w:pPr>
    </w:p>
    <w:p w14:paraId="2760F846" w14:textId="77777777" w:rsidR="00B74A39" w:rsidRDefault="00B74A39" w:rsidP="00B74A39">
      <w:pPr>
        <w:spacing w:line="360" w:lineRule="auto"/>
        <w:jc w:val="both"/>
        <w:rPr>
          <w:rFonts w:ascii="Times New Roman" w:hAnsi="Times New Roman" w:cs="Times New Roman"/>
          <w:b/>
          <w:bCs/>
          <w:sz w:val="24"/>
          <w:szCs w:val="24"/>
        </w:rPr>
      </w:pPr>
      <w:bookmarkStart w:id="12" w:name="_Hlk202090519"/>
      <w:r w:rsidRPr="007B042D">
        <w:rPr>
          <w:rFonts w:ascii="Times New Roman" w:hAnsi="Times New Roman" w:cs="Times New Roman"/>
          <w:b/>
          <w:bCs/>
          <w:sz w:val="24"/>
          <w:szCs w:val="24"/>
        </w:rPr>
        <w:lastRenderedPageBreak/>
        <w:t>CONCLUSION</w:t>
      </w:r>
    </w:p>
    <w:bookmarkEnd w:id="12"/>
    <w:p w14:paraId="0F7D47CE" w14:textId="0E78B616" w:rsidR="00A80F0F" w:rsidRPr="00A80F0F" w:rsidRDefault="00A80F0F" w:rsidP="00A80F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80F0F">
        <w:rPr>
          <w:rFonts w:ascii="Times New Roman" w:hAnsi="Times New Roman" w:cs="Times New Roman"/>
          <w:sz w:val="24"/>
          <w:szCs w:val="24"/>
        </w:rPr>
        <w:t xml:space="preserve">Effective cash flow risk management is a fundamental pillar for the stability and sustainability of the insurance industry. This study has highlighted the intricate dynamics between managing liquidity and ensuring the timely </w:t>
      </w:r>
      <w:proofErr w:type="spellStart"/>
      <w:r w:rsidRPr="00A80F0F">
        <w:rPr>
          <w:rFonts w:ascii="Times New Roman" w:hAnsi="Times New Roman" w:cs="Times New Roman"/>
          <w:sz w:val="24"/>
          <w:szCs w:val="24"/>
        </w:rPr>
        <w:t>fulfillment</w:t>
      </w:r>
      <w:proofErr w:type="spellEnd"/>
      <w:r w:rsidRPr="00A80F0F">
        <w:rPr>
          <w:rFonts w:ascii="Times New Roman" w:hAnsi="Times New Roman" w:cs="Times New Roman"/>
          <w:sz w:val="24"/>
          <w:szCs w:val="24"/>
        </w:rPr>
        <w:t xml:space="preserve"> of claims, which are essential to maintaining customer trust and regulatory compliance. The insurance industry operates in an environment characterized by inherent uncertainties, such as fluctuating claim patterns, economic volatility, and emerging risks like climate change and cyber threats. These uncertainties make cash flow management a critical area of focus. Insurance companies must carefully balance premium collections, investment income, and claim payouts, while maintaining sufficient liquidity to absorb shocks and respond promptly to unforeseen events.</w:t>
      </w:r>
    </w:p>
    <w:p w14:paraId="54385FA2" w14:textId="26915C98" w:rsidR="00A80F0F" w:rsidRPr="00A80F0F" w:rsidRDefault="00A80F0F" w:rsidP="00A80F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80F0F">
        <w:rPr>
          <w:rFonts w:ascii="Times New Roman" w:hAnsi="Times New Roman" w:cs="Times New Roman"/>
          <w:sz w:val="24"/>
          <w:szCs w:val="24"/>
        </w:rPr>
        <w:t>The findings reveal that insurers who adopt robust cash flow forecasting, risk assessment, and mitigation strategies are better positioned to navigate market disruptions and maintain operational efficiency. Techniques such as asset-liability matching, stress testing, and reinsurance play a crucial role in reducing liquidity risk and stabilizing cash flows. Moreover, regulatory frameworks like Solvency II and Risk-Based Capital requirements have significantly influenced insurers’ approach to liquidity management by enforcing stricter controls and encouraging more prudent financial practices. These regulations have compelled companies to adopt a more disciplined and forward-looking view of cash flow risks.</w:t>
      </w:r>
    </w:p>
    <w:p w14:paraId="11B9B3BA" w14:textId="604F333A" w:rsidR="00A80F0F" w:rsidRPr="00A80F0F" w:rsidRDefault="00A80F0F" w:rsidP="00A80F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80F0F">
        <w:rPr>
          <w:rFonts w:ascii="Times New Roman" w:hAnsi="Times New Roman" w:cs="Times New Roman"/>
          <w:sz w:val="24"/>
          <w:szCs w:val="24"/>
        </w:rPr>
        <w:t xml:space="preserve">Additionally, the role of technology and data analytics emerged as a transformative factor enabling real-time monitoring and predictive </w:t>
      </w:r>
      <w:proofErr w:type="spellStart"/>
      <w:r w:rsidRPr="00A80F0F">
        <w:rPr>
          <w:rFonts w:ascii="Times New Roman" w:hAnsi="Times New Roman" w:cs="Times New Roman"/>
          <w:sz w:val="24"/>
          <w:szCs w:val="24"/>
        </w:rPr>
        <w:t>modeling</w:t>
      </w:r>
      <w:proofErr w:type="spellEnd"/>
      <w:r w:rsidRPr="00A80F0F">
        <w:rPr>
          <w:rFonts w:ascii="Times New Roman" w:hAnsi="Times New Roman" w:cs="Times New Roman"/>
          <w:sz w:val="24"/>
          <w:szCs w:val="24"/>
        </w:rPr>
        <w:t xml:space="preserve"> of cash flow risks. Insurers leveraging these tools can identify vulnerabilities early and adjust their strategies accordingly. However, despite these advances, challenges remain, including the accurate prediction of claim events, the volatility of investment returns, and the impact of global economic shifts. Furthermore, the demographic and organizational factors, such as the experience level and decision-making processes of management teams, influence the effectiveness of cash flow risk management practices.</w:t>
      </w:r>
    </w:p>
    <w:p w14:paraId="1C30B34D" w14:textId="53138DCE" w:rsidR="00A80F0F" w:rsidRDefault="00A80F0F" w:rsidP="00A80F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80F0F">
        <w:rPr>
          <w:rFonts w:ascii="Times New Roman" w:hAnsi="Times New Roman" w:cs="Times New Roman"/>
          <w:sz w:val="24"/>
          <w:szCs w:val="24"/>
        </w:rPr>
        <w:t xml:space="preserve">The study also underscores the importance of integrating cash flow risk management into the broader strategic framework of insurance companies rather than treating it as a purely financial or operational concern. This integrated approach ensures that liquidity considerations inform underwriting, pricing, and capital allocation decisions, ultimately enhancing the company’s resilience and competitive advantage. </w:t>
      </w:r>
    </w:p>
    <w:p w14:paraId="7DA006A6" w14:textId="77777777" w:rsidR="00A80F0F" w:rsidRDefault="00A80F0F" w:rsidP="00A80F0F">
      <w:pPr>
        <w:spacing w:line="360" w:lineRule="auto"/>
        <w:jc w:val="both"/>
        <w:rPr>
          <w:rFonts w:ascii="Times New Roman" w:hAnsi="Times New Roman" w:cs="Times New Roman"/>
          <w:sz w:val="24"/>
          <w:szCs w:val="24"/>
        </w:rPr>
      </w:pPr>
    </w:p>
    <w:p w14:paraId="0B653DA9" w14:textId="77777777" w:rsidR="00A80F0F" w:rsidRPr="007B042D" w:rsidRDefault="00A80F0F" w:rsidP="00A80F0F">
      <w:pPr>
        <w:spacing w:line="360" w:lineRule="auto"/>
        <w:jc w:val="center"/>
        <w:rPr>
          <w:rFonts w:ascii="Times New Roman" w:hAnsi="Times New Roman" w:cs="Times New Roman"/>
          <w:b/>
          <w:bCs/>
          <w:sz w:val="24"/>
          <w:szCs w:val="24"/>
          <w:lang w:val="en-US"/>
        </w:rPr>
      </w:pPr>
      <w:bookmarkStart w:id="13" w:name="_Hlk202090638"/>
      <w:r w:rsidRPr="007B042D">
        <w:rPr>
          <w:rFonts w:ascii="Times New Roman" w:hAnsi="Times New Roman" w:cs="Times New Roman"/>
          <w:b/>
          <w:bCs/>
          <w:sz w:val="24"/>
          <w:szCs w:val="24"/>
          <w:lang w:val="en-US"/>
        </w:rPr>
        <w:lastRenderedPageBreak/>
        <w:t>BIBLIOGRAPHY</w:t>
      </w:r>
    </w:p>
    <w:bookmarkEnd w:id="13"/>
    <w:p w14:paraId="740FAF9B" w14:textId="0269A5ED" w:rsidR="00A80F0F" w:rsidRPr="00A80F0F" w:rsidRDefault="00A80F0F" w:rsidP="00A80F0F">
      <w:pPr>
        <w:pStyle w:val="ListParagraph"/>
        <w:numPr>
          <w:ilvl w:val="0"/>
          <w:numId w:val="5"/>
        </w:numPr>
        <w:spacing w:line="360" w:lineRule="auto"/>
        <w:jc w:val="both"/>
        <w:rPr>
          <w:rFonts w:ascii="Times New Roman" w:hAnsi="Times New Roman" w:cs="Times New Roman"/>
          <w:sz w:val="24"/>
          <w:szCs w:val="24"/>
        </w:rPr>
      </w:pPr>
      <w:r w:rsidRPr="00A80F0F">
        <w:rPr>
          <w:rFonts w:ascii="Times New Roman" w:hAnsi="Times New Roman" w:cs="Times New Roman"/>
          <w:sz w:val="24"/>
          <w:szCs w:val="24"/>
        </w:rPr>
        <w:t>Cummins, J. D., &amp; Weiss, M. A. (2014). Systemic Risk and the U.S. Insurance Sector. Journal of Risk and Insurance, 81(3), 489–528. https://doi.org/10.1111/jori.12022</w:t>
      </w:r>
    </w:p>
    <w:p w14:paraId="18D0B90F" w14:textId="7AEF4866" w:rsidR="00A80F0F" w:rsidRPr="00A80F0F" w:rsidRDefault="00A80F0F" w:rsidP="00A80F0F">
      <w:pPr>
        <w:pStyle w:val="ListParagraph"/>
        <w:numPr>
          <w:ilvl w:val="0"/>
          <w:numId w:val="5"/>
        </w:numPr>
        <w:spacing w:line="360" w:lineRule="auto"/>
        <w:jc w:val="both"/>
        <w:rPr>
          <w:rFonts w:ascii="Times New Roman" w:hAnsi="Times New Roman" w:cs="Times New Roman"/>
          <w:sz w:val="24"/>
          <w:szCs w:val="24"/>
        </w:rPr>
      </w:pPr>
      <w:r w:rsidRPr="00A80F0F">
        <w:rPr>
          <w:rFonts w:ascii="Times New Roman" w:hAnsi="Times New Roman" w:cs="Times New Roman"/>
          <w:sz w:val="24"/>
          <w:szCs w:val="24"/>
        </w:rPr>
        <w:t>Grace, M. F., &amp; Leverty, J. T. (2012). The Role of Cash Flow Management in the Insurance Industry: An Empirical Analysis. The Geneva Papers on Risk and Insurance – Issues and Practice, 37(3), 405–422.</w:t>
      </w:r>
    </w:p>
    <w:p w14:paraId="1A582FB8" w14:textId="5BF9B090" w:rsidR="00A80F0F" w:rsidRPr="00A80F0F" w:rsidRDefault="00A80F0F" w:rsidP="00A80F0F">
      <w:pPr>
        <w:pStyle w:val="ListParagraph"/>
        <w:numPr>
          <w:ilvl w:val="0"/>
          <w:numId w:val="5"/>
        </w:numPr>
        <w:spacing w:line="360" w:lineRule="auto"/>
        <w:jc w:val="both"/>
        <w:rPr>
          <w:rFonts w:ascii="Times New Roman" w:hAnsi="Times New Roman" w:cs="Times New Roman"/>
          <w:sz w:val="24"/>
          <w:szCs w:val="24"/>
        </w:rPr>
      </w:pPr>
      <w:r w:rsidRPr="00A80F0F">
        <w:rPr>
          <w:rFonts w:ascii="Times New Roman" w:hAnsi="Times New Roman" w:cs="Times New Roman"/>
          <w:sz w:val="24"/>
          <w:szCs w:val="24"/>
        </w:rPr>
        <w:t>Niehaus, G., &amp; Terry, J. (1993). Risk Management in Insurance: The Role of Reinsurance and Asset Liability Matching. Risk Management and Insurance Review, 2(1), 89–105.</w:t>
      </w:r>
    </w:p>
    <w:p w14:paraId="442B7352" w14:textId="4443A880" w:rsidR="00A80F0F" w:rsidRPr="00A80F0F" w:rsidRDefault="00A80F0F" w:rsidP="00A80F0F">
      <w:pPr>
        <w:pStyle w:val="ListParagraph"/>
        <w:numPr>
          <w:ilvl w:val="0"/>
          <w:numId w:val="5"/>
        </w:numPr>
        <w:spacing w:line="360" w:lineRule="auto"/>
        <w:jc w:val="both"/>
        <w:rPr>
          <w:rFonts w:ascii="Times New Roman" w:hAnsi="Times New Roman" w:cs="Times New Roman"/>
          <w:sz w:val="24"/>
          <w:szCs w:val="24"/>
        </w:rPr>
      </w:pPr>
      <w:r w:rsidRPr="00A80F0F">
        <w:rPr>
          <w:rFonts w:ascii="Times New Roman" w:hAnsi="Times New Roman" w:cs="Times New Roman"/>
          <w:sz w:val="24"/>
          <w:szCs w:val="24"/>
        </w:rPr>
        <w:t>Eling, M., &amp; Schmeiser, H. (2010). Insurance and Solvency Regulation: What Have We Learned from the Financial Crisis? The Geneva Papers on Risk and Insurance – Issues and Practice, 35(2), 179–202.</w:t>
      </w:r>
    </w:p>
    <w:p w14:paraId="51F3E396" w14:textId="092F1EB3" w:rsidR="00A80F0F" w:rsidRPr="00A80F0F" w:rsidRDefault="00A80F0F" w:rsidP="00A80F0F">
      <w:pPr>
        <w:pStyle w:val="ListParagraph"/>
        <w:numPr>
          <w:ilvl w:val="0"/>
          <w:numId w:val="5"/>
        </w:numPr>
        <w:spacing w:line="360" w:lineRule="auto"/>
        <w:jc w:val="both"/>
        <w:rPr>
          <w:rFonts w:ascii="Times New Roman" w:hAnsi="Times New Roman" w:cs="Times New Roman"/>
          <w:sz w:val="24"/>
          <w:szCs w:val="24"/>
        </w:rPr>
      </w:pPr>
      <w:r w:rsidRPr="00A80F0F">
        <w:rPr>
          <w:rFonts w:ascii="Times New Roman" w:hAnsi="Times New Roman" w:cs="Times New Roman"/>
          <w:sz w:val="24"/>
          <w:szCs w:val="24"/>
        </w:rPr>
        <w:t>Swiss Re Institute. (2020). Insurance in a Changing Climate: Emerging Risks and Opportunities. Swiss Re. https://www.swissre.com/institute/research/topics-and-risk-dialogues/climate-change.html</w:t>
      </w:r>
    </w:p>
    <w:p w14:paraId="146EC052" w14:textId="2034CF91" w:rsidR="00A80F0F" w:rsidRPr="00A80F0F" w:rsidRDefault="00A80F0F" w:rsidP="00A80F0F">
      <w:pPr>
        <w:pStyle w:val="ListParagraph"/>
        <w:numPr>
          <w:ilvl w:val="0"/>
          <w:numId w:val="5"/>
        </w:numPr>
        <w:spacing w:line="360" w:lineRule="auto"/>
        <w:jc w:val="both"/>
        <w:rPr>
          <w:rFonts w:ascii="Times New Roman" w:hAnsi="Times New Roman" w:cs="Times New Roman"/>
          <w:sz w:val="24"/>
          <w:szCs w:val="24"/>
        </w:rPr>
      </w:pPr>
      <w:r w:rsidRPr="00A80F0F">
        <w:rPr>
          <w:rFonts w:ascii="Times New Roman" w:hAnsi="Times New Roman" w:cs="Times New Roman"/>
          <w:sz w:val="24"/>
          <w:szCs w:val="24"/>
        </w:rPr>
        <w:t>KPMG. (2021). Harnessing the Power of Data Analytics in Insurance Risk Management. KPMG International. https://home.kpmg/xx/en/home/insights/2021/05/data-analytics-in-insurance-risk-management.html</w:t>
      </w:r>
    </w:p>
    <w:p w14:paraId="77D4C08F" w14:textId="79EFEF67" w:rsidR="00A80F0F" w:rsidRPr="00A80F0F" w:rsidRDefault="00A80F0F" w:rsidP="00A80F0F">
      <w:pPr>
        <w:pStyle w:val="ListParagraph"/>
        <w:numPr>
          <w:ilvl w:val="0"/>
          <w:numId w:val="5"/>
        </w:numPr>
        <w:spacing w:line="360" w:lineRule="auto"/>
        <w:jc w:val="both"/>
        <w:rPr>
          <w:rFonts w:ascii="Times New Roman" w:hAnsi="Times New Roman" w:cs="Times New Roman"/>
          <w:sz w:val="24"/>
          <w:szCs w:val="24"/>
        </w:rPr>
      </w:pPr>
      <w:r w:rsidRPr="00A80F0F">
        <w:rPr>
          <w:rFonts w:ascii="Times New Roman" w:hAnsi="Times New Roman" w:cs="Times New Roman"/>
          <w:sz w:val="24"/>
          <w:szCs w:val="24"/>
        </w:rPr>
        <w:t xml:space="preserve">International Association of Insurance Supervisors (IAIS). (2019). Insurance Core Principles and </w:t>
      </w:r>
      <w:proofErr w:type="spellStart"/>
      <w:r w:rsidRPr="00A80F0F">
        <w:rPr>
          <w:rFonts w:ascii="Times New Roman" w:hAnsi="Times New Roman" w:cs="Times New Roman"/>
          <w:sz w:val="24"/>
          <w:szCs w:val="24"/>
        </w:rPr>
        <w:t>ComFrame</w:t>
      </w:r>
      <w:proofErr w:type="spellEnd"/>
      <w:r w:rsidRPr="00A80F0F">
        <w:rPr>
          <w:rFonts w:ascii="Times New Roman" w:hAnsi="Times New Roman" w:cs="Times New Roman"/>
          <w:sz w:val="24"/>
          <w:szCs w:val="24"/>
        </w:rPr>
        <w:t>. IAIS. https://www.iaisweb.org/page/supervisory-material/insurance-core-principles</w:t>
      </w:r>
    </w:p>
    <w:p w14:paraId="37EC25AF" w14:textId="367B812D" w:rsidR="00A80F0F" w:rsidRPr="00A80F0F" w:rsidRDefault="00A80F0F" w:rsidP="00A80F0F">
      <w:pPr>
        <w:pStyle w:val="ListParagraph"/>
        <w:numPr>
          <w:ilvl w:val="0"/>
          <w:numId w:val="5"/>
        </w:numPr>
        <w:spacing w:line="360" w:lineRule="auto"/>
        <w:jc w:val="both"/>
        <w:rPr>
          <w:rFonts w:ascii="Times New Roman" w:hAnsi="Times New Roman" w:cs="Times New Roman"/>
          <w:sz w:val="24"/>
          <w:szCs w:val="24"/>
        </w:rPr>
      </w:pPr>
      <w:r w:rsidRPr="00A80F0F">
        <w:rPr>
          <w:rFonts w:ascii="Times New Roman" w:hAnsi="Times New Roman" w:cs="Times New Roman"/>
          <w:sz w:val="24"/>
          <w:szCs w:val="24"/>
        </w:rPr>
        <w:t>Froot, K. A., &amp; Stein, J. C. (1998). Risk Management, Capital Budgeting, and Capital Structure Policy for Insurers. The Journal of Financial Economics, 47(1), 55–82.</w:t>
      </w:r>
    </w:p>
    <w:p w14:paraId="796E8E9A" w14:textId="32E4229F" w:rsidR="00A80F0F" w:rsidRPr="00A80F0F" w:rsidRDefault="00A80F0F" w:rsidP="00A80F0F">
      <w:pPr>
        <w:pStyle w:val="ListParagraph"/>
        <w:numPr>
          <w:ilvl w:val="0"/>
          <w:numId w:val="5"/>
        </w:numPr>
        <w:spacing w:line="360" w:lineRule="auto"/>
        <w:jc w:val="both"/>
        <w:rPr>
          <w:rFonts w:ascii="Times New Roman" w:hAnsi="Times New Roman" w:cs="Times New Roman"/>
          <w:sz w:val="24"/>
          <w:szCs w:val="24"/>
        </w:rPr>
      </w:pPr>
      <w:r w:rsidRPr="00A80F0F">
        <w:rPr>
          <w:rFonts w:ascii="Times New Roman" w:hAnsi="Times New Roman" w:cs="Times New Roman"/>
          <w:sz w:val="24"/>
          <w:szCs w:val="24"/>
        </w:rPr>
        <w:t>Fabozzi, F. J., &amp; Modigliani, F. (2009). Capital Markets: Institutions and Instruments (4th ed.). Pearson Education.</w:t>
      </w:r>
    </w:p>
    <w:p w14:paraId="21619698" w14:textId="084762C8" w:rsidR="00A80F0F" w:rsidRPr="00A80F0F" w:rsidRDefault="00A80F0F" w:rsidP="00A80F0F">
      <w:pPr>
        <w:pStyle w:val="ListParagraph"/>
        <w:numPr>
          <w:ilvl w:val="0"/>
          <w:numId w:val="5"/>
        </w:numPr>
        <w:spacing w:line="360" w:lineRule="auto"/>
        <w:jc w:val="both"/>
        <w:rPr>
          <w:rFonts w:ascii="Times New Roman" w:hAnsi="Times New Roman" w:cs="Times New Roman"/>
          <w:sz w:val="24"/>
          <w:szCs w:val="24"/>
        </w:rPr>
      </w:pPr>
      <w:r w:rsidRPr="00A80F0F">
        <w:rPr>
          <w:rFonts w:ascii="Times New Roman" w:hAnsi="Times New Roman" w:cs="Times New Roman"/>
          <w:sz w:val="24"/>
          <w:szCs w:val="24"/>
        </w:rPr>
        <w:t>Bodie, Z., Kane, A., &amp; Marcus, A. J. (2014). Investments (10th ed.). McGraw-Hill Education.</w:t>
      </w:r>
    </w:p>
    <w:p w14:paraId="57524D1D" w14:textId="77777777" w:rsidR="00A80F0F" w:rsidRPr="00A80F0F" w:rsidRDefault="00A80F0F" w:rsidP="00A80F0F">
      <w:pPr>
        <w:spacing w:line="360" w:lineRule="auto"/>
        <w:jc w:val="both"/>
        <w:rPr>
          <w:rFonts w:ascii="Times New Roman" w:hAnsi="Times New Roman" w:cs="Times New Roman"/>
          <w:sz w:val="24"/>
          <w:szCs w:val="24"/>
        </w:rPr>
      </w:pPr>
    </w:p>
    <w:p w14:paraId="2F5DC173" w14:textId="5C1A5B41" w:rsidR="00A80F0F" w:rsidRPr="00A80F0F" w:rsidRDefault="00A80F0F" w:rsidP="00A80F0F">
      <w:pPr>
        <w:spacing w:line="360" w:lineRule="auto"/>
        <w:jc w:val="both"/>
        <w:rPr>
          <w:rFonts w:ascii="Times New Roman" w:hAnsi="Times New Roman" w:cs="Times New Roman"/>
          <w:sz w:val="24"/>
          <w:szCs w:val="24"/>
        </w:rPr>
      </w:pPr>
    </w:p>
    <w:p w14:paraId="46E4B3AF" w14:textId="77777777" w:rsidR="00B74A39" w:rsidRPr="00AF055E" w:rsidRDefault="00B74A39" w:rsidP="00AF055E">
      <w:pPr>
        <w:spacing w:line="360" w:lineRule="auto"/>
        <w:jc w:val="both"/>
        <w:rPr>
          <w:rFonts w:ascii="Times New Roman" w:hAnsi="Times New Roman" w:cs="Times New Roman"/>
          <w:sz w:val="24"/>
          <w:szCs w:val="24"/>
        </w:rPr>
      </w:pPr>
    </w:p>
    <w:sectPr w:rsidR="00B74A39" w:rsidRPr="00AF05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51C05"/>
    <w:multiLevelType w:val="hybridMultilevel"/>
    <w:tmpl w:val="27A2FA8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2ACC1290"/>
    <w:multiLevelType w:val="hybridMultilevel"/>
    <w:tmpl w:val="C988E68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479E4889"/>
    <w:multiLevelType w:val="multilevel"/>
    <w:tmpl w:val="F02C8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072310"/>
    <w:multiLevelType w:val="hybridMultilevel"/>
    <w:tmpl w:val="8A763A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00C7DF7"/>
    <w:multiLevelType w:val="hybridMultilevel"/>
    <w:tmpl w:val="9F94603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340014233">
    <w:abstractNumId w:val="0"/>
  </w:num>
  <w:num w:numId="2" w16cid:durableId="1174420752">
    <w:abstractNumId w:val="4"/>
  </w:num>
  <w:num w:numId="3" w16cid:durableId="814420314">
    <w:abstractNumId w:val="3"/>
  </w:num>
  <w:num w:numId="4" w16cid:durableId="323625554">
    <w:abstractNumId w:val="2"/>
  </w:num>
  <w:num w:numId="5" w16cid:durableId="7153529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333"/>
    <w:rsid w:val="00153BB7"/>
    <w:rsid w:val="0020187E"/>
    <w:rsid w:val="00294256"/>
    <w:rsid w:val="005A788D"/>
    <w:rsid w:val="008F7F7B"/>
    <w:rsid w:val="00A80F0F"/>
    <w:rsid w:val="00AF055E"/>
    <w:rsid w:val="00B74A39"/>
    <w:rsid w:val="00C4483E"/>
    <w:rsid w:val="00CE0333"/>
    <w:rsid w:val="00E75FD5"/>
    <w:rsid w:val="00FF62D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B7590"/>
  <w15:chartTrackingRefBased/>
  <w15:docId w15:val="{DF7D317F-4847-4C1A-9751-3CF315E5F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83E"/>
  </w:style>
  <w:style w:type="paragraph" w:styleId="Heading1">
    <w:name w:val="heading 1"/>
    <w:basedOn w:val="Normal"/>
    <w:next w:val="Normal"/>
    <w:link w:val="Heading1Char"/>
    <w:uiPriority w:val="9"/>
    <w:qFormat/>
    <w:rsid w:val="00CE03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E03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E033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E033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E033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E03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03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03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03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033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E033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E033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E03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E033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E03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03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03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0333"/>
    <w:rPr>
      <w:rFonts w:eastAsiaTheme="majorEastAsia" w:cstheme="majorBidi"/>
      <w:color w:val="272727" w:themeColor="text1" w:themeTint="D8"/>
    </w:rPr>
  </w:style>
  <w:style w:type="paragraph" w:styleId="Title">
    <w:name w:val="Title"/>
    <w:basedOn w:val="Normal"/>
    <w:next w:val="Normal"/>
    <w:link w:val="TitleChar"/>
    <w:uiPriority w:val="10"/>
    <w:qFormat/>
    <w:rsid w:val="00CE03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03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03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03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0333"/>
    <w:pPr>
      <w:spacing w:before="160"/>
      <w:jc w:val="center"/>
    </w:pPr>
    <w:rPr>
      <w:i/>
      <w:iCs/>
      <w:color w:val="404040" w:themeColor="text1" w:themeTint="BF"/>
    </w:rPr>
  </w:style>
  <w:style w:type="character" w:customStyle="1" w:styleId="QuoteChar">
    <w:name w:val="Quote Char"/>
    <w:basedOn w:val="DefaultParagraphFont"/>
    <w:link w:val="Quote"/>
    <w:uiPriority w:val="29"/>
    <w:rsid w:val="00CE0333"/>
    <w:rPr>
      <w:i/>
      <w:iCs/>
      <w:color w:val="404040" w:themeColor="text1" w:themeTint="BF"/>
    </w:rPr>
  </w:style>
  <w:style w:type="paragraph" w:styleId="ListParagraph">
    <w:name w:val="List Paragraph"/>
    <w:basedOn w:val="Normal"/>
    <w:uiPriority w:val="34"/>
    <w:qFormat/>
    <w:rsid w:val="00CE0333"/>
    <w:pPr>
      <w:ind w:left="720"/>
      <w:contextualSpacing/>
    </w:pPr>
  </w:style>
  <w:style w:type="character" w:styleId="IntenseEmphasis">
    <w:name w:val="Intense Emphasis"/>
    <w:basedOn w:val="DefaultParagraphFont"/>
    <w:uiPriority w:val="21"/>
    <w:qFormat/>
    <w:rsid w:val="00CE0333"/>
    <w:rPr>
      <w:i/>
      <w:iCs/>
      <w:color w:val="2F5496" w:themeColor="accent1" w:themeShade="BF"/>
    </w:rPr>
  </w:style>
  <w:style w:type="paragraph" w:styleId="IntenseQuote">
    <w:name w:val="Intense Quote"/>
    <w:basedOn w:val="Normal"/>
    <w:next w:val="Normal"/>
    <w:link w:val="IntenseQuoteChar"/>
    <w:uiPriority w:val="30"/>
    <w:qFormat/>
    <w:rsid w:val="00CE03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E0333"/>
    <w:rPr>
      <w:i/>
      <w:iCs/>
      <w:color w:val="2F5496" w:themeColor="accent1" w:themeShade="BF"/>
    </w:rPr>
  </w:style>
  <w:style w:type="character" w:styleId="IntenseReference">
    <w:name w:val="Intense Reference"/>
    <w:basedOn w:val="DefaultParagraphFont"/>
    <w:uiPriority w:val="32"/>
    <w:qFormat/>
    <w:rsid w:val="00CE033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76976">
      <w:bodyDiv w:val="1"/>
      <w:marLeft w:val="0"/>
      <w:marRight w:val="0"/>
      <w:marTop w:val="0"/>
      <w:marBottom w:val="0"/>
      <w:divBdr>
        <w:top w:val="none" w:sz="0" w:space="0" w:color="auto"/>
        <w:left w:val="none" w:sz="0" w:space="0" w:color="auto"/>
        <w:bottom w:val="none" w:sz="0" w:space="0" w:color="auto"/>
        <w:right w:val="none" w:sz="0" w:space="0" w:color="auto"/>
      </w:divBdr>
    </w:div>
    <w:div w:id="203565226">
      <w:bodyDiv w:val="1"/>
      <w:marLeft w:val="0"/>
      <w:marRight w:val="0"/>
      <w:marTop w:val="0"/>
      <w:marBottom w:val="0"/>
      <w:divBdr>
        <w:top w:val="none" w:sz="0" w:space="0" w:color="auto"/>
        <w:left w:val="none" w:sz="0" w:space="0" w:color="auto"/>
        <w:bottom w:val="none" w:sz="0" w:space="0" w:color="auto"/>
        <w:right w:val="none" w:sz="0" w:space="0" w:color="auto"/>
      </w:divBdr>
    </w:div>
    <w:div w:id="320472629">
      <w:bodyDiv w:val="1"/>
      <w:marLeft w:val="0"/>
      <w:marRight w:val="0"/>
      <w:marTop w:val="0"/>
      <w:marBottom w:val="0"/>
      <w:divBdr>
        <w:top w:val="none" w:sz="0" w:space="0" w:color="auto"/>
        <w:left w:val="none" w:sz="0" w:space="0" w:color="auto"/>
        <w:bottom w:val="none" w:sz="0" w:space="0" w:color="auto"/>
        <w:right w:val="none" w:sz="0" w:space="0" w:color="auto"/>
      </w:divBdr>
    </w:div>
    <w:div w:id="338318632">
      <w:bodyDiv w:val="1"/>
      <w:marLeft w:val="0"/>
      <w:marRight w:val="0"/>
      <w:marTop w:val="0"/>
      <w:marBottom w:val="0"/>
      <w:divBdr>
        <w:top w:val="none" w:sz="0" w:space="0" w:color="auto"/>
        <w:left w:val="none" w:sz="0" w:space="0" w:color="auto"/>
        <w:bottom w:val="none" w:sz="0" w:space="0" w:color="auto"/>
        <w:right w:val="none" w:sz="0" w:space="0" w:color="auto"/>
      </w:divBdr>
    </w:div>
    <w:div w:id="428046251">
      <w:bodyDiv w:val="1"/>
      <w:marLeft w:val="0"/>
      <w:marRight w:val="0"/>
      <w:marTop w:val="0"/>
      <w:marBottom w:val="0"/>
      <w:divBdr>
        <w:top w:val="none" w:sz="0" w:space="0" w:color="auto"/>
        <w:left w:val="none" w:sz="0" w:space="0" w:color="auto"/>
        <w:bottom w:val="none" w:sz="0" w:space="0" w:color="auto"/>
        <w:right w:val="none" w:sz="0" w:space="0" w:color="auto"/>
      </w:divBdr>
    </w:div>
    <w:div w:id="465272359">
      <w:bodyDiv w:val="1"/>
      <w:marLeft w:val="0"/>
      <w:marRight w:val="0"/>
      <w:marTop w:val="0"/>
      <w:marBottom w:val="0"/>
      <w:divBdr>
        <w:top w:val="none" w:sz="0" w:space="0" w:color="auto"/>
        <w:left w:val="none" w:sz="0" w:space="0" w:color="auto"/>
        <w:bottom w:val="none" w:sz="0" w:space="0" w:color="auto"/>
        <w:right w:val="none" w:sz="0" w:space="0" w:color="auto"/>
      </w:divBdr>
    </w:div>
    <w:div w:id="526866971">
      <w:bodyDiv w:val="1"/>
      <w:marLeft w:val="0"/>
      <w:marRight w:val="0"/>
      <w:marTop w:val="0"/>
      <w:marBottom w:val="0"/>
      <w:divBdr>
        <w:top w:val="none" w:sz="0" w:space="0" w:color="auto"/>
        <w:left w:val="none" w:sz="0" w:space="0" w:color="auto"/>
        <w:bottom w:val="none" w:sz="0" w:space="0" w:color="auto"/>
        <w:right w:val="none" w:sz="0" w:space="0" w:color="auto"/>
      </w:divBdr>
    </w:div>
    <w:div w:id="544946843">
      <w:bodyDiv w:val="1"/>
      <w:marLeft w:val="0"/>
      <w:marRight w:val="0"/>
      <w:marTop w:val="0"/>
      <w:marBottom w:val="0"/>
      <w:divBdr>
        <w:top w:val="none" w:sz="0" w:space="0" w:color="auto"/>
        <w:left w:val="none" w:sz="0" w:space="0" w:color="auto"/>
        <w:bottom w:val="none" w:sz="0" w:space="0" w:color="auto"/>
        <w:right w:val="none" w:sz="0" w:space="0" w:color="auto"/>
      </w:divBdr>
    </w:div>
    <w:div w:id="606815413">
      <w:bodyDiv w:val="1"/>
      <w:marLeft w:val="0"/>
      <w:marRight w:val="0"/>
      <w:marTop w:val="0"/>
      <w:marBottom w:val="0"/>
      <w:divBdr>
        <w:top w:val="none" w:sz="0" w:space="0" w:color="auto"/>
        <w:left w:val="none" w:sz="0" w:space="0" w:color="auto"/>
        <w:bottom w:val="none" w:sz="0" w:space="0" w:color="auto"/>
        <w:right w:val="none" w:sz="0" w:space="0" w:color="auto"/>
      </w:divBdr>
    </w:div>
    <w:div w:id="721250846">
      <w:bodyDiv w:val="1"/>
      <w:marLeft w:val="0"/>
      <w:marRight w:val="0"/>
      <w:marTop w:val="0"/>
      <w:marBottom w:val="0"/>
      <w:divBdr>
        <w:top w:val="none" w:sz="0" w:space="0" w:color="auto"/>
        <w:left w:val="none" w:sz="0" w:space="0" w:color="auto"/>
        <w:bottom w:val="none" w:sz="0" w:space="0" w:color="auto"/>
        <w:right w:val="none" w:sz="0" w:space="0" w:color="auto"/>
      </w:divBdr>
    </w:div>
    <w:div w:id="794254506">
      <w:bodyDiv w:val="1"/>
      <w:marLeft w:val="0"/>
      <w:marRight w:val="0"/>
      <w:marTop w:val="0"/>
      <w:marBottom w:val="0"/>
      <w:divBdr>
        <w:top w:val="none" w:sz="0" w:space="0" w:color="auto"/>
        <w:left w:val="none" w:sz="0" w:space="0" w:color="auto"/>
        <w:bottom w:val="none" w:sz="0" w:space="0" w:color="auto"/>
        <w:right w:val="none" w:sz="0" w:space="0" w:color="auto"/>
      </w:divBdr>
    </w:div>
    <w:div w:id="796215741">
      <w:bodyDiv w:val="1"/>
      <w:marLeft w:val="0"/>
      <w:marRight w:val="0"/>
      <w:marTop w:val="0"/>
      <w:marBottom w:val="0"/>
      <w:divBdr>
        <w:top w:val="none" w:sz="0" w:space="0" w:color="auto"/>
        <w:left w:val="none" w:sz="0" w:space="0" w:color="auto"/>
        <w:bottom w:val="none" w:sz="0" w:space="0" w:color="auto"/>
        <w:right w:val="none" w:sz="0" w:space="0" w:color="auto"/>
      </w:divBdr>
    </w:div>
    <w:div w:id="818765192">
      <w:bodyDiv w:val="1"/>
      <w:marLeft w:val="0"/>
      <w:marRight w:val="0"/>
      <w:marTop w:val="0"/>
      <w:marBottom w:val="0"/>
      <w:divBdr>
        <w:top w:val="none" w:sz="0" w:space="0" w:color="auto"/>
        <w:left w:val="none" w:sz="0" w:space="0" w:color="auto"/>
        <w:bottom w:val="none" w:sz="0" w:space="0" w:color="auto"/>
        <w:right w:val="none" w:sz="0" w:space="0" w:color="auto"/>
      </w:divBdr>
    </w:div>
    <w:div w:id="1084885768">
      <w:bodyDiv w:val="1"/>
      <w:marLeft w:val="0"/>
      <w:marRight w:val="0"/>
      <w:marTop w:val="0"/>
      <w:marBottom w:val="0"/>
      <w:divBdr>
        <w:top w:val="none" w:sz="0" w:space="0" w:color="auto"/>
        <w:left w:val="none" w:sz="0" w:space="0" w:color="auto"/>
        <w:bottom w:val="none" w:sz="0" w:space="0" w:color="auto"/>
        <w:right w:val="none" w:sz="0" w:space="0" w:color="auto"/>
      </w:divBdr>
    </w:div>
    <w:div w:id="1426608239">
      <w:bodyDiv w:val="1"/>
      <w:marLeft w:val="0"/>
      <w:marRight w:val="0"/>
      <w:marTop w:val="0"/>
      <w:marBottom w:val="0"/>
      <w:divBdr>
        <w:top w:val="none" w:sz="0" w:space="0" w:color="auto"/>
        <w:left w:val="none" w:sz="0" w:space="0" w:color="auto"/>
        <w:bottom w:val="none" w:sz="0" w:space="0" w:color="auto"/>
        <w:right w:val="none" w:sz="0" w:space="0" w:color="auto"/>
      </w:divBdr>
    </w:div>
    <w:div w:id="1596329194">
      <w:bodyDiv w:val="1"/>
      <w:marLeft w:val="0"/>
      <w:marRight w:val="0"/>
      <w:marTop w:val="0"/>
      <w:marBottom w:val="0"/>
      <w:divBdr>
        <w:top w:val="none" w:sz="0" w:space="0" w:color="auto"/>
        <w:left w:val="none" w:sz="0" w:space="0" w:color="auto"/>
        <w:bottom w:val="none" w:sz="0" w:space="0" w:color="auto"/>
        <w:right w:val="none" w:sz="0" w:space="0" w:color="auto"/>
      </w:divBdr>
    </w:div>
    <w:div w:id="1602832507">
      <w:bodyDiv w:val="1"/>
      <w:marLeft w:val="0"/>
      <w:marRight w:val="0"/>
      <w:marTop w:val="0"/>
      <w:marBottom w:val="0"/>
      <w:divBdr>
        <w:top w:val="none" w:sz="0" w:space="0" w:color="auto"/>
        <w:left w:val="none" w:sz="0" w:space="0" w:color="auto"/>
        <w:bottom w:val="none" w:sz="0" w:space="0" w:color="auto"/>
        <w:right w:val="none" w:sz="0" w:space="0" w:color="auto"/>
      </w:divBdr>
    </w:div>
    <w:div w:id="1644238429">
      <w:bodyDiv w:val="1"/>
      <w:marLeft w:val="0"/>
      <w:marRight w:val="0"/>
      <w:marTop w:val="0"/>
      <w:marBottom w:val="0"/>
      <w:divBdr>
        <w:top w:val="none" w:sz="0" w:space="0" w:color="auto"/>
        <w:left w:val="none" w:sz="0" w:space="0" w:color="auto"/>
        <w:bottom w:val="none" w:sz="0" w:space="0" w:color="auto"/>
        <w:right w:val="none" w:sz="0" w:space="0" w:color="auto"/>
      </w:divBdr>
    </w:div>
    <w:div w:id="1672565519">
      <w:bodyDiv w:val="1"/>
      <w:marLeft w:val="0"/>
      <w:marRight w:val="0"/>
      <w:marTop w:val="0"/>
      <w:marBottom w:val="0"/>
      <w:divBdr>
        <w:top w:val="none" w:sz="0" w:space="0" w:color="auto"/>
        <w:left w:val="none" w:sz="0" w:space="0" w:color="auto"/>
        <w:bottom w:val="none" w:sz="0" w:space="0" w:color="auto"/>
        <w:right w:val="none" w:sz="0" w:space="0" w:color="auto"/>
      </w:divBdr>
    </w:div>
    <w:div w:id="1698893523">
      <w:bodyDiv w:val="1"/>
      <w:marLeft w:val="0"/>
      <w:marRight w:val="0"/>
      <w:marTop w:val="0"/>
      <w:marBottom w:val="0"/>
      <w:divBdr>
        <w:top w:val="none" w:sz="0" w:space="0" w:color="auto"/>
        <w:left w:val="none" w:sz="0" w:space="0" w:color="auto"/>
        <w:bottom w:val="none" w:sz="0" w:space="0" w:color="auto"/>
        <w:right w:val="none" w:sz="0" w:space="0" w:color="auto"/>
      </w:divBdr>
    </w:div>
    <w:div w:id="1722485330">
      <w:bodyDiv w:val="1"/>
      <w:marLeft w:val="0"/>
      <w:marRight w:val="0"/>
      <w:marTop w:val="0"/>
      <w:marBottom w:val="0"/>
      <w:divBdr>
        <w:top w:val="none" w:sz="0" w:space="0" w:color="auto"/>
        <w:left w:val="none" w:sz="0" w:space="0" w:color="auto"/>
        <w:bottom w:val="none" w:sz="0" w:space="0" w:color="auto"/>
        <w:right w:val="none" w:sz="0" w:space="0" w:color="auto"/>
      </w:divBdr>
    </w:div>
    <w:div w:id="1724257099">
      <w:bodyDiv w:val="1"/>
      <w:marLeft w:val="0"/>
      <w:marRight w:val="0"/>
      <w:marTop w:val="0"/>
      <w:marBottom w:val="0"/>
      <w:divBdr>
        <w:top w:val="none" w:sz="0" w:space="0" w:color="auto"/>
        <w:left w:val="none" w:sz="0" w:space="0" w:color="auto"/>
        <w:bottom w:val="none" w:sz="0" w:space="0" w:color="auto"/>
        <w:right w:val="none" w:sz="0" w:space="0" w:color="auto"/>
      </w:divBdr>
    </w:div>
    <w:div w:id="1781680611">
      <w:bodyDiv w:val="1"/>
      <w:marLeft w:val="0"/>
      <w:marRight w:val="0"/>
      <w:marTop w:val="0"/>
      <w:marBottom w:val="0"/>
      <w:divBdr>
        <w:top w:val="none" w:sz="0" w:space="0" w:color="auto"/>
        <w:left w:val="none" w:sz="0" w:space="0" w:color="auto"/>
        <w:bottom w:val="none" w:sz="0" w:space="0" w:color="auto"/>
        <w:right w:val="none" w:sz="0" w:space="0" w:color="auto"/>
      </w:divBdr>
    </w:div>
    <w:div w:id="1810249724">
      <w:bodyDiv w:val="1"/>
      <w:marLeft w:val="0"/>
      <w:marRight w:val="0"/>
      <w:marTop w:val="0"/>
      <w:marBottom w:val="0"/>
      <w:divBdr>
        <w:top w:val="none" w:sz="0" w:space="0" w:color="auto"/>
        <w:left w:val="none" w:sz="0" w:space="0" w:color="auto"/>
        <w:bottom w:val="none" w:sz="0" w:space="0" w:color="auto"/>
        <w:right w:val="none" w:sz="0" w:space="0" w:color="auto"/>
      </w:divBdr>
    </w:div>
    <w:div w:id="1827739395">
      <w:bodyDiv w:val="1"/>
      <w:marLeft w:val="0"/>
      <w:marRight w:val="0"/>
      <w:marTop w:val="0"/>
      <w:marBottom w:val="0"/>
      <w:divBdr>
        <w:top w:val="none" w:sz="0" w:space="0" w:color="auto"/>
        <w:left w:val="none" w:sz="0" w:space="0" w:color="auto"/>
        <w:bottom w:val="none" w:sz="0" w:space="0" w:color="auto"/>
        <w:right w:val="none" w:sz="0" w:space="0" w:color="auto"/>
      </w:divBdr>
    </w:div>
    <w:div w:id="1872499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15</Pages>
  <Words>4484</Words>
  <Characters>25565</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cp:revision>
  <dcterms:created xsi:type="dcterms:W3CDTF">2025-07-17T13:13:00Z</dcterms:created>
  <dcterms:modified xsi:type="dcterms:W3CDTF">2025-07-18T14:41:00Z</dcterms:modified>
</cp:coreProperties>
</file>