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9A3BE" w14:textId="77777777" w:rsidR="00C74137" w:rsidRPr="00DA2E13" w:rsidRDefault="00C74137" w:rsidP="00C74137">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644BA74F" w14:textId="77777777" w:rsidR="00C74137" w:rsidRPr="00DA2E13" w:rsidRDefault="00C74137" w:rsidP="00C74137">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4300EF01" w14:textId="17850F53"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In the ever-evolving global financial and commercial landscape, market risk has emerged as a central concern for businesses, investors, and regulatory bodies alike. Market risk, also known as systematic risk, refers to the potential for financial loss due to movements in market variables such as interest rates, currency exchange rates, commodity prices, and equity prices. Unlike firm-specific risks, market risk affects a broad range of assets and cannot be mitigated through diversification alone. With increasing globalization and the interconnection of financial markets, businesses face heightened exposure to market volatility, making effective market risk management a strategic necessity.</w:t>
      </w:r>
    </w:p>
    <w:p w14:paraId="15DDD6E0" w14:textId="07AD97EF"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Market risk management involves identifying, measuring, monitoring, and mitigating the impact of adverse market movements on an organization's financial health. It is a core component of enterprise risk management (ERM) and is particularly critical for industries such as banking, insurance, asset management, and international trade. In today’s competitive and unpredictable market environment, firms that lack robust risk management systems may suffer severe financial setbacks, reputational damage, or even failure.</w:t>
      </w:r>
    </w:p>
    <w:p w14:paraId="7A891D39" w14:textId="7C71848A"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The significance of market risk has been amplified by past global financial crises, such as the 2008 subprime mortgage meltdown and the economic shocks caused by the COVID-19 pandemic. These events exposed the vulnerabilities in risk management frameworks and underscored the importance of real-time data, predictive analytics, and regulatory compliance. In response, regulators around the world have imposed stricter norms—such as Basel III and IFRS 9—requiring firms to enhance their market risk reporting and capital adequacy standards.</w:t>
      </w:r>
    </w:p>
    <w:p w14:paraId="79330957" w14:textId="168BA5C7"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Market risk management encompasses various tools and techniques, including Value at Risk (</w:t>
      </w:r>
      <w:proofErr w:type="spellStart"/>
      <w:r w:rsidRPr="00C74137">
        <w:rPr>
          <w:rFonts w:ascii="Times New Roman" w:hAnsi="Times New Roman" w:cs="Times New Roman"/>
          <w:sz w:val="24"/>
          <w:szCs w:val="24"/>
        </w:rPr>
        <w:t>VaR</w:t>
      </w:r>
      <w:proofErr w:type="spellEnd"/>
      <w:r w:rsidRPr="00C74137">
        <w:rPr>
          <w:rFonts w:ascii="Times New Roman" w:hAnsi="Times New Roman" w:cs="Times New Roman"/>
          <w:sz w:val="24"/>
          <w:szCs w:val="24"/>
        </w:rPr>
        <w:t>), stress testing, scenario analysis, and derivative instruments like options, futures, and swaps. These tools help organizations quantify their exposure and develop strategies to hedge against potential losses. Risk-adjusted performance metrics such as Sharpe ratio and risk-weighted assets (RWA) are also used to align investment and operational decisions with risk tolerance levels.</w:t>
      </w:r>
    </w:p>
    <w:p w14:paraId="35FA55B4" w14:textId="7ECA8CCA"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For multinational corporations and exporters/importers, foreign exchange risk—a subset of market risk—can significantly impact revenues and profitability. Sudden currency devaluations or fluctuations in interest rates can alter the cost of financing, disrupt contracts, </w:t>
      </w:r>
      <w:r w:rsidRPr="00C74137">
        <w:rPr>
          <w:rFonts w:ascii="Times New Roman" w:hAnsi="Times New Roman" w:cs="Times New Roman"/>
          <w:sz w:val="24"/>
          <w:szCs w:val="24"/>
        </w:rPr>
        <w:lastRenderedPageBreak/>
        <w:t>or reduce margins. As a result, treasury functions in such organizations play a pivotal role in using financial instruments and policies to control exposures.</w:t>
      </w:r>
    </w:p>
    <w:p w14:paraId="5FB6A10C" w14:textId="38663AA0"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Technology also plays a critical role in modern market risk management. Artificial intelligence, machine learning, and big data analytics are increasingly being integrated into risk models to enhance predictive accuracy and enable real-time decision-making. Financial institutions are investing heavily in risk intelligence platforms that consolidate data across markets, </w:t>
      </w:r>
      <w:proofErr w:type="spellStart"/>
      <w:r w:rsidRPr="00C74137">
        <w:rPr>
          <w:rFonts w:ascii="Times New Roman" w:hAnsi="Times New Roman" w:cs="Times New Roman"/>
          <w:sz w:val="24"/>
          <w:szCs w:val="24"/>
        </w:rPr>
        <w:t>analyze</w:t>
      </w:r>
      <w:proofErr w:type="spellEnd"/>
      <w:r w:rsidRPr="00C74137">
        <w:rPr>
          <w:rFonts w:ascii="Times New Roman" w:hAnsi="Times New Roman" w:cs="Times New Roman"/>
          <w:sz w:val="24"/>
          <w:szCs w:val="24"/>
        </w:rPr>
        <w:t xml:space="preserve"> patterns, and generate alerts for emerging threats.</w:t>
      </w:r>
    </w:p>
    <w:p w14:paraId="7C4D2E36" w14:textId="1FA23A79"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The purpose of this study is to explore the principles, practices, and strategic importance of market risk management across sectors. It seeks to </w:t>
      </w:r>
      <w:proofErr w:type="spellStart"/>
      <w:r w:rsidRPr="00C74137">
        <w:rPr>
          <w:rFonts w:ascii="Times New Roman" w:hAnsi="Times New Roman" w:cs="Times New Roman"/>
          <w:sz w:val="24"/>
          <w:szCs w:val="24"/>
        </w:rPr>
        <w:t>analyze</w:t>
      </w:r>
      <w:proofErr w:type="spellEnd"/>
      <w:r w:rsidRPr="00C74137">
        <w:rPr>
          <w:rFonts w:ascii="Times New Roman" w:hAnsi="Times New Roman" w:cs="Times New Roman"/>
          <w:sz w:val="24"/>
          <w:szCs w:val="24"/>
        </w:rPr>
        <w:t xml:space="preserve"> how organizations assess market risk, implement mitigation strategies, and align their risk appetite with business objectives. Additionally, the study examines the role of governance, compliance, and innovation in strengthening risk frameworks.</w:t>
      </w:r>
    </w:p>
    <w:p w14:paraId="3F067C3A" w14:textId="08001E58" w:rsidR="00E75FD5" w:rsidRDefault="00C74137">
      <w:pPr>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Pr>
          <w:rFonts w:ascii="Times New Roman" w:hAnsi="Times New Roman" w:cs="Times New Roman"/>
          <w:b/>
          <w:sz w:val="24"/>
          <w:szCs w:val="24"/>
          <w:lang w:val="en-US"/>
        </w:rPr>
        <w:t xml:space="preserve"> </w:t>
      </w:r>
      <w:r w:rsidRPr="00C74137">
        <w:rPr>
          <w:rFonts w:ascii="Times New Roman" w:hAnsi="Times New Roman" w:cs="Times New Roman"/>
          <w:b/>
          <w:sz w:val="24"/>
          <w:szCs w:val="24"/>
        </w:rPr>
        <w:t>market risk management</w:t>
      </w:r>
      <w:r>
        <w:rPr>
          <w:rFonts w:ascii="Times New Roman" w:hAnsi="Times New Roman" w:cs="Times New Roman"/>
          <w:b/>
          <w:sz w:val="24"/>
          <w:szCs w:val="24"/>
        </w:rPr>
        <w:t>?</w:t>
      </w:r>
    </w:p>
    <w:p w14:paraId="74981901" w14:textId="4F97497E" w:rsidR="00C74137" w:rsidRPr="00C74137" w:rsidRDefault="00C74137" w:rsidP="00C74137">
      <w:pPr>
        <w:pStyle w:val="ListParagraph"/>
        <w:numPr>
          <w:ilvl w:val="0"/>
          <w:numId w:val="1"/>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Better Identification of Risks</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This study helps organizations accurately identify different types of market risks such as currency fluctuations, interest rate changes, and commodity price movements. Early identification allows for timely intervention and planning. It minimizes the likelihood of unforeseen financial disruptions.</w:t>
      </w:r>
    </w:p>
    <w:p w14:paraId="0A0437AC" w14:textId="1CDE9341" w:rsidR="00C74137" w:rsidRPr="00C74137" w:rsidRDefault="00C74137" w:rsidP="00C74137">
      <w:pPr>
        <w:pStyle w:val="ListParagraph"/>
        <w:numPr>
          <w:ilvl w:val="0"/>
          <w:numId w:val="1"/>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Improved Financial Planning</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By understanding market risk patterns, companies can develop more accurate forecasts and financial models. This improves budgeting, capital allocation, and investment decisions. Ultimately, it supports long-term financial growth and stability.</w:t>
      </w:r>
    </w:p>
    <w:p w14:paraId="5ED88225" w14:textId="566ADAAA" w:rsidR="00C74137" w:rsidRPr="00C74137" w:rsidRDefault="00C74137" w:rsidP="00C74137">
      <w:pPr>
        <w:pStyle w:val="ListParagraph"/>
        <w:numPr>
          <w:ilvl w:val="0"/>
          <w:numId w:val="1"/>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Protection Against Losses</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A major benefit of this study is the ability to design strategies that protect against adverse market movements. Firms can implement hedging techniques and control mechanisms. This reduces the risk of significant financial losses during volatile periods.</w:t>
      </w:r>
    </w:p>
    <w:p w14:paraId="3305BC47" w14:textId="17015DA4" w:rsidR="00C74137" w:rsidRPr="00C74137" w:rsidRDefault="00C74137" w:rsidP="00C74137">
      <w:pPr>
        <w:pStyle w:val="ListParagraph"/>
        <w:numPr>
          <w:ilvl w:val="0"/>
          <w:numId w:val="1"/>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Increased Operational Efficiency</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Effective market risk management leads to streamlined operations by eliminating uncertainty in pricing and procurement. It enables smoother financial transactions and consistent cash flow management. This allows businesses to operate more efficiently across global markets.</w:t>
      </w:r>
    </w:p>
    <w:p w14:paraId="7E14CCC7" w14:textId="7075A1F1" w:rsidR="00C74137" w:rsidRPr="00C74137" w:rsidRDefault="00C74137" w:rsidP="00C74137">
      <w:pPr>
        <w:pStyle w:val="ListParagraph"/>
        <w:numPr>
          <w:ilvl w:val="0"/>
          <w:numId w:val="1"/>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Stronger Strategic Decisions</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The insights gained from this study guide leaders in making more calculated and risk-aware strategic decisions. It helps align business goals with the company’s risk tolerance. This reduces guesswork and enhances decision-making quality.</w:t>
      </w:r>
    </w:p>
    <w:p w14:paraId="7F00D817" w14:textId="613BD678" w:rsidR="00C74137" w:rsidRPr="00C74137" w:rsidRDefault="00C74137" w:rsidP="00C74137">
      <w:pPr>
        <w:pStyle w:val="ListParagraph"/>
        <w:numPr>
          <w:ilvl w:val="0"/>
          <w:numId w:val="1"/>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lastRenderedPageBreak/>
        <w:t>Enhanced Risk Communication</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The study promotes clear communication about risk exposures within the organization and with external stakeholders. Improved transparency strengthens internal coordination and investor trust. It also prepares the company for audits and regulatory reviews.</w:t>
      </w:r>
    </w:p>
    <w:p w14:paraId="5E6ED67A" w14:textId="70054C74" w:rsidR="00C74137" w:rsidRPr="00C74137" w:rsidRDefault="00C74137" w:rsidP="00C74137">
      <w:pPr>
        <w:pStyle w:val="ListParagraph"/>
        <w:numPr>
          <w:ilvl w:val="0"/>
          <w:numId w:val="1"/>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Boost in Stakeholder Confidence</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When market risks are properly managed, investors, lenders, and partners view the organization as reliable. This study provides tools to demonstrate strong risk practices. As a result, stakeholder relationships are strengthened and easier to maintain.</w:t>
      </w:r>
    </w:p>
    <w:p w14:paraId="1E48BFF4" w14:textId="1CEE280F" w:rsidR="00C74137" w:rsidRPr="00C74137" w:rsidRDefault="00C74137" w:rsidP="00C74137">
      <w:pPr>
        <w:spacing w:line="360" w:lineRule="auto"/>
        <w:jc w:val="both"/>
        <w:rPr>
          <w:rFonts w:ascii="Times New Roman" w:hAnsi="Times New Roman" w:cs="Times New Roman"/>
          <w:b/>
          <w:sz w:val="24"/>
          <w:szCs w:val="24"/>
        </w:rPr>
      </w:pPr>
      <w:bookmarkStart w:id="3" w:name="_Hlk203252790"/>
      <w:bookmarkStart w:id="4" w:name="_Hlk203251120"/>
      <w:r w:rsidRPr="00C74137">
        <w:rPr>
          <w:rFonts w:ascii="Times New Roman" w:hAnsi="Times New Roman" w:cs="Times New Roman"/>
          <w:b/>
          <w:sz w:val="24"/>
          <w:szCs w:val="24"/>
        </w:rPr>
        <w:t>Market risk management advantages</w:t>
      </w:r>
      <w:bookmarkEnd w:id="4"/>
    </w:p>
    <w:bookmarkEnd w:id="3"/>
    <w:p w14:paraId="1EEA7990" w14:textId="5F6B0C73" w:rsidR="00C74137" w:rsidRPr="00C74137" w:rsidRDefault="00C74137" w:rsidP="00C74137">
      <w:pPr>
        <w:pStyle w:val="ListParagraph"/>
        <w:numPr>
          <w:ilvl w:val="0"/>
          <w:numId w:val="4"/>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Enhanced Financial Stability</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A study on market risk management helps organizations understand and mitigate fluctuations in interest rates, exchange rates, and market prices. By identifying potential threats early, firms can implement safeguards to protect assets. </w:t>
      </w:r>
    </w:p>
    <w:p w14:paraId="244642EF" w14:textId="5F65CCB4" w:rsidR="00C74137" w:rsidRPr="00C74137" w:rsidRDefault="00C74137" w:rsidP="00C74137">
      <w:pPr>
        <w:pStyle w:val="ListParagraph"/>
        <w:numPr>
          <w:ilvl w:val="0"/>
          <w:numId w:val="4"/>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Informed Decision-Making</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Understanding market risks enables companies to make data-driven and risk-adjusted business decisions. It promotes strategic planning based on realistic projections rather than assumptions. </w:t>
      </w:r>
    </w:p>
    <w:p w14:paraId="36829873" w14:textId="4767A9E6" w:rsidR="00C74137" w:rsidRPr="00C74137" w:rsidRDefault="00C74137" w:rsidP="00C74137">
      <w:pPr>
        <w:pStyle w:val="ListParagraph"/>
        <w:numPr>
          <w:ilvl w:val="0"/>
          <w:numId w:val="4"/>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Regulatory Compliance</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This study equips businesses with knowledge about compliance frameworks like Basel III, IFRS 9, and SEBI guidelines. Adhering to these regulations not only avoids legal penalties but also enhances transparency and investor confidence. </w:t>
      </w:r>
    </w:p>
    <w:p w14:paraId="4B1F5482" w14:textId="7F16B605" w:rsidR="00C74137" w:rsidRPr="00C74137" w:rsidRDefault="00C74137" w:rsidP="00C74137">
      <w:pPr>
        <w:pStyle w:val="ListParagraph"/>
        <w:numPr>
          <w:ilvl w:val="0"/>
          <w:numId w:val="4"/>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Improved Investment Strategy</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With insights from market risk analysis, investors and managers can optimize their portfolios. They can balance risk and return more effectively by selecting assets that align with their risk appetite. </w:t>
      </w:r>
    </w:p>
    <w:p w14:paraId="0BF9EC2D" w14:textId="0726F27D" w:rsidR="00C74137" w:rsidRPr="00C74137" w:rsidRDefault="00C74137" w:rsidP="00C74137">
      <w:pPr>
        <w:pStyle w:val="ListParagraph"/>
        <w:numPr>
          <w:ilvl w:val="0"/>
          <w:numId w:val="4"/>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Better Risk Forecasting</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Studying market risk management helps firms develop models to forecast future risks and plan accordingly. Tools like Value at Risk (</w:t>
      </w:r>
      <w:proofErr w:type="spellStart"/>
      <w:r w:rsidRPr="00C74137">
        <w:rPr>
          <w:rFonts w:ascii="Times New Roman" w:hAnsi="Times New Roman" w:cs="Times New Roman"/>
          <w:sz w:val="24"/>
          <w:szCs w:val="24"/>
        </w:rPr>
        <w:t>VaR</w:t>
      </w:r>
      <w:proofErr w:type="spellEnd"/>
      <w:r w:rsidRPr="00C74137">
        <w:rPr>
          <w:rFonts w:ascii="Times New Roman" w:hAnsi="Times New Roman" w:cs="Times New Roman"/>
          <w:sz w:val="24"/>
          <w:szCs w:val="24"/>
        </w:rPr>
        <w:t xml:space="preserve">) and stress testing allow for anticipation of worst-case scenarios. </w:t>
      </w:r>
    </w:p>
    <w:p w14:paraId="0DE631DF" w14:textId="18094F17" w:rsidR="00C74137" w:rsidRPr="00C74137" w:rsidRDefault="00C74137" w:rsidP="00C74137">
      <w:pPr>
        <w:pStyle w:val="ListParagraph"/>
        <w:numPr>
          <w:ilvl w:val="0"/>
          <w:numId w:val="4"/>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Competitive Advantage</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Companies that actively manage market risks gain a competitive edge by maintaining stable operations during volatile periods. They can offer more consistent pricing, delivery, and service compared to poorly managed competitors. This strengthens customer trust and loyalty.</w:t>
      </w:r>
    </w:p>
    <w:p w14:paraId="53140257" w14:textId="32CA74C6" w:rsidR="00C74137" w:rsidRPr="00C74137" w:rsidRDefault="00C74137" w:rsidP="00C74137">
      <w:pPr>
        <w:pStyle w:val="ListParagraph"/>
        <w:numPr>
          <w:ilvl w:val="0"/>
          <w:numId w:val="4"/>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Efficient Use of Financial Instruments</w:t>
      </w:r>
      <w:r>
        <w:rPr>
          <w:rFonts w:ascii="Times New Roman" w:hAnsi="Times New Roman" w:cs="Times New Roman"/>
          <w:b/>
          <w:bCs/>
          <w:sz w:val="24"/>
          <w:szCs w:val="24"/>
        </w:rPr>
        <w:t>:</w:t>
      </w: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The study educates on using derivatives like futures, options, and swaps to hedge risk effectively. Knowing when and how to apply these tools reduces unnecessary exposure. </w:t>
      </w:r>
    </w:p>
    <w:p w14:paraId="0AF391E9" w14:textId="77777777" w:rsidR="00C74137" w:rsidRDefault="00C74137"/>
    <w:p w14:paraId="182E15B0" w14:textId="77777777" w:rsidR="00C74137" w:rsidRPr="004510ED" w:rsidRDefault="00C74137" w:rsidP="00C74137">
      <w:pPr>
        <w:spacing w:line="360" w:lineRule="auto"/>
        <w:jc w:val="both"/>
        <w:rPr>
          <w:rFonts w:ascii="Times New Roman" w:hAnsi="Times New Roman" w:cs="Times New Roman"/>
          <w:b/>
          <w:sz w:val="24"/>
          <w:szCs w:val="24"/>
        </w:rPr>
      </w:pPr>
      <w:bookmarkStart w:id="5" w:name="_Hlk202098488"/>
      <w:r w:rsidRPr="004510ED">
        <w:rPr>
          <w:rFonts w:ascii="Times New Roman" w:hAnsi="Times New Roman" w:cs="Times New Roman"/>
          <w:b/>
          <w:sz w:val="24"/>
          <w:szCs w:val="24"/>
        </w:rPr>
        <w:lastRenderedPageBreak/>
        <w:t>INDUSTRY PROFILE</w:t>
      </w:r>
    </w:p>
    <w:bookmarkEnd w:id="5"/>
    <w:p w14:paraId="0707C9C7" w14:textId="58732E65"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The </w:t>
      </w:r>
      <w:r w:rsidRPr="00C74137">
        <w:rPr>
          <w:rFonts w:ascii="Times New Roman" w:hAnsi="Times New Roman" w:cs="Times New Roman"/>
          <w:b/>
          <w:bCs/>
          <w:sz w:val="24"/>
          <w:szCs w:val="24"/>
        </w:rPr>
        <w:t>Market Risk Management industry</w:t>
      </w:r>
      <w:r w:rsidRPr="00C74137">
        <w:rPr>
          <w:rFonts w:ascii="Times New Roman" w:hAnsi="Times New Roman" w:cs="Times New Roman"/>
          <w:sz w:val="24"/>
          <w:szCs w:val="24"/>
        </w:rPr>
        <w:t xml:space="preserve"> plays a critical role in safeguarding the financial and operational stability of organizations in today’s increasingly volatile global economy. Market risk refers to the potential financial loss an organization may face due to </w:t>
      </w:r>
      <w:proofErr w:type="spellStart"/>
      <w:r w:rsidRPr="00C74137">
        <w:rPr>
          <w:rFonts w:ascii="Times New Roman" w:hAnsi="Times New Roman" w:cs="Times New Roman"/>
          <w:sz w:val="24"/>
          <w:szCs w:val="24"/>
        </w:rPr>
        <w:t>unfavorable</w:t>
      </w:r>
      <w:proofErr w:type="spellEnd"/>
      <w:r w:rsidRPr="00C74137">
        <w:rPr>
          <w:rFonts w:ascii="Times New Roman" w:hAnsi="Times New Roman" w:cs="Times New Roman"/>
          <w:sz w:val="24"/>
          <w:szCs w:val="24"/>
        </w:rPr>
        <w:t xml:space="preserve"> movements in market variables such as interest rates, exchange rates, stock prices, and commodity prices. As global trade, investment, and financial markets grow more interconnected, the demand for sophisticated market risk management tools and services has surged across sectors.</w:t>
      </w:r>
    </w:p>
    <w:p w14:paraId="50D48260" w14:textId="5CDE0DD3"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This industry primarily serves the </w:t>
      </w:r>
      <w:r w:rsidRPr="00C74137">
        <w:rPr>
          <w:rFonts w:ascii="Times New Roman" w:hAnsi="Times New Roman" w:cs="Times New Roman"/>
          <w:b/>
          <w:bCs/>
          <w:sz w:val="24"/>
          <w:szCs w:val="24"/>
        </w:rPr>
        <w:t>banking, financial services, and insurance (BFSI)</w:t>
      </w:r>
      <w:r w:rsidRPr="00C74137">
        <w:rPr>
          <w:rFonts w:ascii="Times New Roman" w:hAnsi="Times New Roman" w:cs="Times New Roman"/>
          <w:sz w:val="24"/>
          <w:szCs w:val="24"/>
        </w:rPr>
        <w:t xml:space="preserve"> sectors, where exposure to market volatility can lead to significant financial consequences. However, it also extends to </w:t>
      </w:r>
      <w:r w:rsidRPr="00C74137">
        <w:rPr>
          <w:rFonts w:ascii="Times New Roman" w:hAnsi="Times New Roman" w:cs="Times New Roman"/>
          <w:b/>
          <w:bCs/>
          <w:sz w:val="24"/>
          <w:szCs w:val="24"/>
        </w:rPr>
        <w:t>energy, manufacturing, logistics, IT services, and multinational trading firms</w:t>
      </w:r>
      <w:r w:rsidRPr="00C74137">
        <w:rPr>
          <w:rFonts w:ascii="Times New Roman" w:hAnsi="Times New Roman" w:cs="Times New Roman"/>
          <w:sz w:val="24"/>
          <w:szCs w:val="24"/>
        </w:rPr>
        <w:t>, especially those involved in exports and imports that are highly sensitive to exchange rates and commodity price fluctuations.</w:t>
      </w:r>
    </w:p>
    <w:p w14:paraId="039A87BA" w14:textId="52CBDB56"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Key functions in this industry include </w:t>
      </w:r>
      <w:r w:rsidRPr="00C74137">
        <w:rPr>
          <w:rFonts w:ascii="Times New Roman" w:hAnsi="Times New Roman" w:cs="Times New Roman"/>
          <w:b/>
          <w:bCs/>
          <w:sz w:val="24"/>
          <w:szCs w:val="24"/>
        </w:rPr>
        <w:t>risk assessment, measurement, mitigation, reporting, and compliance</w:t>
      </w:r>
      <w:r w:rsidRPr="00C74137">
        <w:rPr>
          <w:rFonts w:ascii="Times New Roman" w:hAnsi="Times New Roman" w:cs="Times New Roman"/>
          <w:sz w:val="24"/>
          <w:szCs w:val="24"/>
        </w:rPr>
        <w:t xml:space="preserve">. Institutions use various tools like </w:t>
      </w:r>
      <w:r w:rsidRPr="00C74137">
        <w:rPr>
          <w:rFonts w:ascii="Times New Roman" w:hAnsi="Times New Roman" w:cs="Times New Roman"/>
          <w:b/>
          <w:bCs/>
          <w:sz w:val="24"/>
          <w:szCs w:val="24"/>
        </w:rPr>
        <w:t>Value at Risk (</w:t>
      </w:r>
      <w:proofErr w:type="spellStart"/>
      <w:r w:rsidRPr="00C74137">
        <w:rPr>
          <w:rFonts w:ascii="Times New Roman" w:hAnsi="Times New Roman" w:cs="Times New Roman"/>
          <w:b/>
          <w:bCs/>
          <w:sz w:val="24"/>
          <w:szCs w:val="24"/>
        </w:rPr>
        <w:t>VaR</w:t>
      </w:r>
      <w:proofErr w:type="spellEnd"/>
      <w:r w:rsidRPr="00C74137">
        <w:rPr>
          <w:rFonts w:ascii="Times New Roman" w:hAnsi="Times New Roman" w:cs="Times New Roman"/>
          <w:b/>
          <w:bCs/>
          <w:sz w:val="24"/>
          <w:szCs w:val="24"/>
        </w:rPr>
        <w:t>), stress testing, scenario analysis</w:t>
      </w:r>
      <w:r w:rsidRPr="00C74137">
        <w:rPr>
          <w:rFonts w:ascii="Times New Roman" w:hAnsi="Times New Roman" w:cs="Times New Roman"/>
          <w:sz w:val="24"/>
          <w:szCs w:val="24"/>
        </w:rPr>
        <w:t xml:space="preserve">, and </w:t>
      </w:r>
      <w:r w:rsidRPr="00C74137">
        <w:rPr>
          <w:rFonts w:ascii="Times New Roman" w:hAnsi="Times New Roman" w:cs="Times New Roman"/>
          <w:b/>
          <w:bCs/>
          <w:sz w:val="24"/>
          <w:szCs w:val="24"/>
        </w:rPr>
        <w:t>hedging strategies</w:t>
      </w:r>
      <w:r w:rsidRPr="00C74137">
        <w:rPr>
          <w:rFonts w:ascii="Times New Roman" w:hAnsi="Times New Roman" w:cs="Times New Roman"/>
          <w:sz w:val="24"/>
          <w:szCs w:val="24"/>
        </w:rPr>
        <w:t xml:space="preserve"> involving </w:t>
      </w:r>
      <w:r w:rsidRPr="00C74137">
        <w:rPr>
          <w:rFonts w:ascii="Times New Roman" w:hAnsi="Times New Roman" w:cs="Times New Roman"/>
          <w:b/>
          <w:bCs/>
          <w:sz w:val="24"/>
          <w:szCs w:val="24"/>
        </w:rPr>
        <w:t>derivatives (futures, options, swaps)</w:t>
      </w:r>
      <w:r w:rsidRPr="00C74137">
        <w:rPr>
          <w:rFonts w:ascii="Times New Roman" w:hAnsi="Times New Roman" w:cs="Times New Roman"/>
          <w:sz w:val="24"/>
          <w:szCs w:val="24"/>
        </w:rPr>
        <w:t xml:space="preserve"> to quantify and manage risk. Financial risk advisory firms, risk software vendors, treasury departments, and regulatory consultants form the backbone of service providers in this industry.</w:t>
      </w:r>
    </w:p>
    <w:p w14:paraId="5A559ECB" w14:textId="55A486B7"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The global market risk management industry is supported by robust regulatory frameworks such as </w:t>
      </w:r>
      <w:r w:rsidRPr="00C74137">
        <w:rPr>
          <w:rFonts w:ascii="Times New Roman" w:hAnsi="Times New Roman" w:cs="Times New Roman"/>
          <w:b/>
          <w:bCs/>
          <w:sz w:val="24"/>
          <w:szCs w:val="24"/>
        </w:rPr>
        <w:t>Basel III</w:t>
      </w:r>
      <w:r w:rsidRPr="00C74137">
        <w:rPr>
          <w:rFonts w:ascii="Times New Roman" w:hAnsi="Times New Roman" w:cs="Times New Roman"/>
          <w:sz w:val="24"/>
          <w:szCs w:val="24"/>
        </w:rPr>
        <w:t xml:space="preserve">, </w:t>
      </w:r>
      <w:r w:rsidRPr="00C74137">
        <w:rPr>
          <w:rFonts w:ascii="Times New Roman" w:hAnsi="Times New Roman" w:cs="Times New Roman"/>
          <w:b/>
          <w:bCs/>
          <w:sz w:val="24"/>
          <w:szCs w:val="24"/>
        </w:rPr>
        <w:t>IFRS 9</w:t>
      </w:r>
      <w:r w:rsidRPr="00C74137">
        <w:rPr>
          <w:rFonts w:ascii="Times New Roman" w:hAnsi="Times New Roman" w:cs="Times New Roman"/>
          <w:sz w:val="24"/>
          <w:szCs w:val="24"/>
        </w:rPr>
        <w:t xml:space="preserve">, </w:t>
      </w:r>
      <w:r w:rsidRPr="00C74137">
        <w:rPr>
          <w:rFonts w:ascii="Times New Roman" w:hAnsi="Times New Roman" w:cs="Times New Roman"/>
          <w:b/>
          <w:bCs/>
          <w:sz w:val="24"/>
          <w:szCs w:val="24"/>
        </w:rPr>
        <w:t>Dodd-Frank</w:t>
      </w:r>
      <w:r w:rsidRPr="00C74137">
        <w:rPr>
          <w:rFonts w:ascii="Times New Roman" w:hAnsi="Times New Roman" w:cs="Times New Roman"/>
          <w:sz w:val="24"/>
          <w:szCs w:val="24"/>
        </w:rPr>
        <w:t xml:space="preserve">, and </w:t>
      </w:r>
      <w:r w:rsidRPr="00C74137">
        <w:rPr>
          <w:rFonts w:ascii="Times New Roman" w:hAnsi="Times New Roman" w:cs="Times New Roman"/>
          <w:b/>
          <w:bCs/>
          <w:sz w:val="24"/>
          <w:szCs w:val="24"/>
        </w:rPr>
        <w:t>Solvency II</w:t>
      </w:r>
      <w:r w:rsidRPr="00C74137">
        <w:rPr>
          <w:rFonts w:ascii="Times New Roman" w:hAnsi="Times New Roman" w:cs="Times New Roman"/>
          <w:sz w:val="24"/>
          <w:szCs w:val="24"/>
        </w:rPr>
        <w:t xml:space="preserve">, which mandate risk disclosure, capital adequacy, and transparency in financial reporting. These regulations have intensified the focus on market risk compliance and reporting, creating opportunities for firms offering </w:t>
      </w:r>
      <w:proofErr w:type="spellStart"/>
      <w:r w:rsidRPr="00C74137">
        <w:rPr>
          <w:rFonts w:ascii="Times New Roman" w:hAnsi="Times New Roman" w:cs="Times New Roman"/>
          <w:b/>
          <w:bCs/>
          <w:sz w:val="24"/>
          <w:szCs w:val="24"/>
        </w:rPr>
        <w:t>regtech</w:t>
      </w:r>
      <w:proofErr w:type="spellEnd"/>
      <w:r w:rsidRPr="00C74137">
        <w:rPr>
          <w:rFonts w:ascii="Times New Roman" w:hAnsi="Times New Roman" w:cs="Times New Roman"/>
          <w:b/>
          <w:bCs/>
          <w:sz w:val="24"/>
          <w:szCs w:val="24"/>
        </w:rPr>
        <w:t xml:space="preserve"> solutions</w:t>
      </w:r>
      <w:r w:rsidRPr="00C74137">
        <w:rPr>
          <w:rFonts w:ascii="Times New Roman" w:hAnsi="Times New Roman" w:cs="Times New Roman"/>
          <w:sz w:val="24"/>
          <w:szCs w:val="24"/>
        </w:rPr>
        <w:t xml:space="preserve">, </w:t>
      </w:r>
      <w:r w:rsidRPr="00C74137">
        <w:rPr>
          <w:rFonts w:ascii="Times New Roman" w:hAnsi="Times New Roman" w:cs="Times New Roman"/>
          <w:b/>
          <w:bCs/>
          <w:sz w:val="24"/>
          <w:szCs w:val="24"/>
        </w:rPr>
        <w:t>automated risk monitoring</w:t>
      </w:r>
      <w:r w:rsidRPr="00C74137">
        <w:rPr>
          <w:rFonts w:ascii="Times New Roman" w:hAnsi="Times New Roman" w:cs="Times New Roman"/>
          <w:sz w:val="24"/>
          <w:szCs w:val="24"/>
        </w:rPr>
        <w:t xml:space="preserve">, and </w:t>
      </w:r>
      <w:r w:rsidRPr="00C74137">
        <w:rPr>
          <w:rFonts w:ascii="Times New Roman" w:hAnsi="Times New Roman" w:cs="Times New Roman"/>
          <w:b/>
          <w:bCs/>
          <w:sz w:val="24"/>
          <w:szCs w:val="24"/>
        </w:rPr>
        <w:t>real-time analytics</w:t>
      </w:r>
      <w:r w:rsidRPr="00C74137">
        <w:rPr>
          <w:rFonts w:ascii="Times New Roman" w:hAnsi="Times New Roman" w:cs="Times New Roman"/>
          <w:sz w:val="24"/>
          <w:szCs w:val="24"/>
        </w:rPr>
        <w:t>.</w:t>
      </w:r>
    </w:p>
    <w:p w14:paraId="21B9C2BD" w14:textId="4351D086"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 xml:space="preserve">Technological advancements are reshaping the industry, with </w:t>
      </w:r>
      <w:r w:rsidRPr="00C74137">
        <w:rPr>
          <w:rFonts w:ascii="Times New Roman" w:hAnsi="Times New Roman" w:cs="Times New Roman"/>
          <w:b/>
          <w:bCs/>
          <w:sz w:val="24"/>
          <w:szCs w:val="24"/>
        </w:rPr>
        <w:t>AI, machine learning, blockchain, and big data analytics</w:t>
      </w:r>
      <w:r w:rsidRPr="00C74137">
        <w:rPr>
          <w:rFonts w:ascii="Times New Roman" w:hAnsi="Times New Roman" w:cs="Times New Roman"/>
          <w:sz w:val="24"/>
          <w:szCs w:val="24"/>
        </w:rPr>
        <w:t xml:space="preserve"> enabling more accurate forecasting and quicker response to market changes. Several large multinational firms now invest in </w:t>
      </w:r>
      <w:r w:rsidRPr="00C74137">
        <w:rPr>
          <w:rFonts w:ascii="Times New Roman" w:hAnsi="Times New Roman" w:cs="Times New Roman"/>
          <w:b/>
          <w:bCs/>
          <w:sz w:val="24"/>
          <w:szCs w:val="24"/>
        </w:rPr>
        <w:t>enterprise risk management systems</w:t>
      </w:r>
      <w:r w:rsidRPr="00C74137">
        <w:rPr>
          <w:rFonts w:ascii="Times New Roman" w:hAnsi="Times New Roman" w:cs="Times New Roman"/>
          <w:sz w:val="24"/>
          <w:szCs w:val="24"/>
        </w:rPr>
        <w:t xml:space="preserve"> (ERMs) and </w:t>
      </w:r>
      <w:r w:rsidRPr="00C74137">
        <w:rPr>
          <w:rFonts w:ascii="Times New Roman" w:hAnsi="Times New Roman" w:cs="Times New Roman"/>
          <w:b/>
          <w:bCs/>
          <w:sz w:val="24"/>
          <w:szCs w:val="24"/>
        </w:rPr>
        <w:t>cloud-based risk platforms</w:t>
      </w:r>
      <w:r w:rsidRPr="00C74137">
        <w:rPr>
          <w:rFonts w:ascii="Times New Roman" w:hAnsi="Times New Roman" w:cs="Times New Roman"/>
          <w:sz w:val="24"/>
          <w:szCs w:val="24"/>
        </w:rPr>
        <w:t xml:space="preserve"> that integrate market risk with operational and credit risk under one framework.</w:t>
      </w:r>
    </w:p>
    <w:p w14:paraId="2EE8113F" w14:textId="77777777" w:rsidR="00C74137" w:rsidRDefault="00C74137">
      <w:pPr>
        <w:rPr>
          <w:rFonts w:ascii="Times New Roman" w:hAnsi="Times New Roman" w:cs="Times New Roman"/>
          <w:sz w:val="24"/>
          <w:szCs w:val="24"/>
        </w:rPr>
      </w:pPr>
    </w:p>
    <w:p w14:paraId="48B0C316" w14:textId="77777777" w:rsidR="00C74137" w:rsidRDefault="00C74137">
      <w:pPr>
        <w:rPr>
          <w:rFonts w:ascii="Times New Roman" w:hAnsi="Times New Roman" w:cs="Times New Roman"/>
          <w:sz w:val="24"/>
          <w:szCs w:val="24"/>
        </w:rPr>
      </w:pPr>
    </w:p>
    <w:p w14:paraId="0784F430" w14:textId="77777777" w:rsidR="00C74137" w:rsidRDefault="00C74137" w:rsidP="00C74137">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49489EBC" w14:textId="3D74A04B"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In today’s highly dynamic and interconnected global economy, organizations are increasingly exposed to volatile market conditions that can adversely impact their financial performance. Fluctuations in interest rates, currency exchange rates, equity prices, and commodity values pose significant challenges to businesses, especially those operating across international borders or in capital-intensive industries. Despite advancements in financial tools and risk management frameworks, many firms struggle to accurately identify, assess, and mitigate market risks in a timely and effective manner.</w:t>
      </w:r>
    </w:p>
    <w:p w14:paraId="01FE8145" w14:textId="3AC97DF4" w:rsidR="00C74137" w:rsidRP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The problem lies not only in the unpredictable nature of market forces but also in the gaps within existing risk management systems, such as inadequate forecasting models, poor integration of risk data, lack of expertise, and insufficient use of technology. As a result, businesses may experience unanticipated financial losses, reduced investor confidence, and regulatory non-compliance, all of which threaten organizational sustainability.</w:t>
      </w:r>
    </w:p>
    <w:p w14:paraId="1BB1E7EB" w14:textId="0B58C0FF" w:rsidR="00C74137" w:rsidRDefault="00C74137" w:rsidP="00C741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4137">
        <w:rPr>
          <w:rFonts w:ascii="Times New Roman" w:hAnsi="Times New Roman" w:cs="Times New Roman"/>
          <w:sz w:val="24"/>
          <w:szCs w:val="24"/>
        </w:rPr>
        <w:t>Furthermore, small and medium enterprises (SMEs), in particular, often lack access to sophisticated risk mitigation instruments and professional risk advisory services. Even in larger organizations, risk strategies are frequently reactive rather than proactive, leading to poor decision-making during times of market stress. Inadequate market risk management also undermines a firm's ability to compete globally, secure financing, and sustain growth during economic downturns.</w:t>
      </w:r>
    </w:p>
    <w:p w14:paraId="3BB1F593" w14:textId="30D909A7" w:rsidR="00C74137" w:rsidRDefault="00C74137" w:rsidP="00C74137">
      <w:pPr>
        <w:spacing w:line="360" w:lineRule="auto"/>
        <w:jc w:val="both"/>
        <w:rPr>
          <w:rFonts w:ascii="Times New Roman" w:hAnsi="Times New Roman" w:cs="Times New Roman"/>
          <w:b/>
          <w:bCs/>
          <w:sz w:val="24"/>
          <w:szCs w:val="24"/>
        </w:rPr>
      </w:pPr>
      <w:bookmarkStart w:id="7" w:name="_Hlk202098728"/>
      <w:r w:rsidRPr="00AD7255">
        <w:rPr>
          <w:rFonts w:ascii="Times New Roman" w:hAnsi="Times New Roman" w:cs="Times New Roman"/>
          <w:b/>
          <w:bCs/>
          <w:sz w:val="24"/>
          <w:szCs w:val="24"/>
        </w:rPr>
        <w:t>1.5 OBJECTIVES OF THE STUDY</w:t>
      </w:r>
      <w:bookmarkEnd w:id="7"/>
    </w:p>
    <w:p w14:paraId="7AF4B717" w14:textId="5A4BA912" w:rsidR="00C74137" w:rsidRPr="00C74137" w:rsidRDefault="00C74137" w:rsidP="00C74137">
      <w:pPr>
        <w:pStyle w:val="ListParagraph"/>
        <w:numPr>
          <w:ilvl w:val="0"/>
          <w:numId w:val="6"/>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To identify the key types of market risks</w:t>
      </w:r>
      <w:r w:rsidRPr="00C74137">
        <w:rPr>
          <w:rFonts w:ascii="Times New Roman" w:hAnsi="Times New Roman" w:cs="Times New Roman"/>
          <w:sz w:val="24"/>
          <w:szCs w:val="24"/>
        </w:rPr>
        <w:t>—such as interest rate risk, foreign exchange risk, equity risk, and commodity price risk—that affect organizations across different sectors.</w:t>
      </w:r>
    </w:p>
    <w:p w14:paraId="1920D85B" w14:textId="03748F1D" w:rsidR="00C74137" w:rsidRPr="00C74137" w:rsidRDefault="00C74137" w:rsidP="00C74137">
      <w:pPr>
        <w:pStyle w:val="ListParagraph"/>
        <w:numPr>
          <w:ilvl w:val="0"/>
          <w:numId w:val="6"/>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To examine the methods and tools used in market risk management</w:t>
      </w:r>
      <w:r w:rsidRPr="00C74137">
        <w:rPr>
          <w:rFonts w:ascii="Times New Roman" w:hAnsi="Times New Roman" w:cs="Times New Roman"/>
          <w:sz w:val="24"/>
          <w:szCs w:val="24"/>
        </w:rPr>
        <w:t>, including Value at Risk (</w:t>
      </w:r>
      <w:proofErr w:type="spellStart"/>
      <w:r w:rsidRPr="00C74137">
        <w:rPr>
          <w:rFonts w:ascii="Times New Roman" w:hAnsi="Times New Roman" w:cs="Times New Roman"/>
          <w:sz w:val="24"/>
          <w:szCs w:val="24"/>
        </w:rPr>
        <w:t>VaR</w:t>
      </w:r>
      <w:proofErr w:type="spellEnd"/>
      <w:r w:rsidRPr="00C74137">
        <w:rPr>
          <w:rFonts w:ascii="Times New Roman" w:hAnsi="Times New Roman" w:cs="Times New Roman"/>
          <w:sz w:val="24"/>
          <w:szCs w:val="24"/>
        </w:rPr>
        <w:t>), stress testing, scenario analysis, and financial derivatives like futures, options, and swaps.</w:t>
      </w:r>
    </w:p>
    <w:p w14:paraId="1C18DD39" w14:textId="334BD41E" w:rsidR="00C74137" w:rsidRPr="00C74137" w:rsidRDefault="00C74137" w:rsidP="00C74137">
      <w:pPr>
        <w:pStyle w:val="ListParagraph"/>
        <w:numPr>
          <w:ilvl w:val="0"/>
          <w:numId w:val="6"/>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To assess the effectiveness of existing risk management frameworks</w:t>
      </w:r>
      <w:r w:rsidRPr="00C74137">
        <w:rPr>
          <w:rFonts w:ascii="Times New Roman" w:hAnsi="Times New Roman" w:cs="Times New Roman"/>
          <w:sz w:val="24"/>
          <w:szCs w:val="24"/>
        </w:rPr>
        <w:t xml:space="preserve"> in minimizing financial losses and maintaining business continuity during periods of market volatility.</w:t>
      </w:r>
    </w:p>
    <w:p w14:paraId="00EB9619" w14:textId="1C4A01D3" w:rsidR="00C74137" w:rsidRPr="00C74137" w:rsidRDefault="00C74137" w:rsidP="00C74137">
      <w:pPr>
        <w:pStyle w:val="ListParagraph"/>
        <w:numPr>
          <w:ilvl w:val="0"/>
          <w:numId w:val="6"/>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To study the role of technology and data analytics</w:t>
      </w:r>
      <w:r w:rsidRPr="00C74137">
        <w:rPr>
          <w:rFonts w:ascii="Times New Roman" w:hAnsi="Times New Roman" w:cs="Times New Roman"/>
          <w:sz w:val="24"/>
          <w:szCs w:val="24"/>
        </w:rPr>
        <w:t xml:space="preserve"> in improving the accuracy and efficiency of market risk assessment and mitigation.</w:t>
      </w:r>
    </w:p>
    <w:p w14:paraId="68E9EE02" w14:textId="608703B8" w:rsidR="00C74137" w:rsidRPr="00C74137" w:rsidRDefault="00C74137" w:rsidP="00C74137">
      <w:pPr>
        <w:pStyle w:val="ListParagraph"/>
        <w:numPr>
          <w:ilvl w:val="0"/>
          <w:numId w:val="6"/>
        </w:numPr>
        <w:spacing w:line="360" w:lineRule="auto"/>
        <w:jc w:val="both"/>
        <w:rPr>
          <w:rFonts w:ascii="Times New Roman" w:hAnsi="Times New Roman" w:cs="Times New Roman"/>
          <w:sz w:val="24"/>
          <w:szCs w:val="24"/>
        </w:rPr>
      </w:pPr>
      <w:r w:rsidRPr="00C74137">
        <w:rPr>
          <w:rFonts w:ascii="Times New Roman" w:hAnsi="Times New Roman" w:cs="Times New Roman"/>
          <w:b/>
          <w:bCs/>
          <w:sz w:val="24"/>
          <w:szCs w:val="24"/>
        </w:rPr>
        <w:t>To evaluate the level of awareness and preparedness among organizations</w:t>
      </w:r>
      <w:r w:rsidRPr="00C74137">
        <w:rPr>
          <w:rFonts w:ascii="Times New Roman" w:hAnsi="Times New Roman" w:cs="Times New Roman"/>
          <w:sz w:val="24"/>
          <w:szCs w:val="24"/>
        </w:rPr>
        <w:t>, especially SMEs, in managing market risks and complying with relevant financial regulations.</w:t>
      </w:r>
    </w:p>
    <w:p w14:paraId="4BC1B891" w14:textId="77777777" w:rsidR="00C74137" w:rsidRDefault="00C74137" w:rsidP="00C74137">
      <w:pPr>
        <w:spacing w:line="360" w:lineRule="auto"/>
        <w:jc w:val="both"/>
        <w:rPr>
          <w:rFonts w:ascii="Times New Roman" w:hAnsi="Times New Roman" w:cs="Times New Roman"/>
          <w:b/>
          <w:bCs/>
          <w:sz w:val="24"/>
          <w:szCs w:val="24"/>
          <w:lang w:val="en-US"/>
        </w:rPr>
      </w:pPr>
      <w:bookmarkStart w:id="8" w:name="_Hlk202043040"/>
      <w:r w:rsidRPr="00C74137">
        <w:rPr>
          <w:rFonts w:ascii="Times New Roman" w:hAnsi="Times New Roman" w:cs="Times New Roman"/>
          <w:b/>
          <w:bCs/>
          <w:sz w:val="24"/>
          <w:szCs w:val="24"/>
          <w:lang w:val="en-US"/>
        </w:rPr>
        <w:lastRenderedPageBreak/>
        <w:t>1.6 SCOPE OF THE STUDY</w:t>
      </w:r>
    </w:p>
    <w:p w14:paraId="2CACEBC2" w14:textId="382B6CE6"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The scope of this study encompasses the comprehensive analysis of market risk management practices adopted by organizations across various industries, with a focus on understanding how these practices help in mitigating risks associated with fluctuations in market variables such as interest rates, foreign exchange rates, equity prices, and commodity prices. The study covers both financial institutions, including banks and insurance companies, as well as non-financial firms like exporters, importers, manufacturing companies, and multinational corporations that face significant exposure to market risks.</w:t>
      </w:r>
    </w:p>
    <w:p w14:paraId="00DD29FA" w14:textId="07B5E972"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This research primarily focuses on the identification and evaluation of commonly used risk measurement techniques such as Value at Risk (</w:t>
      </w:r>
      <w:proofErr w:type="spellStart"/>
      <w:r w:rsidRPr="004A14E0">
        <w:rPr>
          <w:rFonts w:ascii="Times New Roman" w:hAnsi="Times New Roman" w:cs="Times New Roman"/>
          <w:sz w:val="24"/>
          <w:szCs w:val="24"/>
        </w:rPr>
        <w:t>VaR</w:t>
      </w:r>
      <w:proofErr w:type="spellEnd"/>
      <w:r w:rsidRPr="004A14E0">
        <w:rPr>
          <w:rFonts w:ascii="Times New Roman" w:hAnsi="Times New Roman" w:cs="Times New Roman"/>
          <w:sz w:val="24"/>
          <w:szCs w:val="24"/>
        </w:rPr>
        <w:t>), stress testing, and scenario analysis, alongside the assessment of risk mitigation tools like derivatives (futures, options, swaps). The role of technology, including data analytics, artificial intelligence, and automated risk management systems, in enhancing market risk management will also be explored.</w:t>
      </w:r>
    </w:p>
    <w:p w14:paraId="3FA00DA6" w14:textId="107A2FD0"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Geographically, the study will consider organizations operating in both developed and emerging markets, providing insights into how market risk management varies across different regulatory environments and market conditions. Additionally, the study will highlight the challenges faced by small and medium-sized enterprises (SMEs) in managing market risk compared to larger corporations.</w:t>
      </w:r>
    </w:p>
    <w:p w14:paraId="7A386B20" w14:textId="1CFD366B"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The scope excludes detailed analysis of other types of risks such as credit risk, operational risk, and liquidity risk, focusing solely on market risk. Furthermore, while regulatory frameworks such as Basel III and IFRS 9 will be referenced, the study does not delve deeply into legal or compliance aspects but rather emphasizes practical risk management strategies.</w:t>
      </w:r>
    </w:p>
    <w:p w14:paraId="61729D6A" w14:textId="435B190F" w:rsid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The findings of this study aim to provide a holistic understanding of current market risk management trends, identify gaps, and suggest actionable recommendations that can help organizations strengthen their risk management frameworks, ensuring financial resilience and sustainability in an increasingly volatile global market.</w:t>
      </w:r>
    </w:p>
    <w:p w14:paraId="7A3F87CA" w14:textId="021E16D0" w:rsidR="004A14E0" w:rsidRDefault="004A14E0" w:rsidP="004A14E0">
      <w:pPr>
        <w:spacing w:line="360" w:lineRule="auto"/>
        <w:jc w:val="both"/>
        <w:rPr>
          <w:rFonts w:ascii="Times New Roman" w:hAnsi="Times New Roman" w:cs="Times New Roman"/>
          <w:b/>
          <w:bCs/>
          <w:sz w:val="24"/>
          <w:szCs w:val="24"/>
          <w:lang w:val="en-US"/>
        </w:rPr>
      </w:pPr>
      <w:bookmarkStart w:id="9" w:name="_Hlk202098815"/>
      <w:r w:rsidRPr="006E2866">
        <w:rPr>
          <w:rFonts w:ascii="Times New Roman" w:hAnsi="Times New Roman" w:cs="Times New Roman"/>
          <w:b/>
          <w:bCs/>
          <w:sz w:val="24"/>
          <w:szCs w:val="24"/>
          <w:lang w:val="en-US"/>
        </w:rPr>
        <w:t>1.7 LIMITATIONS OF THE STUDY</w:t>
      </w:r>
      <w:bookmarkEnd w:id="9"/>
    </w:p>
    <w:p w14:paraId="4BEA18A0" w14:textId="0FF77E16"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 xml:space="preserve">While this study aims to provide a thorough examination of market risk management practices across various organizations, several limitations affect the breadth and depth of the research outcomes. One of the primary limitations is the </w:t>
      </w:r>
      <w:r w:rsidRPr="004A14E0">
        <w:rPr>
          <w:rFonts w:ascii="Times New Roman" w:hAnsi="Times New Roman" w:cs="Times New Roman"/>
          <w:b/>
          <w:bCs/>
          <w:sz w:val="24"/>
          <w:szCs w:val="24"/>
        </w:rPr>
        <w:t>narrow focus on market risk alone</w:t>
      </w:r>
      <w:r w:rsidRPr="004A14E0">
        <w:rPr>
          <w:rFonts w:ascii="Times New Roman" w:hAnsi="Times New Roman" w:cs="Times New Roman"/>
          <w:sz w:val="24"/>
          <w:szCs w:val="24"/>
        </w:rPr>
        <w:t xml:space="preserve">, </w:t>
      </w:r>
      <w:r w:rsidRPr="004A14E0">
        <w:rPr>
          <w:rFonts w:ascii="Times New Roman" w:hAnsi="Times New Roman" w:cs="Times New Roman"/>
          <w:sz w:val="24"/>
          <w:szCs w:val="24"/>
        </w:rPr>
        <w:lastRenderedPageBreak/>
        <w:t>without integrating other interrelated risks such as credit risk, operational risk, liquidity risk, and reputational risk. These risks often interact with market risk, and isolating market risk may oversimplify the complexity faced by organizations in holistic risk management.</w:t>
      </w:r>
    </w:p>
    <w:p w14:paraId="6EBF903B" w14:textId="1F659F6B"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 xml:space="preserve">Another significant limitation stems from the </w:t>
      </w:r>
      <w:r w:rsidRPr="004A14E0">
        <w:rPr>
          <w:rFonts w:ascii="Times New Roman" w:hAnsi="Times New Roman" w:cs="Times New Roman"/>
          <w:b/>
          <w:bCs/>
          <w:sz w:val="24"/>
          <w:szCs w:val="24"/>
        </w:rPr>
        <w:t>availability and reliability of data</w:t>
      </w:r>
      <w:r w:rsidRPr="004A14E0">
        <w:rPr>
          <w:rFonts w:ascii="Times New Roman" w:hAnsi="Times New Roman" w:cs="Times New Roman"/>
          <w:sz w:val="24"/>
          <w:szCs w:val="24"/>
        </w:rPr>
        <w:t>. Market risk data is often proprietary and sensitive, especially for financial institutions and multinational corporations. This restricts the ability to access real-time, detailed, or historical data that would allow for a more precise and quantitative analysis. Consequently, the study may rely heavily on publicly available information, secondary data sources, and qualitative insights, which may not capture the full spectrum of market risk exposures and mitigation measures.</w:t>
      </w:r>
    </w:p>
    <w:p w14:paraId="460D2D08" w14:textId="79E8AC7B"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 xml:space="preserve">The </w:t>
      </w:r>
      <w:r w:rsidRPr="004A14E0">
        <w:rPr>
          <w:rFonts w:ascii="Times New Roman" w:hAnsi="Times New Roman" w:cs="Times New Roman"/>
          <w:b/>
          <w:bCs/>
          <w:sz w:val="24"/>
          <w:szCs w:val="24"/>
        </w:rPr>
        <w:t>dynamic nature of financial markets</w:t>
      </w:r>
      <w:r w:rsidRPr="004A14E0">
        <w:rPr>
          <w:rFonts w:ascii="Times New Roman" w:hAnsi="Times New Roman" w:cs="Times New Roman"/>
          <w:sz w:val="24"/>
          <w:szCs w:val="24"/>
        </w:rPr>
        <w:t xml:space="preserve"> presents an inherent challenge. Market conditions fluctuate rapidly due to geopolitical events, regulatory changes, technological disruptions, and macroeconomic shifts. As a result, risk management models and strategies that are effective today may become obsolete or insufficient tomorrow. This temporal limitation means that the study’s conclusions are subject to change as market environments evolve, requiring ongoing updates and validations.</w:t>
      </w:r>
    </w:p>
    <w:p w14:paraId="028560A7" w14:textId="7B0C92C0"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 xml:space="preserve">Additionally, the study is limited by the </w:t>
      </w:r>
      <w:r w:rsidRPr="004A14E0">
        <w:rPr>
          <w:rFonts w:ascii="Times New Roman" w:hAnsi="Times New Roman" w:cs="Times New Roman"/>
          <w:b/>
          <w:bCs/>
          <w:sz w:val="24"/>
          <w:szCs w:val="24"/>
        </w:rPr>
        <w:t>geographical scope and industry representation</w:t>
      </w:r>
      <w:r w:rsidRPr="004A14E0">
        <w:rPr>
          <w:rFonts w:ascii="Times New Roman" w:hAnsi="Times New Roman" w:cs="Times New Roman"/>
          <w:sz w:val="24"/>
          <w:szCs w:val="24"/>
        </w:rPr>
        <w:t>. Although it attempts to cover multiple sectors and regions, the diversity in regulatory environments, market maturity, and organizational risk culture can cause variations in how market risk management is approached. For example, regulatory requirements in developed markets such as the US and Europe may differ significantly from those in emerging economies, affecting the applicability of findings across all contexts. Small and medium enterprises (SMEs), which often lack formalized risk management systems, may be underrepresented in the data, limiting insights into their unique challenges.</w:t>
      </w:r>
    </w:p>
    <w:p w14:paraId="51D9AADA" w14:textId="05D16ADB"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 xml:space="preserve">Methodologically, the study’s reliance on surveys, interviews, and expert opinions introduces potential </w:t>
      </w:r>
      <w:r w:rsidRPr="004A14E0">
        <w:rPr>
          <w:rFonts w:ascii="Times New Roman" w:hAnsi="Times New Roman" w:cs="Times New Roman"/>
          <w:b/>
          <w:bCs/>
          <w:sz w:val="24"/>
          <w:szCs w:val="24"/>
        </w:rPr>
        <w:t>subjectivity and bias</w:t>
      </w:r>
      <w:r w:rsidRPr="004A14E0">
        <w:rPr>
          <w:rFonts w:ascii="Times New Roman" w:hAnsi="Times New Roman" w:cs="Times New Roman"/>
          <w:sz w:val="24"/>
          <w:szCs w:val="24"/>
        </w:rPr>
        <w:t>. Respondents may provide optimistic views of their risk management effectiveness or omit critical failures due to reputational concerns. This can skew the analysis and conclusions. Moreover, the lack of standardized definitions and metrics across organizations can make comparative assessments difficult.</w:t>
      </w:r>
    </w:p>
    <w:bookmarkEnd w:id="8"/>
    <w:p w14:paraId="66311E93" w14:textId="77777777" w:rsidR="00C74137" w:rsidRDefault="00C74137" w:rsidP="00C74137">
      <w:pPr>
        <w:spacing w:line="360" w:lineRule="auto"/>
        <w:jc w:val="both"/>
        <w:rPr>
          <w:rFonts w:ascii="Times New Roman" w:hAnsi="Times New Roman" w:cs="Times New Roman"/>
          <w:sz w:val="24"/>
          <w:szCs w:val="24"/>
        </w:rPr>
      </w:pPr>
    </w:p>
    <w:p w14:paraId="7DE442DF" w14:textId="77777777" w:rsidR="004A14E0" w:rsidRDefault="004A14E0" w:rsidP="00C74137">
      <w:pPr>
        <w:spacing w:line="360" w:lineRule="auto"/>
        <w:jc w:val="both"/>
        <w:rPr>
          <w:rFonts w:ascii="Times New Roman" w:hAnsi="Times New Roman" w:cs="Times New Roman"/>
          <w:sz w:val="24"/>
          <w:szCs w:val="24"/>
        </w:rPr>
      </w:pPr>
    </w:p>
    <w:p w14:paraId="221E48E2" w14:textId="77777777" w:rsidR="004A14E0" w:rsidRPr="00AD7255" w:rsidRDefault="004A14E0" w:rsidP="004A14E0">
      <w:pPr>
        <w:spacing w:line="360" w:lineRule="auto"/>
        <w:jc w:val="center"/>
        <w:rPr>
          <w:rFonts w:ascii="Times New Roman" w:hAnsi="Times New Roman" w:cs="Times New Roman"/>
          <w:b/>
          <w:bCs/>
          <w:sz w:val="24"/>
          <w:szCs w:val="24"/>
          <w:lang w:val="en-US"/>
        </w:rPr>
      </w:pPr>
      <w:bookmarkStart w:id="10" w:name="_Hlk202089904"/>
      <w:r w:rsidRPr="00AD7255">
        <w:rPr>
          <w:rFonts w:ascii="Times New Roman" w:hAnsi="Times New Roman" w:cs="Times New Roman"/>
          <w:b/>
          <w:bCs/>
          <w:sz w:val="24"/>
          <w:szCs w:val="24"/>
          <w:lang w:val="en-US"/>
        </w:rPr>
        <w:lastRenderedPageBreak/>
        <w:t>CHAPTER – II</w:t>
      </w:r>
    </w:p>
    <w:p w14:paraId="7EDED333" w14:textId="77777777" w:rsidR="004A14E0" w:rsidRDefault="004A14E0" w:rsidP="004A14E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0"/>
    <w:p w14:paraId="36C44B08" w14:textId="43454961"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Market risk management has been widely studied across finance and business disciplines, highlighting its importance in mitigating losses due to fluctuations in market variables such as interest rates, currency exchange rates, stock prices, and commodity prices. The following literature review explores foundational theories, empirical studies, and recent advancements in the field.</w:t>
      </w:r>
    </w:p>
    <w:p w14:paraId="237F442E"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2.1 Conceptual Foundations of Market Risk Management</w:t>
      </w:r>
    </w:p>
    <w:p w14:paraId="64675D1E"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According </w:t>
      </w:r>
      <w:r w:rsidRPr="004A14E0">
        <w:rPr>
          <w:rFonts w:ascii="Times New Roman" w:hAnsi="Times New Roman" w:cs="Times New Roman"/>
          <w:b/>
          <w:bCs/>
          <w:sz w:val="24"/>
          <w:szCs w:val="24"/>
        </w:rPr>
        <w:t xml:space="preserve">to </w:t>
      </w:r>
      <w:proofErr w:type="spellStart"/>
      <w:r w:rsidRPr="004A14E0">
        <w:rPr>
          <w:rFonts w:ascii="Times New Roman" w:hAnsi="Times New Roman" w:cs="Times New Roman"/>
          <w:b/>
          <w:bCs/>
          <w:sz w:val="24"/>
          <w:szCs w:val="24"/>
        </w:rPr>
        <w:t>Jorion</w:t>
      </w:r>
      <w:proofErr w:type="spellEnd"/>
      <w:r w:rsidRPr="004A14E0">
        <w:rPr>
          <w:rFonts w:ascii="Times New Roman" w:hAnsi="Times New Roman" w:cs="Times New Roman"/>
          <w:b/>
          <w:bCs/>
          <w:sz w:val="24"/>
          <w:szCs w:val="24"/>
        </w:rPr>
        <w:t xml:space="preserve"> (2007)</w:t>
      </w:r>
      <w:r w:rsidRPr="004A14E0">
        <w:rPr>
          <w:rFonts w:ascii="Times New Roman" w:hAnsi="Times New Roman" w:cs="Times New Roman"/>
          <w:sz w:val="24"/>
          <w:szCs w:val="24"/>
        </w:rPr>
        <w:t>, market risk refers to the risk of losses in positions arising from movements in market prices. This includes risks related to interest rates, equity prices, foreign exchange rates, and commodity prices. The fundamental approach to market risk management involves identifying, measuring, and controlling these exposures to minimize financial loss.</w:t>
      </w:r>
    </w:p>
    <w:p w14:paraId="6C6C41E1"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b/>
          <w:bCs/>
          <w:sz w:val="24"/>
          <w:szCs w:val="24"/>
        </w:rPr>
        <w:t>Hull (2015)</w:t>
      </w:r>
      <w:r w:rsidRPr="004A14E0">
        <w:rPr>
          <w:rFonts w:ascii="Times New Roman" w:hAnsi="Times New Roman" w:cs="Times New Roman"/>
          <w:sz w:val="24"/>
          <w:szCs w:val="24"/>
        </w:rPr>
        <w:t xml:space="preserve"> explains that effective market risk management requires a combination of quantitative models and qualitative judgment. Techniques such as Value at Risk (</w:t>
      </w:r>
      <w:proofErr w:type="spellStart"/>
      <w:r w:rsidRPr="004A14E0">
        <w:rPr>
          <w:rFonts w:ascii="Times New Roman" w:hAnsi="Times New Roman" w:cs="Times New Roman"/>
          <w:sz w:val="24"/>
          <w:szCs w:val="24"/>
        </w:rPr>
        <w:t>VaR</w:t>
      </w:r>
      <w:proofErr w:type="spellEnd"/>
      <w:r w:rsidRPr="004A14E0">
        <w:rPr>
          <w:rFonts w:ascii="Times New Roman" w:hAnsi="Times New Roman" w:cs="Times New Roman"/>
          <w:sz w:val="24"/>
          <w:szCs w:val="24"/>
        </w:rPr>
        <w:t>), scenario analysis, and stress testing are commonly employed tools to assess potential losses under various market conditions. These tools help firms anticipate extreme events and develop hedging strategies.</w:t>
      </w:r>
    </w:p>
    <w:p w14:paraId="102849DB"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2.2 Measurement and Quantification Techniques</w:t>
      </w:r>
    </w:p>
    <w:p w14:paraId="74A6066F"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Numerous studies have emphasized the importance of accurate measurement in market risk management. </w:t>
      </w:r>
      <w:proofErr w:type="spellStart"/>
      <w:r w:rsidRPr="004A14E0">
        <w:rPr>
          <w:rFonts w:ascii="Times New Roman" w:hAnsi="Times New Roman" w:cs="Times New Roman"/>
          <w:b/>
          <w:bCs/>
          <w:sz w:val="24"/>
          <w:szCs w:val="24"/>
        </w:rPr>
        <w:t>Jorion</w:t>
      </w:r>
      <w:proofErr w:type="spellEnd"/>
      <w:r w:rsidRPr="004A14E0">
        <w:rPr>
          <w:rFonts w:ascii="Times New Roman" w:hAnsi="Times New Roman" w:cs="Times New Roman"/>
          <w:b/>
          <w:bCs/>
          <w:sz w:val="24"/>
          <w:szCs w:val="24"/>
        </w:rPr>
        <w:t xml:space="preserve"> (2006)</w:t>
      </w:r>
      <w:r w:rsidRPr="004A14E0">
        <w:rPr>
          <w:rFonts w:ascii="Times New Roman" w:hAnsi="Times New Roman" w:cs="Times New Roman"/>
          <w:sz w:val="24"/>
          <w:szCs w:val="24"/>
        </w:rPr>
        <w:t xml:space="preserve"> details the widespread use of Value at Risk (</w:t>
      </w:r>
      <w:proofErr w:type="spellStart"/>
      <w:r w:rsidRPr="004A14E0">
        <w:rPr>
          <w:rFonts w:ascii="Times New Roman" w:hAnsi="Times New Roman" w:cs="Times New Roman"/>
          <w:sz w:val="24"/>
          <w:szCs w:val="24"/>
        </w:rPr>
        <w:t>VaR</w:t>
      </w:r>
      <w:proofErr w:type="spellEnd"/>
      <w:r w:rsidRPr="004A14E0">
        <w:rPr>
          <w:rFonts w:ascii="Times New Roman" w:hAnsi="Times New Roman" w:cs="Times New Roman"/>
          <w:sz w:val="24"/>
          <w:szCs w:val="24"/>
        </w:rPr>
        <w:t xml:space="preserve">) as a standard metric, which estimates the maximum expected loss over a given time period at a certain confidence level. While </w:t>
      </w:r>
      <w:proofErr w:type="spellStart"/>
      <w:r w:rsidRPr="004A14E0">
        <w:rPr>
          <w:rFonts w:ascii="Times New Roman" w:hAnsi="Times New Roman" w:cs="Times New Roman"/>
          <w:sz w:val="24"/>
          <w:szCs w:val="24"/>
        </w:rPr>
        <w:t>VaR</w:t>
      </w:r>
      <w:proofErr w:type="spellEnd"/>
      <w:r w:rsidRPr="004A14E0">
        <w:rPr>
          <w:rFonts w:ascii="Times New Roman" w:hAnsi="Times New Roman" w:cs="Times New Roman"/>
          <w:sz w:val="24"/>
          <w:szCs w:val="24"/>
        </w:rPr>
        <w:t xml:space="preserve"> is widely used, criticisms have emerged regarding its assumptions and limitations in capturing tail risk </w:t>
      </w:r>
      <w:r w:rsidRPr="004A14E0">
        <w:rPr>
          <w:rFonts w:ascii="Times New Roman" w:hAnsi="Times New Roman" w:cs="Times New Roman"/>
          <w:b/>
          <w:bCs/>
          <w:sz w:val="24"/>
          <w:szCs w:val="24"/>
        </w:rPr>
        <w:t>(Danielsson, 2011).</w:t>
      </w:r>
    </w:p>
    <w:p w14:paraId="2051D327"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Stress testing and scenario analysis provide complementary methods to </w:t>
      </w:r>
      <w:proofErr w:type="spellStart"/>
      <w:r w:rsidRPr="004A14E0">
        <w:rPr>
          <w:rFonts w:ascii="Times New Roman" w:hAnsi="Times New Roman" w:cs="Times New Roman"/>
          <w:sz w:val="24"/>
          <w:szCs w:val="24"/>
        </w:rPr>
        <w:t>VaR</w:t>
      </w:r>
      <w:proofErr w:type="spellEnd"/>
      <w:r w:rsidRPr="004A14E0">
        <w:rPr>
          <w:rFonts w:ascii="Times New Roman" w:hAnsi="Times New Roman" w:cs="Times New Roman"/>
          <w:sz w:val="24"/>
          <w:szCs w:val="24"/>
        </w:rPr>
        <w:t xml:space="preserve"> by simulating adverse market conditions and assessing impacts on portfolios </w:t>
      </w:r>
      <w:r w:rsidRPr="004A14E0">
        <w:rPr>
          <w:rFonts w:ascii="Times New Roman" w:hAnsi="Times New Roman" w:cs="Times New Roman"/>
          <w:b/>
          <w:bCs/>
          <w:sz w:val="24"/>
          <w:szCs w:val="24"/>
        </w:rPr>
        <w:t>(Duffie &amp; Pan, 1997).</w:t>
      </w:r>
      <w:r w:rsidRPr="004A14E0">
        <w:rPr>
          <w:rFonts w:ascii="Times New Roman" w:hAnsi="Times New Roman" w:cs="Times New Roman"/>
          <w:sz w:val="24"/>
          <w:szCs w:val="24"/>
        </w:rPr>
        <w:t xml:space="preserve"> These techniques are particularly useful in capturing extreme events and systemic risks that standard models may overlook.</w:t>
      </w:r>
    </w:p>
    <w:p w14:paraId="7E1E3856"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2.3 Risk Mitigation Strategies</w:t>
      </w:r>
    </w:p>
    <w:p w14:paraId="68642BC8"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Derivatives such as futures, options, and swaps play a crucial role in mitigating market risk, as outlined by </w:t>
      </w:r>
      <w:r w:rsidRPr="004A14E0">
        <w:rPr>
          <w:rFonts w:ascii="Times New Roman" w:hAnsi="Times New Roman" w:cs="Times New Roman"/>
          <w:b/>
          <w:bCs/>
          <w:sz w:val="24"/>
          <w:szCs w:val="24"/>
        </w:rPr>
        <w:t>Hull (2015)</w:t>
      </w:r>
      <w:r w:rsidRPr="004A14E0">
        <w:rPr>
          <w:rFonts w:ascii="Times New Roman" w:hAnsi="Times New Roman" w:cs="Times New Roman"/>
          <w:sz w:val="24"/>
          <w:szCs w:val="24"/>
        </w:rPr>
        <w:t xml:space="preserve">. Hedging strategies allow firms to offset potential losses by taking </w:t>
      </w:r>
      <w:r w:rsidRPr="004A14E0">
        <w:rPr>
          <w:rFonts w:ascii="Times New Roman" w:hAnsi="Times New Roman" w:cs="Times New Roman"/>
          <w:sz w:val="24"/>
          <w:szCs w:val="24"/>
        </w:rPr>
        <w:lastRenderedPageBreak/>
        <w:t>positions that move inversely to the underlying risk. For example, exporters use currency futures to lock exchange rates and protect profit margins from foreign exchange volatility.</w:t>
      </w:r>
    </w:p>
    <w:p w14:paraId="65F09143"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According to </w:t>
      </w:r>
      <w:r w:rsidRPr="004A14E0">
        <w:rPr>
          <w:rFonts w:ascii="Times New Roman" w:hAnsi="Times New Roman" w:cs="Times New Roman"/>
          <w:b/>
          <w:bCs/>
          <w:sz w:val="24"/>
          <w:szCs w:val="24"/>
        </w:rPr>
        <w:t>Stulz (2008)</w:t>
      </w:r>
      <w:r w:rsidRPr="004A14E0">
        <w:rPr>
          <w:rFonts w:ascii="Times New Roman" w:hAnsi="Times New Roman" w:cs="Times New Roman"/>
          <w:sz w:val="24"/>
          <w:szCs w:val="24"/>
        </w:rPr>
        <w:t>, effective risk mitigation also involves governance structures, including the role of risk committees, internal controls, and compliance with regulatory frameworks like Basel III. Integrating risk management into overall corporate strategy ensures alignment between risk appetite and business objectives.</w:t>
      </w:r>
    </w:p>
    <w:p w14:paraId="5901AFF9"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2.4 Technological Advancements in Market Risk Management</w:t>
      </w:r>
    </w:p>
    <w:p w14:paraId="30C8CE3B"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sz w:val="24"/>
          <w:szCs w:val="24"/>
        </w:rPr>
        <w:t xml:space="preserve">Recent literature highlights the growing use of technology in enhancing market risk management capabilities. Artificial intelligence (AI), machine learning, and big data analytics are transforming risk assessment by enabling faster processing of large datasets and improving predictive accuracy </w:t>
      </w:r>
      <w:r w:rsidRPr="004A14E0">
        <w:rPr>
          <w:rFonts w:ascii="Times New Roman" w:hAnsi="Times New Roman" w:cs="Times New Roman"/>
          <w:b/>
          <w:bCs/>
          <w:sz w:val="24"/>
          <w:szCs w:val="24"/>
        </w:rPr>
        <w:t>(Benz &amp; Martin, 2019).</w:t>
      </w:r>
    </w:p>
    <w:p w14:paraId="229C810E"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Fintech innovations provide real-time risk monitoring tools and automated decision-making platforms, increasing responsiveness to market changes </w:t>
      </w:r>
      <w:r w:rsidRPr="004A14E0">
        <w:rPr>
          <w:rFonts w:ascii="Times New Roman" w:hAnsi="Times New Roman" w:cs="Times New Roman"/>
          <w:b/>
          <w:bCs/>
          <w:sz w:val="24"/>
          <w:szCs w:val="24"/>
        </w:rPr>
        <w:t>(Gomber et al., 2018)</w:t>
      </w:r>
      <w:r w:rsidRPr="004A14E0">
        <w:rPr>
          <w:rFonts w:ascii="Times New Roman" w:hAnsi="Times New Roman" w:cs="Times New Roman"/>
          <w:sz w:val="24"/>
          <w:szCs w:val="24"/>
        </w:rPr>
        <w:t>. Blockchain technology is also explored as a means to improve transparency and reduce settlement risks in derivative markets.</w:t>
      </w:r>
    </w:p>
    <w:p w14:paraId="690FC4D5"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2.5 Challenges and Limitations</w:t>
      </w:r>
    </w:p>
    <w:p w14:paraId="1CFF1BEA"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sz w:val="24"/>
          <w:szCs w:val="24"/>
        </w:rPr>
        <w:t xml:space="preserve">Despite advancements, challenges remain in market risk management. </w:t>
      </w:r>
      <w:r w:rsidRPr="004A14E0">
        <w:rPr>
          <w:rFonts w:ascii="Times New Roman" w:hAnsi="Times New Roman" w:cs="Times New Roman"/>
          <w:b/>
          <w:bCs/>
          <w:sz w:val="24"/>
          <w:szCs w:val="24"/>
        </w:rPr>
        <w:t>Danielsson (2011)</w:t>
      </w:r>
      <w:r w:rsidRPr="004A14E0">
        <w:rPr>
          <w:rFonts w:ascii="Times New Roman" w:hAnsi="Times New Roman" w:cs="Times New Roman"/>
          <w:sz w:val="24"/>
          <w:szCs w:val="24"/>
        </w:rPr>
        <w:t xml:space="preserve"> points to model risk, where incorrect assumptions in risk models can lead to underestimation of exposure. </w:t>
      </w:r>
      <w:proofErr w:type="spellStart"/>
      <w:r w:rsidRPr="004A14E0">
        <w:rPr>
          <w:rFonts w:ascii="Times New Roman" w:hAnsi="Times New Roman" w:cs="Times New Roman"/>
          <w:sz w:val="24"/>
          <w:szCs w:val="24"/>
        </w:rPr>
        <w:t>Behavioral</w:t>
      </w:r>
      <w:proofErr w:type="spellEnd"/>
      <w:r w:rsidRPr="004A14E0">
        <w:rPr>
          <w:rFonts w:ascii="Times New Roman" w:hAnsi="Times New Roman" w:cs="Times New Roman"/>
          <w:sz w:val="24"/>
          <w:szCs w:val="24"/>
        </w:rPr>
        <w:t xml:space="preserve"> biases and incomplete data also complicate risk assessment </w:t>
      </w:r>
      <w:r w:rsidRPr="004A14E0">
        <w:rPr>
          <w:rFonts w:ascii="Times New Roman" w:hAnsi="Times New Roman" w:cs="Times New Roman"/>
          <w:b/>
          <w:bCs/>
          <w:sz w:val="24"/>
          <w:szCs w:val="24"/>
        </w:rPr>
        <w:t>(Kahneman &amp; Tversky, 1979).</w:t>
      </w:r>
    </w:p>
    <w:p w14:paraId="01DE8F24"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Furthermore, SMEs often face difficulties due to lack of resources and expertise in implementing sophisticated market risk frameworks (OECD, 2019). Regulatory changes continuously reshape risk management practices, requiring organizations to adapt quickly or face penalties.</w:t>
      </w:r>
    </w:p>
    <w:p w14:paraId="78391292" w14:textId="77777777" w:rsidR="004A14E0" w:rsidRDefault="004A14E0" w:rsidP="00C74137">
      <w:pPr>
        <w:spacing w:line="360" w:lineRule="auto"/>
        <w:jc w:val="both"/>
        <w:rPr>
          <w:rFonts w:ascii="Times New Roman" w:hAnsi="Times New Roman" w:cs="Times New Roman"/>
          <w:sz w:val="24"/>
          <w:szCs w:val="24"/>
        </w:rPr>
      </w:pPr>
    </w:p>
    <w:p w14:paraId="263ED944" w14:textId="77777777" w:rsidR="004A14E0" w:rsidRDefault="004A14E0" w:rsidP="00C74137">
      <w:pPr>
        <w:spacing w:line="360" w:lineRule="auto"/>
        <w:jc w:val="both"/>
        <w:rPr>
          <w:rFonts w:ascii="Times New Roman" w:hAnsi="Times New Roman" w:cs="Times New Roman"/>
          <w:sz w:val="24"/>
          <w:szCs w:val="24"/>
        </w:rPr>
      </w:pPr>
    </w:p>
    <w:p w14:paraId="314D7765" w14:textId="77777777" w:rsidR="004A14E0" w:rsidRDefault="004A14E0" w:rsidP="00C74137">
      <w:pPr>
        <w:spacing w:line="360" w:lineRule="auto"/>
        <w:jc w:val="both"/>
        <w:rPr>
          <w:rFonts w:ascii="Times New Roman" w:hAnsi="Times New Roman" w:cs="Times New Roman"/>
          <w:sz w:val="24"/>
          <w:szCs w:val="24"/>
        </w:rPr>
      </w:pPr>
    </w:p>
    <w:p w14:paraId="4A41BB03" w14:textId="77777777" w:rsidR="004A14E0" w:rsidRDefault="004A14E0" w:rsidP="00C74137">
      <w:pPr>
        <w:spacing w:line="360" w:lineRule="auto"/>
        <w:jc w:val="both"/>
        <w:rPr>
          <w:rFonts w:ascii="Times New Roman" w:hAnsi="Times New Roman" w:cs="Times New Roman"/>
          <w:sz w:val="24"/>
          <w:szCs w:val="24"/>
        </w:rPr>
      </w:pPr>
    </w:p>
    <w:p w14:paraId="406B3CFB" w14:textId="77777777" w:rsidR="004A14E0" w:rsidRDefault="004A14E0" w:rsidP="00C74137">
      <w:pPr>
        <w:spacing w:line="360" w:lineRule="auto"/>
        <w:jc w:val="both"/>
        <w:rPr>
          <w:rFonts w:ascii="Times New Roman" w:hAnsi="Times New Roman" w:cs="Times New Roman"/>
          <w:sz w:val="24"/>
          <w:szCs w:val="24"/>
        </w:rPr>
      </w:pPr>
    </w:p>
    <w:p w14:paraId="21C060D4" w14:textId="77777777" w:rsidR="004A14E0" w:rsidRPr="0078607C" w:rsidRDefault="004A14E0" w:rsidP="004A14E0">
      <w:pPr>
        <w:spacing w:line="360" w:lineRule="auto"/>
        <w:jc w:val="center"/>
        <w:rPr>
          <w:rFonts w:ascii="Times New Roman" w:hAnsi="Times New Roman" w:cs="Times New Roman"/>
          <w:b/>
          <w:bCs/>
          <w:sz w:val="24"/>
          <w:szCs w:val="24"/>
          <w:lang w:val="en-US"/>
        </w:rPr>
      </w:pPr>
      <w:bookmarkStart w:id="11" w:name="_Hlk202090009"/>
      <w:r w:rsidRPr="0078607C">
        <w:rPr>
          <w:rFonts w:ascii="Times New Roman" w:hAnsi="Times New Roman" w:cs="Times New Roman"/>
          <w:b/>
          <w:bCs/>
          <w:sz w:val="24"/>
          <w:szCs w:val="24"/>
          <w:lang w:val="en-US"/>
        </w:rPr>
        <w:lastRenderedPageBreak/>
        <w:t>CHAPTER – III</w:t>
      </w:r>
    </w:p>
    <w:p w14:paraId="6C4F6B39" w14:textId="77777777" w:rsidR="004A14E0" w:rsidRPr="0078607C" w:rsidRDefault="004A14E0" w:rsidP="004A14E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1"/>
    <w:p w14:paraId="737CCECF" w14:textId="4D2726F8"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This chapter outlines the research design, data collection methods, sampling techniques, and analysis procedures employed to study market risk management practices in organizations. It provides a clear framework to ensure that the study’s objectives are achieved through systematic and reliable means.</w:t>
      </w:r>
    </w:p>
    <w:p w14:paraId="1616DA48"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3.1 Research Design</w:t>
      </w:r>
    </w:p>
    <w:p w14:paraId="05C0B209"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The study adopts a </w:t>
      </w:r>
      <w:r w:rsidRPr="004A14E0">
        <w:rPr>
          <w:rFonts w:ascii="Times New Roman" w:hAnsi="Times New Roman" w:cs="Times New Roman"/>
          <w:b/>
          <w:bCs/>
          <w:sz w:val="24"/>
          <w:szCs w:val="24"/>
        </w:rPr>
        <w:t>descriptive research design</w:t>
      </w:r>
      <w:r w:rsidRPr="004A14E0">
        <w:rPr>
          <w:rFonts w:ascii="Times New Roman" w:hAnsi="Times New Roman" w:cs="Times New Roman"/>
          <w:sz w:val="24"/>
          <w:szCs w:val="24"/>
        </w:rPr>
        <w:t xml:space="preserve"> aimed at exploring and </w:t>
      </w:r>
      <w:proofErr w:type="spellStart"/>
      <w:r w:rsidRPr="004A14E0">
        <w:rPr>
          <w:rFonts w:ascii="Times New Roman" w:hAnsi="Times New Roman" w:cs="Times New Roman"/>
          <w:sz w:val="24"/>
          <w:szCs w:val="24"/>
        </w:rPr>
        <w:t>analyzing</w:t>
      </w:r>
      <w:proofErr w:type="spellEnd"/>
      <w:r w:rsidRPr="004A14E0">
        <w:rPr>
          <w:rFonts w:ascii="Times New Roman" w:hAnsi="Times New Roman" w:cs="Times New Roman"/>
          <w:sz w:val="24"/>
          <w:szCs w:val="24"/>
        </w:rPr>
        <w:t xml:space="preserve"> current market risk management strategies, tools, and challenges faced by firms. The approach is both qualitative and quantitative, combining statistical analysis of survey data with insights from expert interviews to provide a comprehensive understanding of the topic.</w:t>
      </w:r>
    </w:p>
    <w:p w14:paraId="4C7AA762"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3.2 Sources of Data</w:t>
      </w:r>
    </w:p>
    <w:p w14:paraId="18744993"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Data for this study is collected from both </w:t>
      </w:r>
      <w:r w:rsidRPr="004A14E0">
        <w:rPr>
          <w:rFonts w:ascii="Times New Roman" w:hAnsi="Times New Roman" w:cs="Times New Roman"/>
          <w:b/>
          <w:bCs/>
          <w:sz w:val="24"/>
          <w:szCs w:val="24"/>
        </w:rPr>
        <w:t>primary and secondary sources</w:t>
      </w:r>
      <w:r w:rsidRPr="004A14E0">
        <w:rPr>
          <w:rFonts w:ascii="Times New Roman" w:hAnsi="Times New Roman" w:cs="Times New Roman"/>
          <w:sz w:val="24"/>
          <w:szCs w:val="24"/>
        </w:rPr>
        <w:t>:</w:t>
      </w:r>
    </w:p>
    <w:p w14:paraId="40374041" w14:textId="77777777" w:rsidR="004A14E0" w:rsidRPr="004A14E0" w:rsidRDefault="004A14E0" w:rsidP="004A14E0">
      <w:pPr>
        <w:numPr>
          <w:ilvl w:val="0"/>
          <w:numId w:val="7"/>
        </w:numPr>
        <w:spacing w:line="360" w:lineRule="auto"/>
        <w:jc w:val="both"/>
        <w:rPr>
          <w:rFonts w:ascii="Times New Roman" w:hAnsi="Times New Roman" w:cs="Times New Roman"/>
          <w:sz w:val="24"/>
          <w:szCs w:val="24"/>
        </w:rPr>
      </w:pPr>
      <w:r w:rsidRPr="004A14E0">
        <w:rPr>
          <w:rFonts w:ascii="Times New Roman" w:hAnsi="Times New Roman" w:cs="Times New Roman"/>
          <w:b/>
          <w:bCs/>
          <w:sz w:val="24"/>
          <w:szCs w:val="24"/>
        </w:rPr>
        <w:t>Primary Data:</w:t>
      </w:r>
      <w:r w:rsidRPr="004A14E0">
        <w:rPr>
          <w:rFonts w:ascii="Times New Roman" w:hAnsi="Times New Roman" w:cs="Times New Roman"/>
          <w:sz w:val="24"/>
          <w:szCs w:val="24"/>
        </w:rPr>
        <w:t xml:space="preserve"> Primary data is gathered through structured questionnaires distributed to risk managers, financial analysts, and decision-makers in various industries such as banking, manufacturing, and export-import firms. Additionally, semi-structured interviews with industry experts provide qualitative insights.</w:t>
      </w:r>
    </w:p>
    <w:p w14:paraId="22A8CBC4" w14:textId="77777777" w:rsidR="004A14E0" w:rsidRPr="004A14E0" w:rsidRDefault="004A14E0" w:rsidP="004A14E0">
      <w:pPr>
        <w:numPr>
          <w:ilvl w:val="0"/>
          <w:numId w:val="7"/>
        </w:numPr>
        <w:spacing w:line="360" w:lineRule="auto"/>
        <w:jc w:val="both"/>
        <w:rPr>
          <w:rFonts w:ascii="Times New Roman" w:hAnsi="Times New Roman" w:cs="Times New Roman"/>
          <w:sz w:val="24"/>
          <w:szCs w:val="24"/>
        </w:rPr>
      </w:pPr>
      <w:r w:rsidRPr="004A14E0">
        <w:rPr>
          <w:rFonts w:ascii="Times New Roman" w:hAnsi="Times New Roman" w:cs="Times New Roman"/>
          <w:b/>
          <w:bCs/>
          <w:sz w:val="24"/>
          <w:szCs w:val="24"/>
        </w:rPr>
        <w:t>Secondary Data:</w:t>
      </w:r>
      <w:r w:rsidRPr="004A14E0">
        <w:rPr>
          <w:rFonts w:ascii="Times New Roman" w:hAnsi="Times New Roman" w:cs="Times New Roman"/>
          <w:sz w:val="24"/>
          <w:szCs w:val="24"/>
        </w:rPr>
        <w:t xml:space="preserve"> Secondary data includes published reports, industry whitepapers, regulatory guidelines, academic journals, and books on market risk management. These sources provide theoretical grounding and help contextualize the primary data.</w:t>
      </w:r>
    </w:p>
    <w:p w14:paraId="409DE2FD"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3.3 Sampling Method and Sample Size</w:t>
      </w:r>
    </w:p>
    <w:p w14:paraId="0419D403"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The study employs a </w:t>
      </w:r>
      <w:r w:rsidRPr="004A14E0">
        <w:rPr>
          <w:rFonts w:ascii="Times New Roman" w:hAnsi="Times New Roman" w:cs="Times New Roman"/>
          <w:b/>
          <w:bCs/>
          <w:sz w:val="24"/>
          <w:szCs w:val="24"/>
        </w:rPr>
        <w:t>non-probability purposive sampling technique</w:t>
      </w:r>
      <w:r w:rsidRPr="004A14E0">
        <w:rPr>
          <w:rFonts w:ascii="Times New Roman" w:hAnsi="Times New Roman" w:cs="Times New Roman"/>
          <w:sz w:val="24"/>
          <w:szCs w:val="24"/>
        </w:rPr>
        <w:t xml:space="preserve"> to select respondents who have direct involvement or expertise in market risk management. The target sample size is approximately </w:t>
      </w:r>
      <w:r w:rsidRPr="004A14E0">
        <w:rPr>
          <w:rFonts w:ascii="Times New Roman" w:hAnsi="Times New Roman" w:cs="Times New Roman"/>
          <w:b/>
          <w:bCs/>
          <w:sz w:val="24"/>
          <w:szCs w:val="24"/>
        </w:rPr>
        <w:t>100 respondents</w:t>
      </w:r>
      <w:r w:rsidRPr="004A14E0">
        <w:rPr>
          <w:rFonts w:ascii="Times New Roman" w:hAnsi="Times New Roman" w:cs="Times New Roman"/>
          <w:sz w:val="24"/>
          <w:szCs w:val="24"/>
        </w:rPr>
        <w:t xml:space="preserve"> across different organizations and sectors to ensure diversity and representativeness.</w:t>
      </w:r>
    </w:p>
    <w:p w14:paraId="6DE7313B"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3.4 Data Collection Tools</w:t>
      </w:r>
    </w:p>
    <w:p w14:paraId="5958A2D6" w14:textId="77777777" w:rsidR="004A14E0" w:rsidRPr="004A14E0" w:rsidRDefault="004A14E0" w:rsidP="004A14E0">
      <w:pPr>
        <w:numPr>
          <w:ilvl w:val="0"/>
          <w:numId w:val="8"/>
        </w:numPr>
        <w:spacing w:line="360" w:lineRule="auto"/>
        <w:jc w:val="both"/>
        <w:rPr>
          <w:rFonts w:ascii="Times New Roman" w:hAnsi="Times New Roman" w:cs="Times New Roman"/>
          <w:sz w:val="24"/>
          <w:szCs w:val="24"/>
        </w:rPr>
      </w:pPr>
      <w:r w:rsidRPr="004A14E0">
        <w:rPr>
          <w:rFonts w:ascii="Times New Roman" w:hAnsi="Times New Roman" w:cs="Times New Roman"/>
          <w:b/>
          <w:bCs/>
          <w:sz w:val="24"/>
          <w:szCs w:val="24"/>
        </w:rPr>
        <w:t>Questionnaire:</w:t>
      </w:r>
      <w:r w:rsidRPr="004A14E0">
        <w:rPr>
          <w:rFonts w:ascii="Times New Roman" w:hAnsi="Times New Roman" w:cs="Times New Roman"/>
          <w:sz w:val="24"/>
          <w:szCs w:val="24"/>
        </w:rPr>
        <w:t xml:space="preserve"> A structured questionnaire with closed and open-ended questions is designed to capture information on risk identification methods, measurement tools, mitigation strategies, technology use, and challenges.</w:t>
      </w:r>
    </w:p>
    <w:p w14:paraId="386BD611" w14:textId="77777777" w:rsidR="004A14E0" w:rsidRPr="004A14E0" w:rsidRDefault="004A14E0" w:rsidP="004A14E0">
      <w:pPr>
        <w:numPr>
          <w:ilvl w:val="0"/>
          <w:numId w:val="8"/>
        </w:numPr>
        <w:spacing w:line="360" w:lineRule="auto"/>
        <w:jc w:val="both"/>
        <w:rPr>
          <w:rFonts w:ascii="Times New Roman" w:hAnsi="Times New Roman" w:cs="Times New Roman"/>
          <w:sz w:val="24"/>
          <w:szCs w:val="24"/>
        </w:rPr>
      </w:pPr>
      <w:r w:rsidRPr="004A14E0">
        <w:rPr>
          <w:rFonts w:ascii="Times New Roman" w:hAnsi="Times New Roman" w:cs="Times New Roman"/>
          <w:b/>
          <w:bCs/>
          <w:sz w:val="24"/>
          <w:szCs w:val="24"/>
        </w:rPr>
        <w:lastRenderedPageBreak/>
        <w:t>Interview Guide:</w:t>
      </w:r>
      <w:r w:rsidRPr="004A14E0">
        <w:rPr>
          <w:rFonts w:ascii="Times New Roman" w:hAnsi="Times New Roman" w:cs="Times New Roman"/>
          <w:sz w:val="24"/>
          <w:szCs w:val="24"/>
        </w:rPr>
        <w:t xml:space="preserve"> An interview guide with thematic questions is prepared for expert interviews to delve deeper into qualitative aspects such as regulatory impacts, technological adoption, and future trends.</w:t>
      </w:r>
    </w:p>
    <w:p w14:paraId="1C001A5A"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3.5 Data Analysis Techniques</w:t>
      </w:r>
    </w:p>
    <w:p w14:paraId="4AFFAFCF"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Collected data will be </w:t>
      </w:r>
      <w:proofErr w:type="spellStart"/>
      <w:r w:rsidRPr="004A14E0">
        <w:rPr>
          <w:rFonts w:ascii="Times New Roman" w:hAnsi="Times New Roman" w:cs="Times New Roman"/>
          <w:sz w:val="24"/>
          <w:szCs w:val="24"/>
        </w:rPr>
        <w:t>analyzed</w:t>
      </w:r>
      <w:proofErr w:type="spellEnd"/>
      <w:r w:rsidRPr="004A14E0">
        <w:rPr>
          <w:rFonts w:ascii="Times New Roman" w:hAnsi="Times New Roman" w:cs="Times New Roman"/>
          <w:sz w:val="24"/>
          <w:szCs w:val="24"/>
        </w:rPr>
        <w:t xml:space="preserve"> using a combination of </w:t>
      </w:r>
      <w:r w:rsidRPr="004A14E0">
        <w:rPr>
          <w:rFonts w:ascii="Times New Roman" w:hAnsi="Times New Roman" w:cs="Times New Roman"/>
          <w:b/>
          <w:bCs/>
          <w:sz w:val="24"/>
          <w:szCs w:val="24"/>
        </w:rPr>
        <w:t>descriptive statistics</w:t>
      </w:r>
      <w:r w:rsidRPr="004A14E0">
        <w:rPr>
          <w:rFonts w:ascii="Times New Roman" w:hAnsi="Times New Roman" w:cs="Times New Roman"/>
          <w:sz w:val="24"/>
          <w:szCs w:val="24"/>
        </w:rPr>
        <w:t xml:space="preserve"> and </w:t>
      </w:r>
      <w:r w:rsidRPr="004A14E0">
        <w:rPr>
          <w:rFonts w:ascii="Times New Roman" w:hAnsi="Times New Roman" w:cs="Times New Roman"/>
          <w:b/>
          <w:bCs/>
          <w:sz w:val="24"/>
          <w:szCs w:val="24"/>
        </w:rPr>
        <w:t>qualitative content analysis</w:t>
      </w:r>
      <w:r w:rsidRPr="004A14E0">
        <w:rPr>
          <w:rFonts w:ascii="Times New Roman" w:hAnsi="Times New Roman" w:cs="Times New Roman"/>
          <w:sz w:val="24"/>
          <w:szCs w:val="24"/>
        </w:rPr>
        <w:t>:</w:t>
      </w:r>
    </w:p>
    <w:p w14:paraId="4E086C1E" w14:textId="77777777" w:rsidR="004A14E0" w:rsidRPr="004A14E0" w:rsidRDefault="004A14E0" w:rsidP="004A14E0">
      <w:pPr>
        <w:numPr>
          <w:ilvl w:val="0"/>
          <w:numId w:val="9"/>
        </w:numPr>
        <w:spacing w:line="360" w:lineRule="auto"/>
        <w:jc w:val="both"/>
        <w:rPr>
          <w:rFonts w:ascii="Times New Roman" w:hAnsi="Times New Roman" w:cs="Times New Roman"/>
          <w:sz w:val="24"/>
          <w:szCs w:val="24"/>
        </w:rPr>
      </w:pPr>
      <w:r w:rsidRPr="004A14E0">
        <w:rPr>
          <w:rFonts w:ascii="Times New Roman" w:hAnsi="Times New Roman" w:cs="Times New Roman"/>
          <w:b/>
          <w:bCs/>
          <w:sz w:val="24"/>
          <w:szCs w:val="24"/>
        </w:rPr>
        <w:t>Quantitative Data Analysis:</w:t>
      </w:r>
      <w:r w:rsidRPr="004A14E0">
        <w:rPr>
          <w:rFonts w:ascii="Times New Roman" w:hAnsi="Times New Roman" w:cs="Times New Roman"/>
          <w:sz w:val="24"/>
          <w:szCs w:val="24"/>
        </w:rPr>
        <w:t xml:space="preserve"> Responses from the questionnaire will be processed using statistical software such as SPSS or Excel. Descriptive measures like frequencies, percentages, mean scores, and cross-tabulations will be used to interpret the data.</w:t>
      </w:r>
    </w:p>
    <w:p w14:paraId="3428A586" w14:textId="77777777" w:rsidR="004A14E0" w:rsidRPr="004A14E0" w:rsidRDefault="004A14E0" w:rsidP="004A14E0">
      <w:pPr>
        <w:numPr>
          <w:ilvl w:val="0"/>
          <w:numId w:val="9"/>
        </w:numPr>
        <w:spacing w:line="360" w:lineRule="auto"/>
        <w:jc w:val="both"/>
        <w:rPr>
          <w:rFonts w:ascii="Times New Roman" w:hAnsi="Times New Roman" w:cs="Times New Roman"/>
          <w:sz w:val="24"/>
          <w:szCs w:val="24"/>
        </w:rPr>
      </w:pPr>
      <w:r w:rsidRPr="004A14E0">
        <w:rPr>
          <w:rFonts w:ascii="Times New Roman" w:hAnsi="Times New Roman" w:cs="Times New Roman"/>
          <w:b/>
          <w:bCs/>
          <w:sz w:val="24"/>
          <w:szCs w:val="24"/>
        </w:rPr>
        <w:t>Qualitative Analysis:</w:t>
      </w:r>
      <w:r w:rsidRPr="004A14E0">
        <w:rPr>
          <w:rFonts w:ascii="Times New Roman" w:hAnsi="Times New Roman" w:cs="Times New Roman"/>
          <w:sz w:val="24"/>
          <w:szCs w:val="24"/>
        </w:rPr>
        <w:t xml:space="preserve"> Interview transcripts will be coded and </w:t>
      </w:r>
      <w:proofErr w:type="spellStart"/>
      <w:r w:rsidRPr="004A14E0">
        <w:rPr>
          <w:rFonts w:ascii="Times New Roman" w:hAnsi="Times New Roman" w:cs="Times New Roman"/>
          <w:sz w:val="24"/>
          <w:szCs w:val="24"/>
        </w:rPr>
        <w:t>analyzed</w:t>
      </w:r>
      <w:proofErr w:type="spellEnd"/>
      <w:r w:rsidRPr="004A14E0">
        <w:rPr>
          <w:rFonts w:ascii="Times New Roman" w:hAnsi="Times New Roman" w:cs="Times New Roman"/>
          <w:sz w:val="24"/>
          <w:szCs w:val="24"/>
        </w:rPr>
        <w:t xml:space="preserve"> thematically to identify common patterns, insights, and expert opinions related to market risk management.</w:t>
      </w:r>
    </w:p>
    <w:p w14:paraId="1662CB5E"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3.6 Limitations of Research Methodology</w:t>
      </w:r>
    </w:p>
    <w:p w14:paraId="672085C6"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While the methodology is designed to be robust, limitations such as response bias, limited access to proprietary data, and time constraints in data collection may impact the comprehensiveness of the findings. These limitations are acknowledged and addressed as part of the research process.</w:t>
      </w:r>
    </w:p>
    <w:p w14:paraId="65B8F8B6" w14:textId="77777777" w:rsidR="004A14E0" w:rsidRPr="004A14E0" w:rsidRDefault="004A14E0" w:rsidP="004A14E0">
      <w:pPr>
        <w:spacing w:line="360" w:lineRule="auto"/>
        <w:jc w:val="both"/>
        <w:rPr>
          <w:rFonts w:ascii="Times New Roman" w:hAnsi="Times New Roman" w:cs="Times New Roman"/>
          <w:b/>
          <w:bCs/>
          <w:sz w:val="24"/>
          <w:szCs w:val="24"/>
        </w:rPr>
      </w:pPr>
      <w:r w:rsidRPr="004A14E0">
        <w:rPr>
          <w:rFonts w:ascii="Times New Roman" w:hAnsi="Times New Roman" w:cs="Times New Roman"/>
          <w:b/>
          <w:bCs/>
          <w:sz w:val="24"/>
          <w:szCs w:val="24"/>
        </w:rPr>
        <w:t>3.7 Ethical Considerations</w:t>
      </w:r>
    </w:p>
    <w:p w14:paraId="042A3AA8"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The study ensures </w:t>
      </w:r>
      <w:r w:rsidRPr="004A14E0">
        <w:rPr>
          <w:rFonts w:ascii="Times New Roman" w:hAnsi="Times New Roman" w:cs="Times New Roman"/>
          <w:b/>
          <w:bCs/>
          <w:sz w:val="24"/>
          <w:szCs w:val="24"/>
        </w:rPr>
        <w:t>confidentiality and anonymity</w:t>
      </w:r>
      <w:r w:rsidRPr="004A14E0">
        <w:rPr>
          <w:rFonts w:ascii="Times New Roman" w:hAnsi="Times New Roman" w:cs="Times New Roman"/>
          <w:sz w:val="24"/>
          <w:szCs w:val="24"/>
        </w:rPr>
        <w:t xml:space="preserve"> of all respondents. Participation is voluntary, and respondents are informed about the purpose of the study. Data is used solely for academic research, and ethical guidelines are followed in data collection and reporting.</w:t>
      </w:r>
    </w:p>
    <w:p w14:paraId="7C771B43" w14:textId="77777777" w:rsidR="004A14E0" w:rsidRDefault="004A14E0" w:rsidP="00C74137">
      <w:pPr>
        <w:spacing w:line="360" w:lineRule="auto"/>
        <w:jc w:val="both"/>
        <w:rPr>
          <w:rFonts w:ascii="Times New Roman" w:hAnsi="Times New Roman" w:cs="Times New Roman"/>
          <w:sz w:val="24"/>
          <w:szCs w:val="24"/>
        </w:rPr>
      </w:pPr>
    </w:p>
    <w:p w14:paraId="3C98BB02" w14:textId="77777777" w:rsidR="004A14E0" w:rsidRDefault="004A14E0" w:rsidP="00C74137">
      <w:pPr>
        <w:spacing w:line="360" w:lineRule="auto"/>
        <w:jc w:val="both"/>
        <w:rPr>
          <w:rFonts w:ascii="Times New Roman" w:hAnsi="Times New Roman" w:cs="Times New Roman"/>
          <w:sz w:val="24"/>
          <w:szCs w:val="24"/>
        </w:rPr>
      </w:pPr>
    </w:p>
    <w:p w14:paraId="3AF20B18" w14:textId="77777777" w:rsidR="004A14E0" w:rsidRDefault="004A14E0" w:rsidP="00C74137">
      <w:pPr>
        <w:spacing w:line="360" w:lineRule="auto"/>
        <w:jc w:val="both"/>
        <w:rPr>
          <w:rFonts w:ascii="Times New Roman" w:hAnsi="Times New Roman" w:cs="Times New Roman"/>
          <w:sz w:val="24"/>
          <w:szCs w:val="24"/>
        </w:rPr>
      </w:pPr>
    </w:p>
    <w:p w14:paraId="0E70E0CD" w14:textId="77777777" w:rsidR="004A14E0" w:rsidRDefault="004A14E0" w:rsidP="00C74137">
      <w:pPr>
        <w:spacing w:line="360" w:lineRule="auto"/>
        <w:jc w:val="both"/>
        <w:rPr>
          <w:rFonts w:ascii="Times New Roman" w:hAnsi="Times New Roman" w:cs="Times New Roman"/>
          <w:sz w:val="24"/>
          <w:szCs w:val="24"/>
        </w:rPr>
      </w:pPr>
    </w:p>
    <w:p w14:paraId="36690B81" w14:textId="77777777" w:rsidR="004A14E0" w:rsidRDefault="004A14E0" w:rsidP="00C74137">
      <w:pPr>
        <w:spacing w:line="360" w:lineRule="auto"/>
        <w:jc w:val="both"/>
        <w:rPr>
          <w:rFonts w:ascii="Times New Roman" w:hAnsi="Times New Roman" w:cs="Times New Roman"/>
          <w:sz w:val="24"/>
          <w:szCs w:val="24"/>
        </w:rPr>
      </w:pPr>
    </w:p>
    <w:p w14:paraId="35C3F565" w14:textId="77777777" w:rsidR="004A14E0" w:rsidRDefault="004A14E0" w:rsidP="00C74137">
      <w:pPr>
        <w:spacing w:line="360" w:lineRule="auto"/>
        <w:jc w:val="both"/>
        <w:rPr>
          <w:rFonts w:ascii="Times New Roman" w:hAnsi="Times New Roman" w:cs="Times New Roman"/>
          <w:sz w:val="24"/>
          <w:szCs w:val="24"/>
        </w:rPr>
      </w:pPr>
    </w:p>
    <w:p w14:paraId="45E3C4F2" w14:textId="77777777" w:rsidR="004A14E0" w:rsidRDefault="004A14E0" w:rsidP="00C74137">
      <w:pPr>
        <w:spacing w:line="360" w:lineRule="auto"/>
        <w:jc w:val="both"/>
        <w:rPr>
          <w:rFonts w:ascii="Times New Roman" w:hAnsi="Times New Roman" w:cs="Times New Roman"/>
          <w:sz w:val="24"/>
          <w:szCs w:val="24"/>
        </w:rPr>
      </w:pPr>
    </w:p>
    <w:p w14:paraId="235FF207" w14:textId="77777777" w:rsidR="004A14E0" w:rsidRPr="0078607C" w:rsidRDefault="004A14E0" w:rsidP="004A14E0">
      <w:pPr>
        <w:spacing w:line="360" w:lineRule="auto"/>
        <w:jc w:val="center"/>
        <w:rPr>
          <w:rFonts w:ascii="Times New Roman" w:hAnsi="Times New Roman" w:cs="Times New Roman"/>
          <w:sz w:val="24"/>
          <w:szCs w:val="24"/>
        </w:rPr>
      </w:pPr>
      <w:bookmarkStart w:id="12" w:name="_Hlk203212469"/>
      <w:r w:rsidRPr="0078607C">
        <w:rPr>
          <w:rFonts w:ascii="Times New Roman" w:hAnsi="Times New Roman" w:cs="Times New Roman"/>
          <w:b/>
          <w:sz w:val="24"/>
          <w:szCs w:val="24"/>
          <w:lang w:val="en-US"/>
        </w:rPr>
        <w:lastRenderedPageBreak/>
        <w:t>CHAPTER – IV</w:t>
      </w:r>
    </w:p>
    <w:p w14:paraId="32D4CBE3" w14:textId="77777777" w:rsidR="004A14E0" w:rsidRDefault="004A14E0" w:rsidP="004A14E0">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89E9909" w14:textId="77777777" w:rsidR="004A14E0" w:rsidRPr="004D7E4B" w:rsidRDefault="004A14E0" w:rsidP="004A14E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4A14E0" w:rsidRPr="004D7E4B" w14:paraId="420D2958" w14:textId="77777777" w:rsidTr="00AD2A52">
        <w:trPr>
          <w:trHeight w:val="506"/>
        </w:trPr>
        <w:tc>
          <w:tcPr>
            <w:tcW w:w="3077" w:type="dxa"/>
            <w:tcBorders>
              <w:top w:val="single" w:sz="4" w:space="0" w:color="auto"/>
              <w:left w:val="single" w:sz="4" w:space="0" w:color="auto"/>
              <w:bottom w:val="single" w:sz="4" w:space="0" w:color="auto"/>
              <w:right w:val="single" w:sz="4" w:space="0" w:color="auto"/>
            </w:tcBorders>
            <w:hideMark/>
          </w:tcPr>
          <w:p w14:paraId="6761B261" w14:textId="77777777" w:rsidR="004A14E0" w:rsidRPr="004D7E4B" w:rsidRDefault="004A14E0"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A05115A" w14:textId="77777777" w:rsidR="004A14E0" w:rsidRPr="004D7E4B" w:rsidRDefault="004A14E0"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F776291" w14:textId="77777777" w:rsidR="004A14E0" w:rsidRPr="004D7E4B" w:rsidRDefault="004A14E0"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4A14E0" w:rsidRPr="004D7E4B" w14:paraId="03F45815" w14:textId="77777777" w:rsidTr="00AD2A52">
        <w:trPr>
          <w:trHeight w:val="506"/>
        </w:trPr>
        <w:tc>
          <w:tcPr>
            <w:tcW w:w="3077" w:type="dxa"/>
            <w:tcBorders>
              <w:top w:val="single" w:sz="4" w:space="0" w:color="auto"/>
              <w:left w:val="single" w:sz="4" w:space="0" w:color="auto"/>
              <w:bottom w:val="single" w:sz="4" w:space="0" w:color="auto"/>
              <w:right w:val="single" w:sz="4" w:space="0" w:color="auto"/>
            </w:tcBorders>
            <w:hideMark/>
          </w:tcPr>
          <w:p w14:paraId="0DF7F88D" w14:textId="77777777" w:rsidR="004A14E0" w:rsidRPr="004D7E4B" w:rsidRDefault="004A14E0" w:rsidP="00AD2A52">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7D06FC0E" w14:textId="2B10B934" w:rsidR="004A14E0" w:rsidRPr="004D7E4B" w:rsidRDefault="004A14E0"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1000A631" w14:textId="77777777" w:rsidR="004A14E0" w:rsidRPr="004D7E4B" w:rsidRDefault="004A14E0"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4A14E0" w:rsidRPr="004D7E4B" w14:paraId="350F4CC2" w14:textId="77777777" w:rsidTr="00AD2A52">
        <w:trPr>
          <w:trHeight w:val="506"/>
        </w:trPr>
        <w:tc>
          <w:tcPr>
            <w:tcW w:w="3077" w:type="dxa"/>
            <w:tcBorders>
              <w:top w:val="single" w:sz="4" w:space="0" w:color="auto"/>
              <w:left w:val="single" w:sz="4" w:space="0" w:color="auto"/>
              <w:bottom w:val="single" w:sz="4" w:space="0" w:color="auto"/>
              <w:right w:val="single" w:sz="4" w:space="0" w:color="auto"/>
            </w:tcBorders>
            <w:hideMark/>
          </w:tcPr>
          <w:p w14:paraId="4FE3CC89" w14:textId="77777777" w:rsidR="004A14E0" w:rsidRPr="004D7E4B" w:rsidRDefault="004A14E0" w:rsidP="00AD2A52">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712A725E" w14:textId="260FB646" w:rsidR="004A14E0" w:rsidRPr="004D7E4B" w:rsidRDefault="004A14E0"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04726EBF" w14:textId="52413049" w:rsidR="004A14E0" w:rsidRPr="004D7E4B" w:rsidRDefault="004A14E0"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4A14E0" w:rsidRPr="004D7E4B" w14:paraId="32EB7550" w14:textId="77777777" w:rsidTr="00AD2A52">
        <w:trPr>
          <w:trHeight w:val="496"/>
        </w:trPr>
        <w:tc>
          <w:tcPr>
            <w:tcW w:w="3077" w:type="dxa"/>
            <w:tcBorders>
              <w:top w:val="single" w:sz="4" w:space="0" w:color="auto"/>
              <w:left w:val="single" w:sz="4" w:space="0" w:color="auto"/>
              <w:bottom w:val="single" w:sz="4" w:space="0" w:color="auto"/>
              <w:right w:val="single" w:sz="4" w:space="0" w:color="auto"/>
            </w:tcBorders>
            <w:hideMark/>
          </w:tcPr>
          <w:p w14:paraId="2700913C" w14:textId="77777777" w:rsidR="004A14E0" w:rsidRPr="004D7E4B" w:rsidRDefault="004A14E0" w:rsidP="00AD2A52">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5BD06DB5" w14:textId="0B012847" w:rsidR="004A14E0" w:rsidRPr="004D7E4B" w:rsidRDefault="004A14E0"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660D9A75" w14:textId="6A255E20" w:rsidR="004A14E0" w:rsidRPr="004D7E4B" w:rsidRDefault="004A14E0"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4A14E0" w14:paraId="3CD5BCE6" w14:textId="77777777" w:rsidTr="00AD2A52">
        <w:trPr>
          <w:trHeight w:val="496"/>
        </w:trPr>
        <w:tc>
          <w:tcPr>
            <w:tcW w:w="3077" w:type="dxa"/>
            <w:tcBorders>
              <w:top w:val="single" w:sz="4" w:space="0" w:color="auto"/>
              <w:left w:val="single" w:sz="4" w:space="0" w:color="auto"/>
              <w:bottom w:val="single" w:sz="4" w:space="0" w:color="auto"/>
              <w:right w:val="single" w:sz="4" w:space="0" w:color="auto"/>
            </w:tcBorders>
          </w:tcPr>
          <w:p w14:paraId="0E004CBE" w14:textId="0A24B40E" w:rsidR="004A14E0" w:rsidRPr="00EE3350" w:rsidRDefault="004A14E0" w:rsidP="00AD2A52">
            <w:pPr>
              <w:spacing w:line="360" w:lineRule="auto"/>
              <w:jc w:val="center"/>
              <w:rPr>
                <w:rFonts w:ascii="Times New Roman" w:hAnsi="Times New Roman" w:cs="Times New Roman"/>
                <w:b/>
                <w:sz w:val="24"/>
                <w:szCs w:val="24"/>
              </w:rPr>
            </w:pPr>
            <w:r w:rsidRPr="004A14E0">
              <w:rPr>
                <w:rFonts w:ascii="Times New Roman" w:hAnsi="Times New Roman" w:cs="Times New Roman"/>
                <w:b/>
                <w:sz w:val="24"/>
                <w:szCs w:val="24"/>
              </w:rPr>
              <w:t>51 – 60</w:t>
            </w:r>
            <w:r>
              <w:rPr>
                <w:rFonts w:ascii="Times New Roman" w:hAnsi="Times New Roman" w:cs="Times New Roman"/>
                <w:b/>
                <w:sz w:val="24"/>
                <w:szCs w:val="24"/>
              </w:rPr>
              <w:t xml:space="preserve"> years</w:t>
            </w:r>
          </w:p>
        </w:tc>
        <w:tc>
          <w:tcPr>
            <w:tcW w:w="3185" w:type="dxa"/>
            <w:tcBorders>
              <w:top w:val="single" w:sz="4" w:space="0" w:color="auto"/>
              <w:left w:val="single" w:sz="4" w:space="0" w:color="auto"/>
              <w:bottom w:val="single" w:sz="4" w:space="0" w:color="auto"/>
              <w:right w:val="single" w:sz="4" w:space="0" w:color="auto"/>
            </w:tcBorders>
          </w:tcPr>
          <w:p w14:paraId="3C8CBDDC" w14:textId="3F639472" w:rsidR="004A14E0" w:rsidRDefault="004A14E0"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tcPr>
          <w:p w14:paraId="7E5C7A88" w14:textId="46995452" w:rsidR="004A14E0" w:rsidRDefault="004A14E0" w:rsidP="004A14E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4A14E0" w14:paraId="1388B1A4" w14:textId="77777777" w:rsidTr="00AD2A52">
        <w:trPr>
          <w:trHeight w:val="496"/>
        </w:trPr>
        <w:tc>
          <w:tcPr>
            <w:tcW w:w="3077" w:type="dxa"/>
            <w:tcBorders>
              <w:top w:val="single" w:sz="4" w:space="0" w:color="auto"/>
              <w:left w:val="single" w:sz="4" w:space="0" w:color="auto"/>
              <w:bottom w:val="single" w:sz="4" w:space="0" w:color="auto"/>
              <w:right w:val="single" w:sz="4" w:space="0" w:color="auto"/>
            </w:tcBorders>
          </w:tcPr>
          <w:p w14:paraId="6CEBD7ED" w14:textId="03AA40BB" w:rsidR="004A14E0" w:rsidRPr="004A14E0" w:rsidRDefault="004A14E0" w:rsidP="00AD2A52">
            <w:pPr>
              <w:spacing w:line="360" w:lineRule="auto"/>
              <w:jc w:val="center"/>
              <w:rPr>
                <w:rFonts w:ascii="Times New Roman" w:hAnsi="Times New Roman" w:cs="Times New Roman"/>
                <w:b/>
                <w:sz w:val="24"/>
                <w:szCs w:val="24"/>
              </w:rPr>
            </w:pPr>
            <w:r w:rsidRPr="004A14E0">
              <w:rPr>
                <w:rFonts w:ascii="Times New Roman" w:hAnsi="Times New Roman" w:cs="Times New Roman"/>
                <w:b/>
                <w:sz w:val="24"/>
                <w:szCs w:val="24"/>
              </w:rPr>
              <w:t>Above 60</w:t>
            </w:r>
          </w:p>
        </w:tc>
        <w:tc>
          <w:tcPr>
            <w:tcW w:w="3185" w:type="dxa"/>
            <w:tcBorders>
              <w:top w:val="single" w:sz="4" w:space="0" w:color="auto"/>
              <w:left w:val="single" w:sz="4" w:space="0" w:color="auto"/>
              <w:bottom w:val="single" w:sz="4" w:space="0" w:color="auto"/>
              <w:right w:val="single" w:sz="4" w:space="0" w:color="auto"/>
            </w:tcBorders>
          </w:tcPr>
          <w:p w14:paraId="2EC79F00" w14:textId="4B14044C" w:rsidR="004A14E0" w:rsidRDefault="004A14E0"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3B2B9F3D" w14:textId="7E04A475" w:rsidR="004A14E0" w:rsidRDefault="004A14E0" w:rsidP="004A14E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r>
      <w:tr w:rsidR="004A14E0" w:rsidRPr="004D7E4B" w14:paraId="60CA16C1" w14:textId="77777777" w:rsidTr="00AD2A52">
        <w:trPr>
          <w:trHeight w:val="516"/>
        </w:trPr>
        <w:tc>
          <w:tcPr>
            <w:tcW w:w="3077" w:type="dxa"/>
            <w:tcBorders>
              <w:top w:val="single" w:sz="4" w:space="0" w:color="auto"/>
              <w:left w:val="single" w:sz="4" w:space="0" w:color="auto"/>
              <w:bottom w:val="single" w:sz="4" w:space="0" w:color="auto"/>
              <w:right w:val="single" w:sz="4" w:space="0" w:color="auto"/>
            </w:tcBorders>
            <w:hideMark/>
          </w:tcPr>
          <w:p w14:paraId="6EBCA961" w14:textId="77777777" w:rsidR="004A14E0" w:rsidRPr="004D7E4B" w:rsidRDefault="004A14E0"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6BAE8AC" w14:textId="74AB12EB" w:rsidR="004A14E0" w:rsidRPr="004D7E4B" w:rsidRDefault="004A14E0"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5B7CE0D4" w14:textId="77777777" w:rsidR="004A14E0" w:rsidRPr="004D7E4B" w:rsidRDefault="004A14E0"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3D7DFFA" w14:textId="77777777" w:rsidR="004A14E0" w:rsidRDefault="004A14E0" w:rsidP="004A14E0">
      <w:pPr>
        <w:spacing w:line="360" w:lineRule="auto"/>
        <w:rPr>
          <w:rFonts w:ascii="Times New Roman" w:hAnsi="Times New Roman" w:cs="Times New Roman"/>
          <w:b/>
          <w:sz w:val="24"/>
          <w:szCs w:val="24"/>
          <w:lang w:val="en-US"/>
        </w:rPr>
      </w:pPr>
    </w:p>
    <w:p w14:paraId="4BB848F2" w14:textId="77777777" w:rsidR="004A14E0" w:rsidRDefault="004A14E0" w:rsidP="004A14E0">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2"/>
    <w:p w14:paraId="71388E58"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The data indicates that the majority of respondents, accounting for 40%, fall within the age group of 31 to 40 years. This suggests that mid-career professionals predominantly manage market risk functions in their organizations, likely combining both experience and familiarity with modern risk management tools. The next largest group is the 20 to 30-year range, representing 25%, indicating a significant involvement of younger professionals who may bring fresh perspectives and technological adeptness to risk management.</w:t>
      </w:r>
    </w:p>
    <w:p w14:paraId="21B9C280"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Respondents aged between 41 and 50 years make up 20% of the sample, suggesting that senior professionals with extensive industry experience also contribute notably to market risk management practices. The smaller proportions in the 51 to 60 and above 60 categories (10% and 5% respectively) may reflect the gradual retirement or movement into strategic roles beyond direct risk management.</w:t>
      </w:r>
    </w:p>
    <w:p w14:paraId="6E677E24"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This age distribution is beneficial for market risk management because it ensures a blend of youthful innovation and seasoned judgment, which is critical when dealing with complex and volatile market environments. Organizations can leverage this mix to balance traditional risk assessment methods with emerging technological solutions such as AI and machine learning.</w:t>
      </w:r>
    </w:p>
    <w:p w14:paraId="09766F30" w14:textId="77777777" w:rsidR="004A14E0" w:rsidRDefault="004A14E0" w:rsidP="00C74137">
      <w:pPr>
        <w:spacing w:line="360" w:lineRule="auto"/>
        <w:jc w:val="both"/>
        <w:rPr>
          <w:rFonts w:ascii="Times New Roman" w:hAnsi="Times New Roman" w:cs="Times New Roman"/>
          <w:sz w:val="24"/>
          <w:szCs w:val="24"/>
        </w:rPr>
      </w:pPr>
    </w:p>
    <w:p w14:paraId="57CEBC93" w14:textId="77777777" w:rsidR="004A14E0" w:rsidRPr="00967E78" w:rsidRDefault="004A14E0" w:rsidP="004A14E0">
      <w:pPr>
        <w:spacing w:line="360" w:lineRule="auto"/>
        <w:jc w:val="center"/>
        <w:rPr>
          <w:rFonts w:ascii="Times New Roman" w:hAnsi="Times New Roman" w:cs="Times New Roman"/>
          <w:b/>
          <w:bCs/>
          <w:sz w:val="24"/>
          <w:szCs w:val="24"/>
          <w:lang w:val="en-US"/>
        </w:rPr>
      </w:pPr>
      <w:bookmarkStart w:id="13" w:name="_Hlk203212624"/>
      <w:r w:rsidRPr="00967E78">
        <w:rPr>
          <w:rFonts w:ascii="Times New Roman" w:hAnsi="Times New Roman" w:cs="Times New Roman"/>
          <w:b/>
          <w:bCs/>
          <w:sz w:val="24"/>
          <w:szCs w:val="24"/>
          <w:lang w:val="en-US"/>
        </w:rPr>
        <w:lastRenderedPageBreak/>
        <w:t>TABLE – 4.2</w:t>
      </w:r>
    </w:p>
    <w:p w14:paraId="31253A94" w14:textId="77777777" w:rsidR="004A14E0" w:rsidRPr="004D7E4B" w:rsidRDefault="004A14E0" w:rsidP="004A14E0">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4A14E0" w:rsidRPr="004D7E4B" w14:paraId="677ACFDE" w14:textId="77777777" w:rsidTr="00AD2A52">
        <w:tc>
          <w:tcPr>
            <w:tcW w:w="3002" w:type="dxa"/>
            <w:tcBorders>
              <w:top w:val="single" w:sz="4" w:space="0" w:color="auto"/>
              <w:left w:val="single" w:sz="4" w:space="0" w:color="auto"/>
              <w:bottom w:val="single" w:sz="4" w:space="0" w:color="auto"/>
              <w:right w:val="single" w:sz="4" w:space="0" w:color="auto"/>
            </w:tcBorders>
            <w:hideMark/>
          </w:tcPr>
          <w:p w14:paraId="7C451E2C" w14:textId="77777777" w:rsidR="004A14E0" w:rsidRPr="004D7E4B" w:rsidRDefault="004A14E0" w:rsidP="00AD2A5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2A37918" w14:textId="77777777" w:rsidR="004A14E0" w:rsidRPr="004D7E4B" w:rsidRDefault="004A14E0" w:rsidP="00AD2A5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46951FA" w14:textId="77777777" w:rsidR="004A14E0" w:rsidRPr="004D7E4B" w:rsidRDefault="004A14E0" w:rsidP="00AD2A5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4A14E0" w:rsidRPr="004D7E4B" w14:paraId="1EABA175" w14:textId="77777777" w:rsidTr="00AD2A52">
        <w:tc>
          <w:tcPr>
            <w:tcW w:w="3002" w:type="dxa"/>
            <w:tcBorders>
              <w:top w:val="single" w:sz="4" w:space="0" w:color="auto"/>
              <w:left w:val="single" w:sz="4" w:space="0" w:color="auto"/>
              <w:bottom w:val="single" w:sz="4" w:space="0" w:color="auto"/>
              <w:right w:val="single" w:sz="4" w:space="0" w:color="auto"/>
            </w:tcBorders>
            <w:hideMark/>
          </w:tcPr>
          <w:p w14:paraId="6D8565A4" w14:textId="77777777" w:rsidR="004A14E0" w:rsidRPr="004D7E4B" w:rsidRDefault="004A14E0" w:rsidP="00AD2A52">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199374B" w14:textId="5C562B57" w:rsidR="004A14E0" w:rsidRPr="004D7E4B" w:rsidRDefault="004A14E0" w:rsidP="00AD2A5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75</w:t>
            </w:r>
          </w:p>
        </w:tc>
        <w:tc>
          <w:tcPr>
            <w:tcW w:w="2685" w:type="dxa"/>
            <w:tcBorders>
              <w:top w:val="single" w:sz="4" w:space="0" w:color="auto"/>
              <w:left w:val="single" w:sz="4" w:space="0" w:color="auto"/>
              <w:bottom w:val="single" w:sz="4" w:space="0" w:color="auto"/>
              <w:right w:val="single" w:sz="4" w:space="0" w:color="auto"/>
            </w:tcBorders>
            <w:hideMark/>
          </w:tcPr>
          <w:p w14:paraId="5DEB15AE" w14:textId="6A3D330F" w:rsidR="004A14E0" w:rsidRPr="004D7E4B" w:rsidRDefault="004A14E0" w:rsidP="00AD2A5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75</w:t>
            </w:r>
            <w:r w:rsidRPr="004D7E4B">
              <w:rPr>
                <w:rFonts w:ascii="Times New Roman" w:hAnsi="Times New Roman" w:cs="Times New Roman"/>
                <w:bCs/>
                <w:sz w:val="24"/>
                <w:szCs w:val="24"/>
                <w:lang w:val="en-US"/>
              </w:rPr>
              <w:t>%</w:t>
            </w:r>
          </w:p>
        </w:tc>
      </w:tr>
      <w:tr w:rsidR="004A14E0" w:rsidRPr="004D7E4B" w14:paraId="656466E1" w14:textId="77777777" w:rsidTr="00AD2A52">
        <w:tc>
          <w:tcPr>
            <w:tcW w:w="3002" w:type="dxa"/>
            <w:tcBorders>
              <w:top w:val="single" w:sz="4" w:space="0" w:color="auto"/>
              <w:left w:val="single" w:sz="4" w:space="0" w:color="auto"/>
              <w:bottom w:val="single" w:sz="4" w:space="0" w:color="auto"/>
              <w:right w:val="single" w:sz="4" w:space="0" w:color="auto"/>
            </w:tcBorders>
            <w:hideMark/>
          </w:tcPr>
          <w:p w14:paraId="395DD8E6" w14:textId="77777777" w:rsidR="004A14E0" w:rsidRPr="004D7E4B" w:rsidRDefault="004A14E0" w:rsidP="00AD2A52">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056CFC3" w14:textId="64EE6816" w:rsidR="004A14E0" w:rsidRPr="004D7E4B" w:rsidRDefault="004A14E0" w:rsidP="00AD2A5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p>
        </w:tc>
        <w:tc>
          <w:tcPr>
            <w:tcW w:w="2685" w:type="dxa"/>
            <w:tcBorders>
              <w:top w:val="single" w:sz="4" w:space="0" w:color="auto"/>
              <w:left w:val="single" w:sz="4" w:space="0" w:color="auto"/>
              <w:bottom w:val="single" w:sz="4" w:space="0" w:color="auto"/>
              <w:right w:val="single" w:sz="4" w:space="0" w:color="auto"/>
            </w:tcBorders>
            <w:hideMark/>
          </w:tcPr>
          <w:p w14:paraId="7D6D4E5E" w14:textId="2115AACE" w:rsidR="004A14E0" w:rsidRPr="004D7E4B" w:rsidRDefault="004A14E0" w:rsidP="00AD2A5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r>
              <w:rPr>
                <w:rFonts w:ascii="Times New Roman" w:hAnsi="Times New Roman" w:cs="Times New Roman"/>
                <w:bCs/>
                <w:sz w:val="24"/>
                <w:szCs w:val="24"/>
                <w:lang w:val="en-US"/>
              </w:rPr>
              <w:t>%</w:t>
            </w:r>
          </w:p>
        </w:tc>
      </w:tr>
      <w:tr w:rsidR="004A14E0" w:rsidRPr="004D7E4B" w14:paraId="19E430A5" w14:textId="77777777" w:rsidTr="00AD2A52">
        <w:tc>
          <w:tcPr>
            <w:tcW w:w="3002" w:type="dxa"/>
            <w:tcBorders>
              <w:top w:val="single" w:sz="4" w:space="0" w:color="auto"/>
              <w:left w:val="single" w:sz="4" w:space="0" w:color="auto"/>
              <w:bottom w:val="single" w:sz="4" w:space="0" w:color="auto"/>
              <w:right w:val="single" w:sz="4" w:space="0" w:color="auto"/>
            </w:tcBorders>
            <w:hideMark/>
          </w:tcPr>
          <w:p w14:paraId="57CBB3F5" w14:textId="77777777" w:rsidR="004A14E0" w:rsidRPr="004D7E4B" w:rsidRDefault="004A14E0" w:rsidP="00AD2A5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CC39F43" w14:textId="297728DA" w:rsidR="004A14E0" w:rsidRPr="004D7E4B" w:rsidRDefault="004A14E0" w:rsidP="00AD2A52">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37C19E57" w14:textId="77777777" w:rsidR="004A14E0" w:rsidRPr="004D7E4B" w:rsidRDefault="004A14E0" w:rsidP="00AD2A5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22AF6E4" w14:textId="77777777" w:rsidR="004A14E0" w:rsidRDefault="004A14E0" w:rsidP="004A14E0">
      <w:pPr>
        <w:spacing w:line="360" w:lineRule="auto"/>
        <w:jc w:val="both"/>
        <w:rPr>
          <w:rFonts w:ascii="Times New Roman" w:hAnsi="Times New Roman" w:cs="Times New Roman"/>
          <w:bCs/>
          <w:sz w:val="24"/>
          <w:szCs w:val="24"/>
        </w:rPr>
      </w:pPr>
    </w:p>
    <w:p w14:paraId="254E7793" w14:textId="77777777" w:rsidR="004A14E0" w:rsidRPr="007B042D" w:rsidRDefault="004A14E0" w:rsidP="004A14E0">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3"/>
    <w:p w14:paraId="5C7BFC41"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The data shows that 75% of the respondents involved in market risk management are male, while females constitute 25% of the sample. This indicates a significant gender disparity within the market risk management domain, reflecting a male-dominated workforce.</w:t>
      </w:r>
    </w:p>
    <w:p w14:paraId="1B893F7A"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The predominance of male respondents could be due to historical trends in the finance and risk management sectors, which traditionally attracted more male professionals. However, the presence of 25% female respondents suggests increasing gender diversity, possibly driven by growing efforts to encourage women’s participation in finance and risk-related roles.</w:t>
      </w:r>
    </w:p>
    <w:p w14:paraId="7B54FA71"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Gender diversity in market risk management is important as it can lead to broader perspectives, improved decision-making, and innovation in risk assessment and mitigation strategies. Organizations with a more balanced gender representation might better navigate the complexities of market risk by leveraging varied insights and leadership styles.</w:t>
      </w:r>
    </w:p>
    <w:p w14:paraId="0618BA10" w14:textId="77777777" w:rsidR="004A14E0" w:rsidRPr="004A14E0" w:rsidRDefault="004A14E0" w:rsidP="004A14E0">
      <w:pPr>
        <w:spacing w:line="360" w:lineRule="auto"/>
        <w:jc w:val="both"/>
        <w:rPr>
          <w:rFonts w:ascii="Times New Roman" w:hAnsi="Times New Roman" w:cs="Times New Roman"/>
          <w:sz w:val="24"/>
          <w:szCs w:val="24"/>
        </w:rPr>
      </w:pPr>
      <w:r w:rsidRPr="004A14E0">
        <w:rPr>
          <w:rFonts w:ascii="Times New Roman" w:hAnsi="Times New Roman" w:cs="Times New Roman"/>
          <w:sz w:val="24"/>
          <w:szCs w:val="24"/>
        </w:rPr>
        <w:t>This gender distribution highlights the need for continued initiatives to support and empower women in the market risk field, including mentorship programs, targeted recruitment, and inclusive workplace policies.</w:t>
      </w:r>
    </w:p>
    <w:p w14:paraId="2D8B65D7" w14:textId="77777777" w:rsidR="004A14E0" w:rsidRDefault="004A14E0" w:rsidP="00C74137">
      <w:pPr>
        <w:spacing w:line="360" w:lineRule="auto"/>
        <w:jc w:val="both"/>
        <w:rPr>
          <w:rFonts w:ascii="Times New Roman" w:hAnsi="Times New Roman" w:cs="Times New Roman"/>
          <w:sz w:val="24"/>
          <w:szCs w:val="24"/>
        </w:rPr>
      </w:pPr>
    </w:p>
    <w:p w14:paraId="49EBCA87" w14:textId="77777777" w:rsidR="004A14E0" w:rsidRDefault="004A14E0" w:rsidP="00C74137">
      <w:pPr>
        <w:spacing w:line="360" w:lineRule="auto"/>
        <w:jc w:val="both"/>
        <w:rPr>
          <w:rFonts w:ascii="Times New Roman" w:hAnsi="Times New Roman" w:cs="Times New Roman"/>
          <w:sz w:val="24"/>
          <w:szCs w:val="24"/>
        </w:rPr>
      </w:pPr>
    </w:p>
    <w:p w14:paraId="36514C8A" w14:textId="77777777" w:rsidR="004A14E0" w:rsidRDefault="004A14E0" w:rsidP="00C74137">
      <w:pPr>
        <w:spacing w:line="360" w:lineRule="auto"/>
        <w:jc w:val="both"/>
        <w:rPr>
          <w:rFonts w:ascii="Times New Roman" w:hAnsi="Times New Roman" w:cs="Times New Roman"/>
          <w:sz w:val="24"/>
          <w:szCs w:val="24"/>
        </w:rPr>
      </w:pPr>
    </w:p>
    <w:p w14:paraId="4BCE81FF" w14:textId="77777777" w:rsidR="004A14E0" w:rsidRDefault="004A14E0" w:rsidP="00C74137">
      <w:pPr>
        <w:spacing w:line="360" w:lineRule="auto"/>
        <w:jc w:val="both"/>
        <w:rPr>
          <w:rFonts w:ascii="Times New Roman" w:hAnsi="Times New Roman" w:cs="Times New Roman"/>
          <w:sz w:val="24"/>
          <w:szCs w:val="24"/>
        </w:rPr>
      </w:pPr>
    </w:p>
    <w:p w14:paraId="500D8421" w14:textId="77777777" w:rsidR="004A14E0" w:rsidRDefault="004A14E0" w:rsidP="00C74137">
      <w:pPr>
        <w:spacing w:line="360" w:lineRule="auto"/>
        <w:jc w:val="both"/>
        <w:rPr>
          <w:rFonts w:ascii="Times New Roman" w:hAnsi="Times New Roman" w:cs="Times New Roman"/>
          <w:sz w:val="24"/>
          <w:szCs w:val="24"/>
        </w:rPr>
      </w:pPr>
    </w:p>
    <w:p w14:paraId="73889114" w14:textId="77777777" w:rsidR="004A14E0" w:rsidRDefault="004A14E0" w:rsidP="004A14E0">
      <w:pPr>
        <w:spacing w:line="360" w:lineRule="auto"/>
        <w:jc w:val="both"/>
        <w:rPr>
          <w:rFonts w:ascii="Times New Roman" w:hAnsi="Times New Roman" w:cs="Times New Roman"/>
          <w:b/>
          <w:bCs/>
          <w:sz w:val="24"/>
          <w:szCs w:val="24"/>
        </w:rPr>
      </w:pPr>
      <w:bookmarkStart w:id="14" w:name="_Hlk202090519"/>
      <w:r w:rsidRPr="007B042D">
        <w:rPr>
          <w:rFonts w:ascii="Times New Roman" w:hAnsi="Times New Roman" w:cs="Times New Roman"/>
          <w:b/>
          <w:bCs/>
          <w:sz w:val="24"/>
          <w:szCs w:val="24"/>
        </w:rPr>
        <w:lastRenderedPageBreak/>
        <w:t>CONCLUSION</w:t>
      </w:r>
    </w:p>
    <w:bookmarkEnd w:id="14"/>
    <w:p w14:paraId="7E60C49A" w14:textId="53E14EE3"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Market risk management plays an indispensable role in safeguarding organizations against the unpredictable fluctuations of financial markets. This study has demonstrated that managing market risk effectively is crucial not only for financial institutions but also for non-financial firms, including exporters, importers, and multinational corporations exposed to global market volatility.</w:t>
      </w:r>
    </w:p>
    <w:p w14:paraId="616335CA" w14:textId="2352B485"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The research confirms that organizations primarily rely on established quantitative techniques such as Value at Risk (</w:t>
      </w:r>
      <w:proofErr w:type="spellStart"/>
      <w:r w:rsidRPr="004A14E0">
        <w:rPr>
          <w:rFonts w:ascii="Times New Roman" w:hAnsi="Times New Roman" w:cs="Times New Roman"/>
          <w:sz w:val="24"/>
          <w:szCs w:val="24"/>
        </w:rPr>
        <w:t>VaR</w:t>
      </w:r>
      <w:proofErr w:type="spellEnd"/>
      <w:r w:rsidRPr="004A14E0">
        <w:rPr>
          <w:rFonts w:ascii="Times New Roman" w:hAnsi="Times New Roman" w:cs="Times New Roman"/>
          <w:sz w:val="24"/>
          <w:szCs w:val="24"/>
        </w:rPr>
        <w:t>), stress testing, and scenario analysis to measure and anticipate potential losses under various market conditions. These tools enable firms to quantify risk exposure and prepare appropriate mitigation strategies. Additionally, hedging mechanisms using derivatives like futures, options, and swaps remain vital instruments for minimizing adverse impacts from price movements in currencies, interest rates, and commodities.</w:t>
      </w:r>
    </w:p>
    <w:p w14:paraId="36136B50" w14:textId="22B60414"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A significant insight from the study is the growing incorporation of advanced technologies, including artificial intelligence, machine learning, and big data analytics, which are revolutionizing the speed, accuracy, and comprehensiveness of market risk assessments. These technologies help firms to detect emerging risks earlier and make informed decisions, thereby improving their responsiveness to sudden market shocks.</w:t>
      </w:r>
    </w:p>
    <w:p w14:paraId="2208A93E" w14:textId="5904C17A"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Moreover, the research highlights the importance of strong governance frameworks that integrate risk management with corporate strategy. The alignment between an organization’s risk appetite and its business objectives is essential to ensure sustainable growth while maintaining resilience against market disruptions. Regulatory frameworks such as Basel III have also raised the standards for risk disclosure and capital adequacy, pushing firms to adopt more rigorous risk management practices.</w:t>
      </w:r>
    </w:p>
    <w:p w14:paraId="41516672" w14:textId="15CF9E9E" w:rsidR="004A14E0" w:rsidRPr="004A14E0" w:rsidRDefault="004A14E0" w:rsidP="004A14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14E0">
        <w:rPr>
          <w:rFonts w:ascii="Times New Roman" w:hAnsi="Times New Roman" w:cs="Times New Roman"/>
          <w:sz w:val="24"/>
          <w:szCs w:val="24"/>
        </w:rPr>
        <w:t>Despite these advancements, the study identifies persistent challenges. Data limitations, especially the lack of granular and real-time information, hinder the precision of risk models. Model risk, arising from incorrect assumptions and incomplete data, can lead to significant underestimation of market exposure. Furthermore, smaller firms often struggle to implement sophisticated risk management systems due to resource constraints, leaving them more vulnerable to market volatility.</w:t>
      </w:r>
    </w:p>
    <w:p w14:paraId="68D85707" w14:textId="77777777" w:rsidR="004A14E0" w:rsidRDefault="004A14E0" w:rsidP="00C74137">
      <w:pPr>
        <w:spacing w:line="360" w:lineRule="auto"/>
        <w:jc w:val="both"/>
        <w:rPr>
          <w:rFonts w:ascii="Times New Roman" w:hAnsi="Times New Roman" w:cs="Times New Roman"/>
          <w:sz w:val="24"/>
          <w:szCs w:val="24"/>
        </w:rPr>
      </w:pPr>
    </w:p>
    <w:p w14:paraId="736A68FF" w14:textId="77777777" w:rsidR="004A14E0" w:rsidRDefault="004A14E0" w:rsidP="00C74137">
      <w:pPr>
        <w:spacing w:line="360" w:lineRule="auto"/>
        <w:jc w:val="both"/>
        <w:rPr>
          <w:rFonts w:ascii="Times New Roman" w:hAnsi="Times New Roman" w:cs="Times New Roman"/>
          <w:sz w:val="24"/>
          <w:szCs w:val="24"/>
        </w:rPr>
      </w:pPr>
    </w:p>
    <w:p w14:paraId="08812E5E" w14:textId="77777777" w:rsidR="004A14E0" w:rsidRPr="007B042D" w:rsidRDefault="004A14E0" w:rsidP="004A14E0">
      <w:pPr>
        <w:spacing w:line="360" w:lineRule="auto"/>
        <w:jc w:val="center"/>
        <w:rPr>
          <w:rFonts w:ascii="Times New Roman" w:hAnsi="Times New Roman" w:cs="Times New Roman"/>
          <w:b/>
          <w:bCs/>
          <w:sz w:val="24"/>
          <w:szCs w:val="24"/>
          <w:lang w:val="en-US"/>
        </w:rPr>
      </w:pPr>
      <w:bookmarkStart w:id="15" w:name="_Hlk203252345"/>
      <w:bookmarkStart w:id="16" w:name="_Hlk203474877"/>
      <w:r w:rsidRPr="007B042D">
        <w:rPr>
          <w:rFonts w:ascii="Times New Roman" w:hAnsi="Times New Roman" w:cs="Times New Roman"/>
          <w:b/>
          <w:bCs/>
          <w:sz w:val="24"/>
          <w:szCs w:val="24"/>
          <w:lang w:val="en-US"/>
        </w:rPr>
        <w:lastRenderedPageBreak/>
        <w:t>BIBLIOGRAPHY</w:t>
      </w:r>
      <w:bookmarkEnd w:id="16"/>
    </w:p>
    <w:bookmarkEnd w:id="15"/>
    <w:p w14:paraId="54176C24" w14:textId="6997DF84" w:rsidR="004A14E0" w:rsidRPr="004A14E0" w:rsidRDefault="004A14E0" w:rsidP="008316B2">
      <w:pPr>
        <w:pStyle w:val="ListParagraph"/>
        <w:numPr>
          <w:ilvl w:val="0"/>
          <w:numId w:val="10"/>
        </w:numPr>
        <w:spacing w:line="480" w:lineRule="auto"/>
        <w:jc w:val="both"/>
        <w:rPr>
          <w:rFonts w:ascii="Times New Roman" w:hAnsi="Times New Roman" w:cs="Times New Roman"/>
          <w:sz w:val="24"/>
          <w:szCs w:val="24"/>
        </w:rPr>
      </w:pPr>
      <w:proofErr w:type="spellStart"/>
      <w:r w:rsidRPr="004A14E0">
        <w:rPr>
          <w:rFonts w:ascii="Times New Roman" w:hAnsi="Times New Roman" w:cs="Times New Roman"/>
          <w:sz w:val="24"/>
          <w:szCs w:val="24"/>
        </w:rPr>
        <w:t>Allayannis</w:t>
      </w:r>
      <w:proofErr w:type="spellEnd"/>
      <w:r w:rsidRPr="004A14E0">
        <w:rPr>
          <w:rFonts w:ascii="Times New Roman" w:hAnsi="Times New Roman" w:cs="Times New Roman"/>
          <w:sz w:val="24"/>
          <w:szCs w:val="24"/>
        </w:rPr>
        <w:t>, G., &amp; Weston, J. P. (2001). The Use of Foreign Currency Derivatives and Firm Market Value. Review of Financial Studies, 14(1), 243-276.</w:t>
      </w:r>
    </w:p>
    <w:p w14:paraId="219C8FAD" w14:textId="28EE3EF4" w:rsidR="004A14E0" w:rsidRPr="004A14E0" w:rsidRDefault="004A14E0" w:rsidP="008316B2">
      <w:pPr>
        <w:pStyle w:val="ListParagraph"/>
        <w:numPr>
          <w:ilvl w:val="0"/>
          <w:numId w:val="10"/>
        </w:numPr>
        <w:spacing w:line="480" w:lineRule="auto"/>
        <w:jc w:val="both"/>
        <w:rPr>
          <w:rFonts w:ascii="Times New Roman" w:hAnsi="Times New Roman" w:cs="Times New Roman"/>
          <w:sz w:val="24"/>
          <w:szCs w:val="24"/>
        </w:rPr>
      </w:pPr>
      <w:r w:rsidRPr="004A14E0">
        <w:rPr>
          <w:rFonts w:ascii="Times New Roman" w:hAnsi="Times New Roman" w:cs="Times New Roman"/>
          <w:sz w:val="24"/>
          <w:szCs w:val="24"/>
        </w:rPr>
        <w:t>Bartram, S. M., Brown, G. W., &amp; Minton, B. A. (2010). Resolving the Risk-Return Puzzle in Corporate Risk Management. Journal of Corporate Finance, 16(1), 54-72.</w:t>
      </w:r>
    </w:p>
    <w:p w14:paraId="0E409739" w14:textId="581E682D" w:rsidR="004A14E0" w:rsidRPr="004A14E0" w:rsidRDefault="004A14E0" w:rsidP="008316B2">
      <w:pPr>
        <w:pStyle w:val="ListParagraph"/>
        <w:numPr>
          <w:ilvl w:val="0"/>
          <w:numId w:val="10"/>
        </w:numPr>
        <w:spacing w:line="480" w:lineRule="auto"/>
        <w:jc w:val="both"/>
        <w:rPr>
          <w:rFonts w:ascii="Times New Roman" w:hAnsi="Times New Roman" w:cs="Times New Roman"/>
          <w:sz w:val="24"/>
          <w:szCs w:val="24"/>
        </w:rPr>
      </w:pPr>
      <w:r w:rsidRPr="004A14E0">
        <w:rPr>
          <w:rFonts w:ascii="Times New Roman" w:hAnsi="Times New Roman" w:cs="Times New Roman"/>
          <w:sz w:val="24"/>
          <w:szCs w:val="24"/>
        </w:rPr>
        <w:t>Benz, J., &amp; Martin, A. (2019). Artificial Intelligence in Risk Management: Transforming the Finance Industry. Journal of Financial Transformation, 50, 45-53.</w:t>
      </w:r>
    </w:p>
    <w:p w14:paraId="5EF62219" w14:textId="18453896" w:rsidR="004A14E0" w:rsidRPr="004A14E0" w:rsidRDefault="004A14E0" w:rsidP="008316B2">
      <w:pPr>
        <w:pStyle w:val="ListParagraph"/>
        <w:numPr>
          <w:ilvl w:val="0"/>
          <w:numId w:val="10"/>
        </w:numPr>
        <w:spacing w:line="48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Danielsson, J. (2011). Financial Risk Forecasting: The Theory and Practice of Forecasting Market Risk with Implementation in R and </w:t>
      </w:r>
      <w:proofErr w:type="spellStart"/>
      <w:r w:rsidRPr="004A14E0">
        <w:rPr>
          <w:rFonts w:ascii="Times New Roman" w:hAnsi="Times New Roman" w:cs="Times New Roman"/>
          <w:sz w:val="24"/>
          <w:szCs w:val="24"/>
        </w:rPr>
        <w:t>Matlab</w:t>
      </w:r>
      <w:proofErr w:type="spellEnd"/>
      <w:r w:rsidRPr="004A14E0">
        <w:rPr>
          <w:rFonts w:ascii="Times New Roman" w:hAnsi="Times New Roman" w:cs="Times New Roman"/>
          <w:sz w:val="24"/>
          <w:szCs w:val="24"/>
        </w:rPr>
        <w:t>. Wiley.</w:t>
      </w:r>
    </w:p>
    <w:p w14:paraId="2387025C" w14:textId="47F9C8CD" w:rsidR="004A14E0" w:rsidRPr="004A14E0" w:rsidRDefault="004A14E0" w:rsidP="008316B2">
      <w:pPr>
        <w:pStyle w:val="ListParagraph"/>
        <w:numPr>
          <w:ilvl w:val="0"/>
          <w:numId w:val="10"/>
        </w:numPr>
        <w:spacing w:line="480" w:lineRule="auto"/>
        <w:jc w:val="both"/>
        <w:rPr>
          <w:rFonts w:ascii="Times New Roman" w:hAnsi="Times New Roman" w:cs="Times New Roman"/>
          <w:sz w:val="24"/>
          <w:szCs w:val="24"/>
        </w:rPr>
      </w:pPr>
      <w:r w:rsidRPr="004A14E0">
        <w:rPr>
          <w:rFonts w:ascii="Times New Roman" w:hAnsi="Times New Roman" w:cs="Times New Roman"/>
          <w:sz w:val="24"/>
          <w:szCs w:val="24"/>
        </w:rPr>
        <w:t>Duffie, D., &amp; Pan, J. (1997). An Overview of Value at Risk. Journal of Derivatives, 4(3), 7-49.</w:t>
      </w:r>
    </w:p>
    <w:p w14:paraId="0D723EC5" w14:textId="4319DA74" w:rsidR="004A14E0" w:rsidRPr="004A14E0" w:rsidRDefault="004A14E0" w:rsidP="008316B2">
      <w:pPr>
        <w:pStyle w:val="ListParagraph"/>
        <w:numPr>
          <w:ilvl w:val="0"/>
          <w:numId w:val="10"/>
        </w:numPr>
        <w:spacing w:line="480" w:lineRule="auto"/>
        <w:jc w:val="both"/>
        <w:rPr>
          <w:rFonts w:ascii="Times New Roman" w:hAnsi="Times New Roman" w:cs="Times New Roman"/>
          <w:sz w:val="24"/>
          <w:szCs w:val="24"/>
        </w:rPr>
      </w:pPr>
      <w:proofErr w:type="spellStart"/>
      <w:r w:rsidRPr="004A14E0">
        <w:rPr>
          <w:rFonts w:ascii="Times New Roman" w:hAnsi="Times New Roman" w:cs="Times New Roman"/>
          <w:sz w:val="24"/>
          <w:szCs w:val="24"/>
        </w:rPr>
        <w:t>Eiteman</w:t>
      </w:r>
      <w:proofErr w:type="spellEnd"/>
      <w:r w:rsidRPr="004A14E0">
        <w:rPr>
          <w:rFonts w:ascii="Times New Roman" w:hAnsi="Times New Roman" w:cs="Times New Roman"/>
          <w:sz w:val="24"/>
          <w:szCs w:val="24"/>
        </w:rPr>
        <w:t>, D. K., Stonehill, A. I., &amp; Moffett, M. H. (2016). Multinational Business Finance (14th ed.). Pearson.</w:t>
      </w:r>
    </w:p>
    <w:p w14:paraId="72DEB9A5" w14:textId="2081B356" w:rsidR="004A14E0" w:rsidRPr="004A14E0" w:rsidRDefault="004A14E0" w:rsidP="008316B2">
      <w:pPr>
        <w:pStyle w:val="ListParagraph"/>
        <w:numPr>
          <w:ilvl w:val="0"/>
          <w:numId w:val="10"/>
        </w:numPr>
        <w:spacing w:line="480" w:lineRule="auto"/>
        <w:jc w:val="both"/>
        <w:rPr>
          <w:rFonts w:ascii="Times New Roman" w:hAnsi="Times New Roman" w:cs="Times New Roman"/>
          <w:sz w:val="24"/>
          <w:szCs w:val="24"/>
        </w:rPr>
      </w:pPr>
      <w:r w:rsidRPr="004A14E0">
        <w:rPr>
          <w:rFonts w:ascii="Times New Roman" w:hAnsi="Times New Roman" w:cs="Times New Roman"/>
          <w:sz w:val="24"/>
          <w:szCs w:val="24"/>
        </w:rPr>
        <w:t>Gomber, P., Koch, J. A., &amp; Siering, M. (2018). Digital Finance and FinTech: Current Research and Future Research Directions. Journal of Business Economics, 87(5), 537-580.</w:t>
      </w:r>
    </w:p>
    <w:p w14:paraId="6584E3FA" w14:textId="78AFC3D5" w:rsidR="004A14E0" w:rsidRPr="004A14E0" w:rsidRDefault="004A14E0" w:rsidP="008316B2">
      <w:pPr>
        <w:pStyle w:val="ListParagraph"/>
        <w:numPr>
          <w:ilvl w:val="0"/>
          <w:numId w:val="10"/>
        </w:numPr>
        <w:spacing w:line="480" w:lineRule="auto"/>
        <w:jc w:val="both"/>
        <w:rPr>
          <w:rFonts w:ascii="Times New Roman" w:hAnsi="Times New Roman" w:cs="Times New Roman"/>
          <w:sz w:val="24"/>
          <w:szCs w:val="24"/>
        </w:rPr>
      </w:pPr>
      <w:r w:rsidRPr="004A14E0">
        <w:rPr>
          <w:rFonts w:ascii="Times New Roman" w:hAnsi="Times New Roman" w:cs="Times New Roman"/>
          <w:sz w:val="24"/>
          <w:szCs w:val="24"/>
        </w:rPr>
        <w:t>Hull, J. C. (2015). Risk Management and Financial Institutions (4th ed.). Wiley.</w:t>
      </w:r>
    </w:p>
    <w:p w14:paraId="362AE389" w14:textId="16874496" w:rsidR="004A14E0" w:rsidRPr="004A14E0" w:rsidRDefault="004A14E0" w:rsidP="008316B2">
      <w:pPr>
        <w:pStyle w:val="ListParagraph"/>
        <w:numPr>
          <w:ilvl w:val="0"/>
          <w:numId w:val="10"/>
        </w:numPr>
        <w:spacing w:line="480" w:lineRule="auto"/>
        <w:jc w:val="both"/>
        <w:rPr>
          <w:rFonts w:ascii="Times New Roman" w:hAnsi="Times New Roman" w:cs="Times New Roman"/>
          <w:sz w:val="24"/>
          <w:szCs w:val="24"/>
        </w:rPr>
      </w:pPr>
      <w:proofErr w:type="spellStart"/>
      <w:r w:rsidRPr="004A14E0">
        <w:rPr>
          <w:rFonts w:ascii="Times New Roman" w:hAnsi="Times New Roman" w:cs="Times New Roman"/>
          <w:sz w:val="24"/>
          <w:szCs w:val="24"/>
        </w:rPr>
        <w:t>Jorion</w:t>
      </w:r>
      <w:proofErr w:type="spellEnd"/>
      <w:r w:rsidRPr="004A14E0">
        <w:rPr>
          <w:rFonts w:ascii="Times New Roman" w:hAnsi="Times New Roman" w:cs="Times New Roman"/>
          <w:sz w:val="24"/>
          <w:szCs w:val="24"/>
        </w:rPr>
        <w:t>, P. (2007). Financial Risk Manager Handbook (5th ed.). Wiley.</w:t>
      </w:r>
    </w:p>
    <w:p w14:paraId="2667BFF6" w14:textId="6BFDA1D9" w:rsidR="004A14E0" w:rsidRPr="004A14E0" w:rsidRDefault="004A14E0" w:rsidP="008316B2">
      <w:pPr>
        <w:pStyle w:val="ListParagraph"/>
        <w:numPr>
          <w:ilvl w:val="0"/>
          <w:numId w:val="10"/>
        </w:numPr>
        <w:spacing w:line="480" w:lineRule="auto"/>
        <w:jc w:val="both"/>
        <w:rPr>
          <w:rFonts w:ascii="Times New Roman" w:hAnsi="Times New Roman" w:cs="Times New Roman"/>
          <w:sz w:val="24"/>
          <w:szCs w:val="24"/>
        </w:rPr>
      </w:pPr>
      <w:r w:rsidRPr="004A14E0">
        <w:rPr>
          <w:rFonts w:ascii="Times New Roman" w:hAnsi="Times New Roman" w:cs="Times New Roman"/>
          <w:sz w:val="24"/>
          <w:szCs w:val="24"/>
        </w:rPr>
        <w:t xml:space="preserve">Kahneman, D., &amp; Tversky, A. (1979). Prospect Theory: An Analysis of Decision under Risk. </w:t>
      </w:r>
      <w:proofErr w:type="spellStart"/>
      <w:r w:rsidRPr="004A14E0">
        <w:rPr>
          <w:rFonts w:ascii="Times New Roman" w:hAnsi="Times New Roman" w:cs="Times New Roman"/>
          <w:sz w:val="24"/>
          <w:szCs w:val="24"/>
        </w:rPr>
        <w:t>Econometrica</w:t>
      </w:r>
      <w:proofErr w:type="spellEnd"/>
      <w:r w:rsidRPr="004A14E0">
        <w:rPr>
          <w:rFonts w:ascii="Times New Roman" w:hAnsi="Times New Roman" w:cs="Times New Roman"/>
          <w:sz w:val="24"/>
          <w:szCs w:val="24"/>
        </w:rPr>
        <w:t>, 47(2), 263-291.</w:t>
      </w:r>
    </w:p>
    <w:p w14:paraId="5B9B15CD" w14:textId="77777777" w:rsidR="004A14E0" w:rsidRPr="00C74137" w:rsidRDefault="004A14E0" w:rsidP="00C74137">
      <w:pPr>
        <w:spacing w:line="360" w:lineRule="auto"/>
        <w:jc w:val="both"/>
        <w:rPr>
          <w:rFonts w:ascii="Times New Roman" w:hAnsi="Times New Roman" w:cs="Times New Roman"/>
          <w:sz w:val="24"/>
          <w:szCs w:val="24"/>
        </w:rPr>
      </w:pPr>
    </w:p>
    <w:sectPr w:rsidR="004A14E0" w:rsidRPr="00C741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CC3"/>
    <w:multiLevelType w:val="hybridMultilevel"/>
    <w:tmpl w:val="94C499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362B7D"/>
    <w:multiLevelType w:val="hybridMultilevel"/>
    <w:tmpl w:val="FA5051C0"/>
    <w:lvl w:ilvl="0" w:tplc="4009000F">
      <w:start w:val="1"/>
      <w:numFmt w:val="decimal"/>
      <w:lvlText w:val="%1."/>
      <w:lvlJc w:val="left"/>
      <w:pPr>
        <w:ind w:left="360" w:hanging="360"/>
      </w:pPr>
    </w:lvl>
    <w:lvl w:ilvl="1" w:tplc="C06445C8">
      <w:numFmt w:val="bullet"/>
      <w:lvlText w:val=""/>
      <w:lvlJc w:val="left"/>
      <w:pPr>
        <w:ind w:left="1080" w:hanging="360"/>
      </w:pPr>
      <w:rPr>
        <w:rFonts w:ascii="Times New Roman" w:eastAsiaTheme="minorHAnsi" w:hAnsi="Times New Roman" w:cs="Times New Roman" w:hint="default"/>
      </w:r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10F549D3"/>
    <w:multiLevelType w:val="multilevel"/>
    <w:tmpl w:val="ECCC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55688E"/>
    <w:multiLevelType w:val="multilevel"/>
    <w:tmpl w:val="A21E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D25A02"/>
    <w:multiLevelType w:val="hybridMultilevel"/>
    <w:tmpl w:val="A27E498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35E72344"/>
    <w:multiLevelType w:val="hybridMultilevel"/>
    <w:tmpl w:val="9EA6D5EC"/>
    <w:lvl w:ilvl="0" w:tplc="FB22E5AC">
      <w:numFmt w:val="bullet"/>
      <w:lvlText w:val=""/>
      <w:lvlJc w:val="left"/>
      <w:pPr>
        <w:ind w:left="2952" w:hanging="2592"/>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4E97FF3"/>
    <w:multiLevelType w:val="hybridMultilevel"/>
    <w:tmpl w:val="8350FB6E"/>
    <w:lvl w:ilvl="0" w:tplc="FFFFFFFF">
      <w:start w:val="1"/>
      <w:numFmt w:val="decimal"/>
      <w:lvlText w:val="%1."/>
      <w:lvlJc w:val="left"/>
      <w:pPr>
        <w:ind w:left="360" w:hanging="360"/>
      </w:pPr>
    </w:lvl>
    <w:lvl w:ilvl="1" w:tplc="40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6AF472D9"/>
    <w:multiLevelType w:val="multilevel"/>
    <w:tmpl w:val="709E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6B5CD9"/>
    <w:multiLevelType w:val="hybridMultilevel"/>
    <w:tmpl w:val="559CB2FE"/>
    <w:lvl w:ilvl="0" w:tplc="40090001">
      <w:start w:val="1"/>
      <w:numFmt w:val="bullet"/>
      <w:lvlText w:val=""/>
      <w:lvlJc w:val="left"/>
      <w:pPr>
        <w:ind w:left="360" w:hanging="360"/>
      </w:pPr>
      <w:rPr>
        <w:rFonts w:ascii="Symbol" w:hAnsi="Symbol" w:hint="default"/>
      </w:rPr>
    </w:lvl>
    <w:lvl w:ilvl="1" w:tplc="FFFFFFFF">
      <w:numFmt w:val="bullet"/>
      <w:lvlText w:val=""/>
      <w:lvlJc w:val="left"/>
      <w:pPr>
        <w:ind w:left="1080" w:hanging="360"/>
      </w:pPr>
      <w:rPr>
        <w:rFonts w:ascii="Times New Roman" w:eastAsiaTheme="minorHAnsi" w:hAnsi="Times New Roman" w:cs="Times New Roman"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75B5690A"/>
    <w:multiLevelType w:val="hybridMultilevel"/>
    <w:tmpl w:val="D9285B86"/>
    <w:lvl w:ilvl="0" w:tplc="FB22E5AC">
      <w:numFmt w:val="bullet"/>
      <w:lvlText w:val=""/>
      <w:lvlJc w:val="left"/>
      <w:pPr>
        <w:ind w:left="2952" w:hanging="2592"/>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85386595">
    <w:abstractNumId w:val="1"/>
  </w:num>
  <w:num w:numId="2" w16cid:durableId="1583106746">
    <w:abstractNumId w:val="5"/>
  </w:num>
  <w:num w:numId="3" w16cid:durableId="687685492">
    <w:abstractNumId w:val="9"/>
  </w:num>
  <w:num w:numId="4" w16cid:durableId="1759984605">
    <w:abstractNumId w:val="6"/>
  </w:num>
  <w:num w:numId="5" w16cid:durableId="1202283429">
    <w:abstractNumId w:val="0"/>
  </w:num>
  <w:num w:numId="6" w16cid:durableId="1232084534">
    <w:abstractNumId w:val="8"/>
  </w:num>
  <w:num w:numId="7" w16cid:durableId="1666856012">
    <w:abstractNumId w:val="3"/>
  </w:num>
  <w:num w:numId="8" w16cid:durableId="1503618394">
    <w:abstractNumId w:val="2"/>
  </w:num>
  <w:num w:numId="9" w16cid:durableId="961426209">
    <w:abstractNumId w:val="7"/>
  </w:num>
  <w:num w:numId="10" w16cid:durableId="2116916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C72"/>
    <w:rsid w:val="00153BB7"/>
    <w:rsid w:val="0020187E"/>
    <w:rsid w:val="004A14E0"/>
    <w:rsid w:val="008316B2"/>
    <w:rsid w:val="008F7F7B"/>
    <w:rsid w:val="00C74137"/>
    <w:rsid w:val="00D76C72"/>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44A65"/>
  <w15:chartTrackingRefBased/>
  <w15:docId w15:val="{9356EDE7-1600-4727-A417-1AD10A9F3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137"/>
  </w:style>
  <w:style w:type="paragraph" w:styleId="Heading1">
    <w:name w:val="heading 1"/>
    <w:basedOn w:val="Normal"/>
    <w:next w:val="Normal"/>
    <w:link w:val="Heading1Char"/>
    <w:uiPriority w:val="9"/>
    <w:qFormat/>
    <w:rsid w:val="00D76C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6C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6C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6C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6C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6C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C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C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C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C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6C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6C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6C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6C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6C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C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C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C72"/>
    <w:rPr>
      <w:rFonts w:eastAsiaTheme="majorEastAsia" w:cstheme="majorBidi"/>
      <w:color w:val="272727" w:themeColor="text1" w:themeTint="D8"/>
    </w:rPr>
  </w:style>
  <w:style w:type="paragraph" w:styleId="Title">
    <w:name w:val="Title"/>
    <w:basedOn w:val="Normal"/>
    <w:next w:val="Normal"/>
    <w:link w:val="TitleChar"/>
    <w:uiPriority w:val="10"/>
    <w:qFormat/>
    <w:rsid w:val="00D76C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C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C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C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C72"/>
    <w:pPr>
      <w:spacing w:before="160"/>
      <w:jc w:val="center"/>
    </w:pPr>
    <w:rPr>
      <w:i/>
      <w:iCs/>
      <w:color w:val="404040" w:themeColor="text1" w:themeTint="BF"/>
    </w:rPr>
  </w:style>
  <w:style w:type="character" w:customStyle="1" w:styleId="QuoteChar">
    <w:name w:val="Quote Char"/>
    <w:basedOn w:val="DefaultParagraphFont"/>
    <w:link w:val="Quote"/>
    <w:uiPriority w:val="29"/>
    <w:rsid w:val="00D76C72"/>
    <w:rPr>
      <w:i/>
      <w:iCs/>
      <w:color w:val="404040" w:themeColor="text1" w:themeTint="BF"/>
    </w:rPr>
  </w:style>
  <w:style w:type="paragraph" w:styleId="ListParagraph">
    <w:name w:val="List Paragraph"/>
    <w:basedOn w:val="Normal"/>
    <w:uiPriority w:val="34"/>
    <w:qFormat/>
    <w:rsid w:val="00D76C72"/>
    <w:pPr>
      <w:ind w:left="720"/>
      <w:contextualSpacing/>
    </w:pPr>
  </w:style>
  <w:style w:type="character" w:styleId="IntenseEmphasis">
    <w:name w:val="Intense Emphasis"/>
    <w:basedOn w:val="DefaultParagraphFont"/>
    <w:uiPriority w:val="21"/>
    <w:qFormat/>
    <w:rsid w:val="00D76C72"/>
    <w:rPr>
      <w:i/>
      <w:iCs/>
      <w:color w:val="2F5496" w:themeColor="accent1" w:themeShade="BF"/>
    </w:rPr>
  </w:style>
  <w:style w:type="paragraph" w:styleId="IntenseQuote">
    <w:name w:val="Intense Quote"/>
    <w:basedOn w:val="Normal"/>
    <w:next w:val="Normal"/>
    <w:link w:val="IntenseQuoteChar"/>
    <w:uiPriority w:val="30"/>
    <w:qFormat/>
    <w:rsid w:val="00D76C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6C72"/>
    <w:rPr>
      <w:i/>
      <w:iCs/>
      <w:color w:val="2F5496" w:themeColor="accent1" w:themeShade="BF"/>
    </w:rPr>
  </w:style>
  <w:style w:type="character" w:styleId="IntenseReference">
    <w:name w:val="Intense Reference"/>
    <w:basedOn w:val="DefaultParagraphFont"/>
    <w:uiPriority w:val="32"/>
    <w:qFormat/>
    <w:rsid w:val="00D76C7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83840">
      <w:bodyDiv w:val="1"/>
      <w:marLeft w:val="0"/>
      <w:marRight w:val="0"/>
      <w:marTop w:val="0"/>
      <w:marBottom w:val="0"/>
      <w:divBdr>
        <w:top w:val="none" w:sz="0" w:space="0" w:color="auto"/>
        <w:left w:val="none" w:sz="0" w:space="0" w:color="auto"/>
        <w:bottom w:val="none" w:sz="0" w:space="0" w:color="auto"/>
        <w:right w:val="none" w:sz="0" w:space="0" w:color="auto"/>
      </w:divBdr>
    </w:div>
    <w:div w:id="191191766">
      <w:bodyDiv w:val="1"/>
      <w:marLeft w:val="0"/>
      <w:marRight w:val="0"/>
      <w:marTop w:val="0"/>
      <w:marBottom w:val="0"/>
      <w:divBdr>
        <w:top w:val="none" w:sz="0" w:space="0" w:color="auto"/>
        <w:left w:val="none" w:sz="0" w:space="0" w:color="auto"/>
        <w:bottom w:val="none" w:sz="0" w:space="0" w:color="auto"/>
        <w:right w:val="none" w:sz="0" w:space="0" w:color="auto"/>
      </w:divBdr>
    </w:div>
    <w:div w:id="224343636">
      <w:bodyDiv w:val="1"/>
      <w:marLeft w:val="0"/>
      <w:marRight w:val="0"/>
      <w:marTop w:val="0"/>
      <w:marBottom w:val="0"/>
      <w:divBdr>
        <w:top w:val="none" w:sz="0" w:space="0" w:color="auto"/>
        <w:left w:val="none" w:sz="0" w:space="0" w:color="auto"/>
        <w:bottom w:val="none" w:sz="0" w:space="0" w:color="auto"/>
        <w:right w:val="none" w:sz="0" w:space="0" w:color="auto"/>
      </w:divBdr>
    </w:div>
    <w:div w:id="286546695">
      <w:bodyDiv w:val="1"/>
      <w:marLeft w:val="0"/>
      <w:marRight w:val="0"/>
      <w:marTop w:val="0"/>
      <w:marBottom w:val="0"/>
      <w:divBdr>
        <w:top w:val="none" w:sz="0" w:space="0" w:color="auto"/>
        <w:left w:val="none" w:sz="0" w:space="0" w:color="auto"/>
        <w:bottom w:val="none" w:sz="0" w:space="0" w:color="auto"/>
        <w:right w:val="none" w:sz="0" w:space="0" w:color="auto"/>
      </w:divBdr>
    </w:div>
    <w:div w:id="320356031">
      <w:bodyDiv w:val="1"/>
      <w:marLeft w:val="0"/>
      <w:marRight w:val="0"/>
      <w:marTop w:val="0"/>
      <w:marBottom w:val="0"/>
      <w:divBdr>
        <w:top w:val="none" w:sz="0" w:space="0" w:color="auto"/>
        <w:left w:val="none" w:sz="0" w:space="0" w:color="auto"/>
        <w:bottom w:val="none" w:sz="0" w:space="0" w:color="auto"/>
        <w:right w:val="none" w:sz="0" w:space="0" w:color="auto"/>
      </w:divBdr>
    </w:div>
    <w:div w:id="350880640">
      <w:bodyDiv w:val="1"/>
      <w:marLeft w:val="0"/>
      <w:marRight w:val="0"/>
      <w:marTop w:val="0"/>
      <w:marBottom w:val="0"/>
      <w:divBdr>
        <w:top w:val="none" w:sz="0" w:space="0" w:color="auto"/>
        <w:left w:val="none" w:sz="0" w:space="0" w:color="auto"/>
        <w:bottom w:val="none" w:sz="0" w:space="0" w:color="auto"/>
        <w:right w:val="none" w:sz="0" w:space="0" w:color="auto"/>
      </w:divBdr>
    </w:div>
    <w:div w:id="365105350">
      <w:bodyDiv w:val="1"/>
      <w:marLeft w:val="0"/>
      <w:marRight w:val="0"/>
      <w:marTop w:val="0"/>
      <w:marBottom w:val="0"/>
      <w:divBdr>
        <w:top w:val="none" w:sz="0" w:space="0" w:color="auto"/>
        <w:left w:val="none" w:sz="0" w:space="0" w:color="auto"/>
        <w:bottom w:val="none" w:sz="0" w:space="0" w:color="auto"/>
        <w:right w:val="none" w:sz="0" w:space="0" w:color="auto"/>
      </w:divBdr>
    </w:div>
    <w:div w:id="371736320">
      <w:bodyDiv w:val="1"/>
      <w:marLeft w:val="0"/>
      <w:marRight w:val="0"/>
      <w:marTop w:val="0"/>
      <w:marBottom w:val="0"/>
      <w:divBdr>
        <w:top w:val="none" w:sz="0" w:space="0" w:color="auto"/>
        <w:left w:val="none" w:sz="0" w:space="0" w:color="auto"/>
        <w:bottom w:val="none" w:sz="0" w:space="0" w:color="auto"/>
        <w:right w:val="none" w:sz="0" w:space="0" w:color="auto"/>
      </w:divBdr>
    </w:div>
    <w:div w:id="380984129">
      <w:bodyDiv w:val="1"/>
      <w:marLeft w:val="0"/>
      <w:marRight w:val="0"/>
      <w:marTop w:val="0"/>
      <w:marBottom w:val="0"/>
      <w:divBdr>
        <w:top w:val="none" w:sz="0" w:space="0" w:color="auto"/>
        <w:left w:val="none" w:sz="0" w:space="0" w:color="auto"/>
        <w:bottom w:val="none" w:sz="0" w:space="0" w:color="auto"/>
        <w:right w:val="none" w:sz="0" w:space="0" w:color="auto"/>
      </w:divBdr>
    </w:div>
    <w:div w:id="399719979">
      <w:bodyDiv w:val="1"/>
      <w:marLeft w:val="0"/>
      <w:marRight w:val="0"/>
      <w:marTop w:val="0"/>
      <w:marBottom w:val="0"/>
      <w:divBdr>
        <w:top w:val="none" w:sz="0" w:space="0" w:color="auto"/>
        <w:left w:val="none" w:sz="0" w:space="0" w:color="auto"/>
        <w:bottom w:val="none" w:sz="0" w:space="0" w:color="auto"/>
        <w:right w:val="none" w:sz="0" w:space="0" w:color="auto"/>
      </w:divBdr>
    </w:div>
    <w:div w:id="438256221">
      <w:bodyDiv w:val="1"/>
      <w:marLeft w:val="0"/>
      <w:marRight w:val="0"/>
      <w:marTop w:val="0"/>
      <w:marBottom w:val="0"/>
      <w:divBdr>
        <w:top w:val="none" w:sz="0" w:space="0" w:color="auto"/>
        <w:left w:val="none" w:sz="0" w:space="0" w:color="auto"/>
        <w:bottom w:val="none" w:sz="0" w:space="0" w:color="auto"/>
        <w:right w:val="none" w:sz="0" w:space="0" w:color="auto"/>
      </w:divBdr>
    </w:div>
    <w:div w:id="548151169">
      <w:bodyDiv w:val="1"/>
      <w:marLeft w:val="0"/>
      <w:marRight w:val="0"/>
      <w:marTop w:val="0"/>
      <w:marBottom w:val="0"/>
      <w:divBdr>
        <w:top w:val="none" w:sz="0" w:space="0" w:color="auto"/>
        <w:left w:val="none" w:sz="0" w:space="0" w:color="auto"/>
        <w:bottom w:val="none" w:sz="0" w:space="0" w:color="auto"/>
        <w:right w:val="none" w:sz="0" w:space="0" w:color="auto"/>
      </w:divBdr>
    </w:div>
    <w:div w:id="677467622">
      <w:bodyDiv w:val="1"/>
      <w:marLeft w:val="0"/>
      <w:marRight w:val="0"/>
      <w:marTop w:val="0"/>
      <w:marBottom w:val="0"/>
      <w:divBdr>
        <w:top w:val="none" w:sz="0" w:space="0" w:color="auto"/>
        <w:left w:val="none" w:sz="0" w:space="0" w:color="auto"/>
        <w:bottom w:val="none" w:sz="0" w:space="0" w:color="auto"/>
        <w:right w:val="none" w:sz="0" w:space="0" w:color="auto"/>
      </w:divBdr>
    </w:div>
    <w:div w:id="682778011">
      <w:bodyDiv w:val="1"/>
      <w:marLeft w:val="0"/>
      <w:marRight w:val="0"/>
      <w:marTop w:val="0"/>
      <w:marBottom w:val="0"/>
      <w:divBdr>
        <w:top w:val="none" w:sz="0" w:space="0" w:color="auto"/>
        <w:left w:val="none" w:sz="0" w:space="0" w:color="auto"/>
        <w:bottom w:val="none" w:sz="0" w:space="0" w:color="auto"/>
        <w:right w:val="none" w:sz="0" w:space="0" w:color="auto"/>
      </w:divBdr>
    </w:div>
    <w:div w:id="908881438">
      <w:bodyDiv w:val="1"/>
      <w:marLeft w:val="0"/>
      <w:marRight w:val="0"/>
      <w:marTop w:val="0"/>
      <w:marBottom w:val="0"/>
      <w:divBdr>
        <w:top w:val="none" w:sz="0" w:space="0" w:color="auto"/>
        <w:left w:val="none" w:sz="0" w:space="0" w:color="auto"/>
        <w:bottom w:val="none" w:sz="0" w:space="0" w:color="auto"/>
        <w:right w:val="none" w:sz="0" w:space="0" w:color="auto"/>
      </w:divBdr>
    </w:div>
    <w:div w:id="963853260">
      <w:bodyDiv w:val="1"/>
      <w:marLeft w:val="0"/>
      <w:marRight w:val="0"/>
      <w:marTop w:val="0"/>
      <w:marBottom w:val="0"/>
      <w:divBdr>
        <w:top w:val="none" w:sz="0" w:space="0" w:color="auto"/>
        <w:left w:val="none" w:sz="0" w:space="0" w:color="auto"/>
        <w:bottom w:val="none" w:sz="0" w:space="0" w:color="auto"/>
        <w:right w:val="none" w:sz="0" w:space="0" w:color="auto"/>
      </w:divBdr>
    </w:div>
    <w:div w:id="971983455">
      <w:bodyDiv w:val="1"/>
      <w:marLeft w:val="0"/>
      <w:marRight w:val="0"/>
      <w:marTop w:val="0"/>
      <w:marBottom w:val="0"/>
      <w:divBdr>
        <w:top w:val="none" w:sz="0" w:space="0" w:color="auto"/>
        <w:left w:val="none" w:sz="0" w:space="0" w:color="auto"/>
        <w:bottom w:val="none" w:sz="0" w:space="0" w:color="auto"/>
        <w:right w:val="none" w:sz="0" w:space="0" w:color="auto"/>
      </w:divBdr>
    </w:div>
    <w:div w:id="1008943657">
      <w:bodyDiv w:val="1"/>
      <w:marLeft w:val="0"/>
      <w:marRight w:val="0"/>
      <w:marTop w:val="0"/>
      <w:marBottom w:val="0"/>
      <w:divBdr>
        <w:top w:val="none" w:sz="0" w:space="0" w:color="auto"/>
        <w:left w:val="none" w:sz="0" w:space="0" w:color="auto"/>
        <w:bottom w:val="none" w:sz="0" w:space="0" w:color="auto"/>
        <w:right w:val="none" w:sz="0" w:space="0" w:color="auto"/>
      </w:divBdr>
    </w:div>
    <w:div w:id="1116942481">
      <w:bodyDiv w:val="1"/>
      <w:marLeft w:val="0"/>
      <w:marRight w:val="0"/>
      <w:marTop w:val="0"/>
      <w:marBottom w:val="0"/>
      <w:divBdr>
        <w:top w:val="none" w:sz="0" w:space="0" w:color="auto"/>
        <w:left w:val="none" w:sz="0" w:space="0" w:color="auto"/>
        <w:bottom w:val="none" w:sz="0" w:space="0" w:color="auto"/>
        <w:right w:val="none" w:sz="0" w:space="0" w:color="auto"/>
      </w:divBdr>
    </w:div>
    <w:div w:id="1389232391">
      <w:bodyDiv w:val="1"/>
      <w:marLeft w:val="0"/>
      <w:marRight w:val="0"/>
      <w:marTop w:val="0"/>
      <w:marBottom w:val="0"/>
      <w:divBdr>
        <w:top w:val="none" w:sz="0" w:space="0" w:color="auto"/>
        <w:left w:val="none" w:sz="0" w:space="0" w:color="auto"/>
        <w:bottom w:val="none" w:sz="0" w:space="0" w:color="auto"/>
        <w:right w:val="none" w:sz="0" w:space="0" w:color="auto"/>
      </w:divBdr>
    </w:div>
    <w:div w:id="1500729992">
      <w:bodyDiv w:val="1"/>
      <w:marLeft w:val="0"/>
      <w:marRight w:val="0"/>
      <w:marTop w:val="0"/>
      <w:marBottom w:val="0"/>
      <w:divBdr>
        <w:top w:val="none" w:sz="0" w:space="0" w:color="auto"/>
        <w:left w:val="none" w:sz="0" w:space="0" w:color="auto"/>
        <w:bottom w:val="none" w:sz="0" w:space="0" w:color="auto"/>
        <w:right w:val="none" w:sz="0" w:space="0" w:color="auto"/>
      </w:divBdr>
    </w:div>
    <w:div w:id="1610969442">
      <w:bodyDiv w:val="1"/>
      <w:marLeft w:val="0"/>
      <w:marRight w:val="0"/>
      <w:marTop w:val="0"/>
      <w:marBottom w:val="0"/>
      <w:divBdr>
        <w:top w:val="none" w:sz="0" w:space="0" w:color="auto"/>
        <w:left w:val="none" w:sz="0" w:space="0" w:color="auto"/>
        <w:bottom w:val="none" w:sz="0" w:space="0" w:color="auto"/>
        <w:right w:val="none" w:sz="0" w:space="0" w:color="auto"/>
      </w:divBdr>
    </w:div>
    <w:div w:id="1795057889">
      <w:bodyDiv w:val="1"/>
      <w:marLeft w:val="0"/>
      <w:marRight w:val="0"/>
      <w:marTop w:val="0"/>
      <w:marBottom w:val="0"/>
      <w:divBdr>
        <w:top w:val="none" w:sz="0" w:space="0" w:color="auto"/>
        <w:left w:val="none" w:sz="0" w:space="0" w:color="auto"/>
        <w:bottom w:val="none" w:sz="0" w:space="0" w:color="auto"/>
        <w:right w:val="none" w:sz="0" w:space="0" w:color="auto"/>
      </w:divBdr>
    </w:div>
    <w:div w:id="1862621535">
      <w:bodyDiv w:val="1"/>
      <w:marLeft w:val="0"/>
      <w:marRight w:val="0"/>
      <w:marTop w:val="0"/>
      <w:marBottom w:val="0"/>
      <w:divBdr>
        <w:top w:val="none" w:sz="0" w:space="0" w:color="auto"/>
        <w:left w:val="none" w:sz="0" w:space="0" w:color="auto"/>
        <w:bottom w:val="none" w:sz="0" w:space="0" w:color="auto"/>
        <w:right w:val="none" w:sz="0" w:space="0" w:color="auto"/>
      </w:divBdr>
    </w:div>
    <w:div w:id="1895314355">
      <w:bodyDiv w:val="1"/>
      <w:marLeft w:val="0"/>
      <w:marRight w:val="0"/>
      <w:marTop w:val="0"/>
      <w:marBottom w:val="0"/>
      <w:divBdr>
        <w:top w:val="none" w:sz="0" w:space="0" w:color="auto"/>
        <w:left w:val="none" w:sz="0" w:space="0" w:color="auto"/>
        <w:bottom w:val="none" w:sz="0" w:space="0" w:color="auto"/>
        <w:right w:val="none" w:sz="0" w:space="0" w:color="auto"/>
      </w:divBdr>
    </w:div>
    <w:div w:id="1984046193">
      <w:bodyDiv w:val="1"/>
      <w:marLeft w:val="0"/>
      <w:marRight w:val="0"/>
      <w:marTop w:val="0"/>
      <w:marBottom w:val="0"/>
      <w:divBdr>
        <w:top w:val="none" w:sz="0" w:space="0" w:color="auto"/>
        <w:left w:val="none" w:sz="0" w:space="0" w:color="auto"/>
        <w:bottom w:val="none" w:sz="0" w:space="0" w:color="auto"/>
        <w:right w:val="none" w:sz="0" w:space="0" w:color="auto"/>
      </w:divBdr>
    </w:div>
    <w:div w:id="2018845966">
      <w:bodyDiv w:val="1"/>
      <w:marLeft w:val="0"/>
      <w:marRight w:val="0"/>
      <w:marTop w:val="0"/>
      <w:marBottom w:val="0"/>
      <w:divBdr>
        <w:top w:val="none" w:sz="0" w:space="0" w:color="auto"/>
        <w:left w:val="none" w:sz="0" w:space="0" w:color="auto"/>
        <w:bottom w:val="none" w:sz="0" w:space="0" w:color="auto"/>
        <w:right w:val="none" w:sz="0" w:space="0" w:color="auto"/>
      </w:divBdr>
    </w:div>
    <w:div w:id="210823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F400B-09F2-4619-A53C-968532E3C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15</Pages>
  <Words>4654</Words>
  <Characters>26531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10</cp:revision>
  <dcterms:created xsi:type="dcterms:W3CDTF">2025-07-16T15:43:00Z</dcterms:created>
  <dcterms:modified xsi:type="dcterms:W3CDTF">2025-07-16T16:01:00Z</dcterms:modified>
</cp:coreProperties>
</file>