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9D728" w14:textId="77777777" w:rsidR="00E93274" w:rsidRPr="00DA2E13" w:rsidRDefault="00E93274" w:rsidP="00E9327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210134B" w14:textId="77777777" w:rsidR="00E93274" w:rsidRPr="00DA2E13" w:rsidRDefault="00E93274" w:rsidP="00E9327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B4F5C7E" w14:textId="13DD0AE4"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The steel industry plays a pivotal role in the economic development of any nation, acting as a backbone for infrastructure, construction, manufacturing, and various other sectors. It is considered one of the core sectors due to its extensive use in producing machinery, automobiles, railways, and household appliances, among others. The financial health of steel companies is critical not only to the companies themselves but also to the wider economy because fluctuations in their performance often mirror broader industrial trends. </w:t>
      </w:r>
      <w:proofErr w:type="spellStart"/>
      <w:r w:rsidRPr="00E93274">
        <w:rPr>
          <w:rFonts w:ascii="Times New Roman" w:hAnsi="Times New Roman" w:cs="Times New Roman"/>
          <w:sz w:val="24"/>
          <w:szCs w:val="24"/>
        </w:rPr>
        <w:t>Analyzing</w:t>
      </w:r>
      <w:proofErr w:type="spellEnd"/>
      <w:r w:rsidRPr="00E93274">
        <w:rPr>
          <w:rFonts w:ascii="Times New Roman" w:hAnsi="Times New Roman" w:cs="Times New Roman"/>
          <w:sz w:val="24"/>
          <w:szCs w:val="24"/>
        </w:rPr>
        <w:t xml:space="preserve"> the financial statements of steel companies is essential to understanding their operational efficiency, profitability, liquidity, and overall financial stability. Financial statements provide comprehensive information about a company’s financial position, performance, and cash flows, enabling stakeholders—such as investors, creditors, management, and policymakers—to make informed decisions.</w:t>
      </w:r>
    </w:p>
    <w:p w14:paraId="2E9C3AA5" w14:textId="21833469"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The steel industry is highly capital-intensive and is characterized by significant investments in plant and machinery, raw materials, </w:t>
      </w:r>
      <w:proofErr w:type="spellStart"/>
      <w:r w:rsidRPr="00E93274">
        <w:rPr>
          <w:rFonts w:ascii="Times New Roman" w:hAnsi="Times New Roman" w:cs="Times New Roman"/>
          <w:sz w:val="24"/>
          <w:szCs w:val="24"/>
        </w:rPr>
        <w:t>labor</w:t>
      </w:r>
      <w:proofErr w:type="spellEnd"/>
      <w:r w:rsidRPr="00E93274">
        <w:rPr>
          <w:rFonts w:ascii="Times New Roman" w:hAnsi="Times New Roman" w:cs="Times New Roman"/>
          <w:sz w:val="24"/>
          <w:szCs w:val="24"/>
        </w:rPr>
        <w:t>, and energy. Due to the cyclical nature of the industry, steel companies often face challenges such as fluctuating raw material prices, changing demand patterns, intense competition, and regulatory pressures. These challenges make financial statement analysis all the more important, as it provides insights into how effectively a company is managing its resources, controlling costs, and generating profits amidst market volatility.</w:t>
      </w:r>
    </w:p>
    <w:p w14:paraId="3A82A2EF" w14:textId="3C35CCF4"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This study aims to </w:t>
      </w:r>
      <w:proofErr w:type="spellStart"/>
      <w:r w:rsidRPr="00E93274">
        <w:rPr>
          <w:rFonts w:ascii="Times New Roman" w:hAnsi="Times New Roman" w:cs="Times New Roman"/>
          <w:sz w:val="24"/>
          <w:szCs w:val="24"/>
        </w:rPr>
        <w:t>analyze</w:t>
      </w:r>
      <w:proofErr w:type="spellEnd"/>
      <w:r w:rsidRPr="00E93274">
        <w:rPr>
          <w:rFonts w:ascii="Times New Roman" w:hAnsi="Times New Roman" w:cs="Times New Roman"/>
          <w:sz w:val="24"/>
          <w:szCs w:val="24"/>
        </w:rPr>
        <w:t xml:space="preserve"> the financial statements of a selected steel company to assess its financial performance over a specific period. It involves a detailed examination of the balance sheet, income statement, and cash flow statement to evaluate key financial parameters such as liquidity, solvency, profitability, and operational efficiency. The study also seeks to identify trends and patterns that highlight the strengths and weaknesses of the company’s financial position, enabling stakeholders to understand the sustainability of its business model.</w:t>
      </w:r>
    </w:p>
    <w:p w14:paraId="40B1803E" w14:textId="2A9FAFE6"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Financial statement analysis in the steel industry also helps in benchmarking the company against its peers and industry standards. Given the global nature of steel markets, companies must consistently perform well to compete with international players. The financial data not only reflects past performance but also serves as a predictive tool for future prospects, guiding strategic decisions related to expansion, diversification, cost management, and capital structure.</w:t>
      </w:r>
    </w:p>
    <w:p w14:paraId="7491A70F" w14:textId="66FE0A7A"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93274">
        <w:rPr>
          <w:rFonts w:ascii="Times New Roman" w:hAnsi="Times New Roman" w:cs="Times New Roman"/>
          <w:sz w:val="24"/>
          <w:szCs w:val="24"/>
        </w:rPr>
        <w:t>Moreover, the steel industry is subject to various external factors such as government policies, tariffs, environmental regulations, and global economic conditions, all of which have a direct impact on financial performance. By conducting a thorough financial statement analysis, this study aims to uncover how these external influences affect the company’s financial health and identify areas where improvements are necessary.</w:t>
      </w:r>
    </w:p>
    <w:p w14:paraId="12C2D0CE" w14:textId="47B2DFDD"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In addition, the study highlights the importance of transparency and accuracy in financial reporting, which fosters investor confidence and aids in attracting capital. It emphasizes the role of financial analysis in risk assessment, credit evaluation, and corporate governance, which are crucial for sustaining long-term growth.</w:t>
      </w:r>
    </w:p>
    <w:p w14:paraId="066FA5E8" w14:textId="39E98936" w:rsidR="00E93274" w:rsidRDefault="00E93274" w:rsidP="00E93274">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 xml:space="preserve">What are the benefits </w:t>
      </w:r>
      <w:proofErr w:type="gramStart"/>
      <w:r w:rsidRPr="00DA2E13">
        <w:rPr>
          <w:rFonts w:ascii="Times New Roman" w:hAnsi="Times New Roman" w:cs="Times New Roman"/>
          <w:b/>
          <w:sz w:val="24"/>
          <w:szCs w:val="24"/>
          <w:lang w:val="en-US"/>
        </w:rPr>
        <w:t>of</w:t>
      </w:r>
      <w:r w:rsidRPr="00087ED4">
        <w:t xml:space="preserve"> </w:t>
      </w:r>
      <w:r>
        <w:rPr>
          <w:rFonts w:ascii="Times New Roman" w:hAnsi="Times New Roman" w:cs="Times New Roman"/>
          <w:b/>
          <w:sz w:val="24"/>
          <w:szCs w:val="24"/>
        </w:rPr>
        <w:t xml:space="preserve"> </w:t>
      </w:r>
      <w:r w:rsidRPr="00E93274">
        <w:rPr>
          <w:rFonts w:ascii="Times New Roman" w:hAnsi="Times New Roman" w:cs="Times New Roman"/>
          <w:b/>
          <w:sz w:val="24"/>
          <w:szCs w:val="24"/>
        </w:rPr>
        <w:t>financial</w:t>
      </w:r>
      <w:proofErr w:type="gramEnd"/>
      <w:r w:rsidRPr="00E93274">
        <w:rPr>
          <w:rFonts w:ascii="Times New Roman" w:hAnsi="Times New Roman" w:cs="Times New Roman"/>
          <w:b/>
          <w:sz w:val="24"/>
          <w:szCs w:val="24"/>
        </w:rPr>
        <w:t xml:space="preserve"> statement in steel</w:t>
      </w:r>
      <w:r w:rsidRPr="00DA2E13">
        <w:rPr>
          <w:rFonts w:ascii="Times New Roman" w:hAnsi="Times New Roman" w:cs="Times New Roman"/>
          <w:b/>
          <w:sz w:val="24"/>
          <w:szCs w:val="24"/>
          <w:lang w:val="en-US"/>
        </w:rPr>
        <w:t>?</w:t>
      </w:r>
    </w:p>
    <w:p w14:paraId="2FB58650"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study provides a clear understanding of the steel company’s financial health by examining key indicators such as profitability, liquidity, and solvency. This helps stakeholders make informed decisions regarding investment, lending, and management strategies.</w:t>
      </w:r>
    </w:p>
    <w:p w14:paraId="61EE6967"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It aids the management in identifying areas of financial strength and weakness, allowing them to implement corrective measures to improve operational efficiency and resource utilization. This leads to better financial planning and cost control.</w:t>
      </w:r>
    </w:p>
    <w:p w14:paraId="124E730E"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 xml:space="preserve">By </w:t>
      </w:r>
      <w:proofErr w:type="spellStart"/>
      <w:r w:rsidRPr="00E93274">
        <w:rPr>
          <w:rFonts w:ascii="Times New Roman" w:hAnsi="Times New Roman" w:cs="Times New Roman"/>
          <w:sz w:val="24"/>
          <w:szCs w:val="24"/>
        </w:rPr>
        <w:t>analyzing</w:t>
      </w:r>
      <w:proofErr w:type="spellEnd"/>
      <w:r w:rsidRPr="00E93274">
        <w:rPr>
          <w:rFonts w:ascii="Times New Roman" w:hAnsi="Times New Roman" w:cs="Times New Roman"/>
          <w:sz w:val="24"/>
          <w:szCs w:val="24"/>
        </w:rPr>
        <w:t xml:space="preserve"> financial trends over a period, the study enables forecasting of future performance and helps in strategic decision-making. This proactive approach can safeguard the company against potential financial risks and market fluctuations.</w:t>
      </w:r>
    </w:p>
    <w:p w14:paraId="66A0A35F"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research facilitates comparison with industry benchmarks, providing insights into how well the company performs relative to its competitors. Such benchmarking is crucial for maintaining competitiveness in the global steel market.</w:t>
      </w:r>
    </w:p>
    <w:p w14:paraId="3BA851B2"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Investors benefit from the study as it enhances their ability to evaluate the company’s potential for growth and profitability. This increases investor confidence and can attract more capital for expansion and innovation.</w:t>
      </w:r>
    </w:p>
    <w:p w14:paraId="4352FFDE"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study promotes transparency and accountability in financial reporting, which are essential for building trust among shareholders, creditors, and other stakeholders. This also supports compliance with regulatory requirements.</w:t>
      </w:r>
    </w:p>
    <w:p w14:paraId="622EB832" w14:textId="77777777" w:rsidR="00E93274" w:rsidRPr="00E93274" w:rsidRDefault="00E93274" w:rsidP="00E93274">
      <w:pPr>
        <w:pStyle w:val="ListParagraph"/>
        <w:numPr>
          <w:ilvl w:val="0"/>
          <w:numId w:val="1"/>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 xml:space="preserve">Finally, the analysis supports better credit evaluation by financial institutions, helping the company secure funding at </w:t>
      </w:r>
      <w:proofErr w:type="spellStart"/>
      <w:r w:rsidRPr="00E93274">
        <w:rPr>
          <w:rFonts w:ascii="Times New Roman" w:hAnsi="Times New Roman" w:cs="Times New Roman"/>
          <w:sz w:val="24"/>
          <w:szCs w:val="24"/>
        </w:rPr>
        <w:t>favorable</w:t>
      </w:r>
      <w:proofErr w:type="spellEnd"/>
      <w:r w:rsidRPr="00E93274">
        <w:rPr>
          <w:rFonts w:ascii="Times New Roman" w:hAnsi="Times New Roman" w:cs="Times New Roman"/>
          <w:sz w:val="24"/>
          <w:szCs w:val="24"/>
        </w:rPr>
        <w:t xml:space="preserve"> terms. It also contributes to stronger corporate governance by highlighting financial risks and encouraging responsible management.</w:t>
      </w:r>
    </w:p>
    <w:p w14:paraId="2B144749" w14:textId="3CDF20BA" w:rsidR="00E93274" w:rsidRDefault="00E93274" w:rsidP="00E93274">
      <w:pPr>
        <w:spacing w:line="360" w:lineRule="auto"/>
        <w:jc w:val="both"/>
        <w:rPr>
          <w:rFonts w:ascii="Times New Roman" w:hAnsi="Times New Roman" w:cs="Times New Roman"/>
          <w:b/>
          <w:sz w:val="24"/>
          <w:szCs w:val="24"/>
        </w:rPr>
      </w:pPr>
      <w:r w:rsidRPr="00E93274">
        <w:rPr>
          <w:rFonts w:ascii="Times New Roman" w:hAnsi="Times New Roman" w:cs="Times New Roman"/>
          <w:b/>
          <w:sz w:val="24"/>
          <w:szCs w:val="24"/>
        </w:rPr>
        <w:lastRenderedPageBreak/>
        <w:t>Financial statement in steel</w:t>
      </w:r>
      <w:r>
        <w:rPr>
          <w:rFonts w:ascii="Times New Roman" w:hAnsi="Times New Roman" w:cs="Times New Roman"/>
          <w:b/>
          <w:sz w:val="24"/>
          <w:szCs w:val="24"/>
        </w:rPr>
        <w:t xml:space="preserve"> </w:t>
      </w:r>
      <w:r w:rsidRPr="00E93274">
        <w:rPr>
          <w:rFonts w:ascii="Times New Roman" w:hAnsi="Times New Roman" w:cs="Times New Roman"/>
          <w:b/>
          <w:sz w:val="24"/>
          <w:szCs w:val="24"/>
        </w:rPr>
        <w:t>advantages</w:t>
      </w:r>
    </w:p>
    <w:p w14:paraId="11AD9908"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This study enables a comprehensive evaluation of the steel company’s financial position, helping stakeholders understand its ability to generate profits and manage debts effectively. Such clarity supports sound investment and operational decisions.</w:t>
      </w:r>
    </w:p>
    <w:p w14:paraId="4BD486D8"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It helps management identify inefficiencies in cost control, working capital management, and asset utilization. By addressing these areas, the company can improve profitability and overall financial stability in a competitive industry.</w:t>
      </w:r>
    </w:p>
    <w:p w14:paraId="3345FC7D"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The analysis assists in detecting early warning signs of financial distress, allowing timely corrective actions. This proactive approach reduces the risk of insolvency and promotes long-term sustainability.</w:t>
      </w:r>
    </w:p>
    <w:p w14:paraId="1EF41018"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By benchmarking the company’s financial ratios against industry standards, the study highlights areas where the company excels or lags behind. This comparative insight is crucial for strategic planning and maintaining a competitive edge.</w:t>
      </w:r>
    </w:p>
    <w:p w14:paraId="141A238A"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The study facilitates better communication with investors, creditors, and regulatory bodies by providing transparent and accurate financial information. This enhances credibility and builds trust among all stakeholders.</w:t>
      </w:r>
    </w:p>
    <w:p w14:paraId="49D22F29"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It also serves as a useful tool for assessing the impact of external factors such as market trends, government policies, and economic shifts on the company’s financial health. This awareness enables better risk management and adaptive strategies.</w:t>
      </w:r>
    </w:p>
    <w:p w14:paraId="1F68236B" w14:textId="77777777" w:rsidR="00E93274" w:rsidRPr="00E93274" w:rsidRDefault="00E93274" w:rsidP="00E93274">
      <w:pPr>
        <w:pStyle w:val="ListParagraph"/>
        <w:numPr>
          <w:ilvl w:val="0"/>
          <w:numId w:val="2"/>
        </w:numPr>
        <w:spacing w:line="360" w:lineRule="auto"/>
        <w:jc w:val="both"/>
        <w:rPr>
          <w:rFonts w:ascii="Times New Roman" w:hAnsi="Times New Roman" w:cs="Times New Roman"/>
          <w:bCs/>
          <w:sz w:val="24"/>
          <w:szCs w:val="24"/>
        </w:rPr>
      </w:pPr>
      <w:r w:rsidRPr="00E93274">
        <w:rPr>
          <w:rFonts w:ascii="Times New Roman" w:hAnsi="Times New Roman" w:cs="Times New Roman"/>
          <w:bCs/>
          <w:sz w:val="24"/>
          <w:szCs w:val="24"/>
        </w:rPr>
        <w:t>Finally, the study supports informed decision-making regarding capital investment, expansion plans, and resource allocation. It lays a foundation for sustainable growth by aligning financial goals with operational capabilities.</w:t>
      </w:r>
    </w:p>
    <w:p w14:paraId="69592C62" w14:textId="77777777" w:rsidR="00E93274" w:rsidRPr="00E93274" w:rsidRDefault="00E93274" w:rsidP="00E93274">
      <w:pPr>
        <w:spacing w:line="360" w:lineRule="auto"/>
        <w:jc w:val="both"/>
        <w:rPr>
          <w:rFonts w:ascii="Times New Roman" w:hAnsi="Times New Roman" w:cs="Times New Roman"/>
          <w:b/>
          <w:sz w:val="24"/>
          <w:szCs w:val="24"/>
        </w:rPr>
      </w:pPr>
    </w:p>
    <w:p w14:paraId="355D3A1F" w14:textId="300B27CC" w:rsidR="00E93274" w:rsidRDefault="00E93274" w:rsidP="00E93274"/>
    <w:p w14:paraId="64F8E26A" w14:textId="77777777" w:rsidR="00E93274" w:rsidRDefault="00E93274" w:rsidP="00E93274"/>
    <w:p w14:paraId="5DDDF8AF" w14:textId="77777777" w:rsidR="00E93274" w:rsidRDefault="00E93274" w:rsidP="00E93274"/>
    <w:p w14:paraId="60103839" w14:textId="77777777" w:rsidR="00E93274" w:rsidRDefault="00E93274" w:rsidP="00E93274"/>
    <w:p w14:paraId="4DD8ACC3" w14:textId="77777777" w:rsidR="00E93274" w:rsidRDefault="00E93274" w:rsidP="00E93274"/>
    <w:p w14:paraId="236FCCCA" w14:textId="77777777" w:rsidR="00E93274" w:rsidRDefault="00E93274" w:rsidP="00E93274"/>
    <w:p w14:paraId="6C981B19" w14:textId="77777777" w:rsidR="00E93274" w:rsidRDefault="00E93274" w:rsidP="00E93274"/>
    <w:p w14:paraId="1EBE50E5" w14:textId="77777777" w:rsidR="00E93274" w:rsidRDefault="00E93274" w:rsidP="00E93274"/>
    <w:p w14:paraId="78735F74" w14:textId="77777777" w:rsidR="00E93274" w:rsidRDefault="00E93274" w:rsidP="00E93274">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726D6805" w14:textId="3B605DA2"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The steel industry is one of the most vital sectors of the global economy, often referred to as the backbone of industrial development. It plays a critical role in infrastructure development, construction, transportation, and manufacturing, making it a key driver of economic growth. Steel is a fundamental material used in various applications ranging from building bridges and skyscrapers to manufacturing automobiles, machinery, appliances, and tools.</w:t>
      </w:r>
    </w:p>
    <w:p w14:paraId="6A3C8A44" w14:textId="29666225"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Globally, the steel industry is highly competitive and capital intensive, involving large-scale production facilities and substantial investments in technology and raw materials. The production of steel typically involves processes such as the blast furnace-basic oxygen furnace (BF-BOF) route and electric arc furnace (EAF) method, with the latter becoming more popular due to environmental considerations.</w:t>
      </w:r>
    </w:p>
    <w:p w14:paraId="2F9135AF" w14:textId="0FB0E017"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The steel industry is cyclical by nature and sensitive to economic fluctuations. Demand for steel is closely tied to economic activities like construction and manufacturing, which tend to slow down during recessions and pick up during periods of growth. This cyclical trend affects steel companies’ financial performance, highlighting the importance of careful financial management and analysis.</w:t>
      </w:r>
    </w:p>
    <w:p w14:paraId="70C55263" w14:textId="75281ADF"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In India, China, Japan, and the United States, the steel industry holds significant importance with numerous large-scale producers operating across these countries. India is among the leading steel producers globally, supported by abundant natural resources like iron ore and coal, skilled </w:t>
      </w:r>
      <w:proofErr w:type="spellStart"/>
      <w:r w:rsidRPr="00E93274">
        <w:rPr>
          <w:rFonts w:ascii="Times New Roman" w:hAnsi="Times New Roman" w:cs="Times New Roman"/>
          <w:sz w:val="24"/>
          <w:szCs w:val="24"/>
        </w:rPr>
        <w:t>labor</w:t>
      </w:r>
      <w:proofErr w:type="spellEnd"/>
      <w:r w:rsidRPr="00E93274">
        <w:rPr>
          <w:rFonts w:ascii="Times New Roman" w:hAnsi="Times New Roman" w:cs="Times New Roman"/>
          <w:sz w:val="24"/>
          <w:szCs w:val="24"/>
        </w:rPr>
        <w:t>, and government policies promoting steel production and infrastructure development.</w:t>
      </w:r>
    </w:p>
    <w:p w14:paraId="5CF69BAC" w14:textId="48DA9E16"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However, the steel industry also faces several challenges including raw material price volatility, energy costs, stringent environmental regulations, and international trade barriers such as tariffs and anti-dumping duties. Companies must continuously innovate and improve operational efficiency to remain competitive and profitable.</w:t>
      </w:r>
    </w:p>
    <w:p w14:paraId="7BBEEB20" w14:textId="45FFED5A"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Technological advancements and sustainable practices are becoming increasingly critical in the industry. The adoption of cleaner production techniques and recycling of scrap steel help in reducing environmental impact while cutting production costs.</w:t>
      </w:r>
    </w:p>
    <w:p w14:paraId="4D38344C" w14:textId="77777777" w:rsidR="00E93274" w:rsidRDefault="00E93274" w:rsidP="00E93274">
      <w:pPr>
        <w:rPr>
          <w:rFonts w:ascii="Times New Roman" w:hAnsi="Times New Roman" w:cs="Times New Roman"/>
          <w:sz w:val="24"/>
          <w:szCs w:val="24"/>
        </w:rPr>
      </w:pPr>
    </w:p>
    <w:p w14:paraId="10271C80" w14:textId="77777777" w:rsidR="00E93274" w:rsidRDefault="00E93274" w:rsidP="00E93274">
      <w:pPr>
        <w:rPr>
          <w:rFonts w:ascii="Times New Roman" w:hAnsi="Times New Roman" w:cs="Times New Roman"/>
          <w:sz w:val="24"/>
          <w:szCs w:val="24"/>
        </w:rPr>
      </w:pPr>
    </w:p>
    <w:p w14:paraId="5C4513F4" w14:textId="77777777" w:rsidR="00E93274" w:rsidRDefault="00E93274" w:rsidP="00E93274">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16FE1C4" w14:textId="4E61F4BB"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The steel industry is characterized by high capital investment, fluctuating raw material costs, and cyclical demand, which collectively pose significant challenges to maintaining consistent financial performance. Steel companies often struggle to balance profitability with operational efficiency while managing risks associated with economic volatility and intense market competition. Despite the industry’s critical role in economic development, many steel firms face difficulties in optimizing their financial resources to sustain growth and meet stakeholder expectations.</w:t>
      </w:r>
    </w:p>
    <w:p w14:paraId="2C34DB85" w14:textId="4CA021DF"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Moreover, the dynamic nature of global steel markets, impacted by factors such as international trade policies, environmental regulations, and technological changes, creates uncertainties that affect the financial stability of steel companies. In such a scenario, an in-depth analysis of financial statements becomes imperative to understand the true financial position of these companies, assess their performance, and identify underlying issues that may hinder profitability or liquidity.</w:t>
      </w:r>
    </w:p>
    <w:p w14:paraId="5898ABF9" w14:textId="77777777" w:rsidR="00E93274" w:rsidRDefault="00E93274" w:rsidP="00E93274">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5977DCE2" w14:textId="527443A9" w:rsidR="00E93274" w:rsidRPr="00E93274" w:rsidRDefault="00E93274" w:rsidP="00E93274">
      <w:pPr>
        <w:pStyle w:val="ListParagraph"/>
        <w:numPr>
          <w:ilvl w:val="0"/>
          <w:numId w:val="2"/>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 xml:space="preserve">The primary objective of this study is to </w:t>
      </w:r>
      <w:proofErr w:type="spellStart"/>
      <w:r w:rsidRPr="00E93274">
        <w:rPr>
          <w:rFonts w:ascii="Times New Roman" w:hAnsi="Times New Roman" w:cs="Times New Roman"/>
          <w:sz w:val="24"/>
          <w:szCs w:val="24"/>
        </w:rPr>
        <w:t>analyze</w:t>
      </w:r>
      <w:proofErr w:type="spellEnd"/>
      <w:r w:rsidRPr="00E93274">
        <w:rPr>
          <w:rFonts w:ascii="Times New Roman" w:hAnsi="Times New Roman" w:cs="Times New Roman"/>
          <w:sz w:val="24"/>
          <w:szCs w:val="24"/>
        </w:rPr>
        <w:t xml:space="preserve"> the financial statements of a selected steel company to assess its profitability, liquidity, solvency, and overall financial health. This will provide a clear picture of the company’s financial position.</w:t>
      </w:r>
    </w:p>
    <w:p w14:paraId="6661C20F" w14:textId="5AC4FDB0" w:rsidR="00E93274" w:rsidRPr="00E93274" w:rsidRDefault="00E93274" w:rsidP="00E93274">
      <w:pPr>
        <w:pStyle w:val="ListParagraph"/>
        <w:numPr>
          <w:ilvl w:val="0"/>
          <w:numId w:val="2"/>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Another objective is to identify financial trends and patterns over a specific period, helping to understand the company’s growth, stability, and areas of concern for better financial management.</w:t>
      </w:r>
    </w:p>
    <w:p w14:paraId="4F5EB23C" w14:textId="38604047" w:rsidR="00E93274" w:rsidRPr="00E93274" w:rsidRDefault="00E93274" w:rsidP="00E93274">
      <w:pPr>
        <w:pStyle w:val="ListParagraph"/>
        <w:numPr>
          <w:ilvl w:val="0"/>
          <w:numId w:val="2"/>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study aims to compare the company’s financial performance with industry benchmarks and competitors to evaluate its competitive standing and identify opportunities for improvement.</w:t>
      </w:r>
    </w:p>
    <w:p w14:paraId="7EE87A24" w14:textId="5B7BCD4E" w:rsidR="00E93274" w:rsidRPr="00E93274" w:rsidRDefault="00E93274" w:rsidP="00E93274">
      <w:pPr>
        <w:pStyle w:val="ListParagraph"/>
        <w:numPr>
          <w:ilvl w:val="0"/>
          <w:numId w:val="2"/>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It seeks to offer valuable insights and recommendations to the company’s management, enabling them to make informed decisions, optimize resource use, and enhance operational and financial efficiency.</w:t>
      </w:r>
    </w:p>
    <w:p w14:paraId="37A2A8D2" w14:textId="18554BF1" w:rsidR="00E93274" w:rsidRPr="00E93274" w:rsidRDefault="00E93274" w:rsidP="00E93274">
      <w:pPr>
        <w:pStyle w:val="ListParagraph"/>
        <w:numPr>
          <w:ilvl w:val="0"/>
          <w:numId w:val="2"/>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Finally, the study intends to assist investors, creditors, and other stakeholders by providing transparent and comprehensive financial information that supports sound investment and lending decisions.</w:t>
      </w:r>
    </w:p>
    <w:p w14:paraId="2576AB82" w14:textId="77777777" w:rsidR="00E93274" w:rsidRDefault="00E93274" w:rsidP="00E93274">
      <w:pPr>
        <w:spacing w:line="360" w:lineRule="auto"/>
        <w:jc w:val="both"/>
        <w:rPr>
          <w:rFonts w:ascii="Times New Roman" w:hAnsi="Times New Roman" w:cs="Times New Roman"/>
          <w:sz w:val="24"/>
          <w:szCs w:val="24"/>
        </w:rPr>
      </w:pPr>
    </w:p>
    <w:p w14:paraId="39CA5018" w14:textId="77777777" w:rsidR="00E93274" w:rsidRDefault="00E93274" w:rsidP="00E93274">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37DF2902" w14:textId="2C982334"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The scope of this study encompasses a detailed financial analysis of a selected steel company, focusing primarily on the examination of its financial statements over a defined period. This includes an evaluation of profitability, liquidity, solvency, and operational efficiency through various financial ratios and trend analyses. The study covers key aspects such as revenue generation, cost management, asset utilization, and capital structure to provide a comprehensive overview of the company’s financial health.</w:t>
      </w:r>
    </w:p>
    <w:p w14:paraId="07350FEA" w14:textId="40740342"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Furthermore, the study extends to comparing the company’s financial performance with industry benchmarks and competitors, providing insights into its relative standing within the steel sector. While the primary focus is on quantitative financial data, the study also considers external factors like market conditions, regulatory environment, and economic trends that influence the company’s financial outcomes.</w:t>
      </w:r>
    </w:p>
    <w:p w14:paraId="19B043D9" w14:textId="41811953"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However, the study is limited to the selected company and the available financial data, and does not include an in-depth qualitative analysis of management practices or operational processes. The findings and recommendations are intended to guide stakeholders in making informed financial decisions but may not be universally applicable to all steel companies due to industry diversity.</w:t>
      </w:r>
    </w:p>
    <w:p w14:paraId="717C46EF" w14:textId="77777777" w:rsidR="00E93274" w:rsidRDefault="00E93274" w:rsidP="00E93274">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5DEC8C7F"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study does not consider the impact of sudden market disruptions such as geopolitical tensions or natural disasters, which can drastically alter the financial landscape of the steel industry. These unpredictable events are difficult to quantify but can influence results significantly.</w:t>
      </w:r>
    </w:p>
    <w:p w14:paraId="56D6CF5C"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 xml:space="preserve">Currency fluctuations and inflationary trends, which affect the cost of raw materials and export-import dynamics, are not deeply </w:t>
      </w:r>
      <w:proofErr w:type="spellStart"/>
      <w:r w:rsidRPr="00E93274">
        <w:rPr>
          <w:rFonts w:ascii="Times New Roman" w:hAnsi="Times New Roman" w:cs="Times New Roman"/>
          <w:sz w:val="24"/>
          <w:szCs w:val="24"/>
        </w:rPr>
        <w:t>analyzed</w:t>
      </w:r>
      <w:proofErr w:type="spellEnd"/>
      <w:r w:rsidRPr="00E93274">
        <w:rPr>
          <w:rFonts w:ascii="Times New Roman" w:hAnsi="Times New Roman" w:cs="Times New Roman"/>
          <w:sz w:val="24"/>
          <w:szCs w:val="24"/>
        </w:rPr>
        <w:t>. These macroeconomic factors often play a crucial role in the profitability of steel companies operating internationally.</w:t>
      </w:r>
    </w:p>
    <w:p w14:paraId="09DDD37E"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Technological advancements and innovation in production processes, which may improve cost efficiency and product quality, are not accounted for in the financial analysis. The study focuses on past financial data and may overlook future growth potential linked to such innovations.</w:t>
      </w:r>
    </w:p>
    <w:p w14:paraId="1E073ECD"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lastRenderedPageBreak/>
        <w:t xml:space="preserve">The study does not </w:t>
      </w:r>
      <w:proofErr w:type="spellStart"/>
      <w:r w:rsidRPr="00E93274">
        <w:rPr>
          <w:rFonts w:ascii="Times New Roman" w:hAnsi="Times New Roman" w:cs="Times New Roman"/>
          <w:sz w:val="24"/>
          <w:szCs w:val="24"/>
        </w:rPr>
        <w:t>analyze</w:t>
      </w:r>
      <w:proofErr w:type="spellEnd"/>
      <w:r w:rsidRPr="00E93274">
        <w:rPr>
          <w:rFonts w:ascii="Times New Roman" w:hAnsi="Times New Roman" w:cs="Times New Roman"/>
          <w:sz w:val="24"/>
          <w:szCs w:val="24"/>
        </w:rPr>
        <w:t xml:space="preserve"> the competitive strategies or market positioning of the company in detail, which are important for understanding the sustainability of financial performance in a highly competitive industry.</w:t>
      </w:r>
    </w:p>
    <w:p w14:paraId="1700F087"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The financial analysis excludes the effect of non-financial factors such as environmental sustainability and corporate social responsibility, which are increasingly influencing investor and consumer perceptions in the steel sector.</w:t>
      </w:r>
    </w:p>
    <w:p w14:paraId="1A182B69" w14:textId="77777777" w:rsidR="00E93274" w:rsidRPr="00E93274" w:rsidRDefault="00E93274" w:rsidP="00E93274">
      <w:pPr>
        <w:pStyle w:val="ListParagraph"/>
        <w:numPr>
          <w:ilvl w:val="0"/>
          <w:numId w:val="4"/>
        </w:numPr>
        <w:spacing w:line="360" w:lineRule="auto"/>
        <w:jc w:val="both"/>
        <w:rPr>
          <w:rFonts w:ascii="Times New Roman" w:hAnsi="Times New Roman" w:cs="Times New Roman"/>
          <w:sz w:val="24"/>
          <w:szCs w:val="24"/>
        </w:rPr>
      </w:pPr>
      <w:r w:rsidRPr="00E93274">
        <w:rPr>
          <w:rFonts w:ascii="Times New Roman" w:hAnsi="Times New Roman" w:cs="Times New Roman"/>
          <w:sz w:val="24"/>
          <w:szCs w:val="24"/>
        </w:rPr>
        <w:t>Lastly, the study’s reliance on publicly available data means certain proprietary or confidential information that could provide deeper insights is inaccessible. This limitation restricts a full understanding of internal company dynamics and strategic initiatives.</w:t>
      </w:r>
    </w:p>
    <w:p w14:paraId="1FDEA6FB" w14:textId="77777777" w:rsidR="00E93274" w:rsidRDefault="00E93274" w:rsidP="00E93274">
      <w:pPr>
        <w:spacing w:line="360" w:lineRule="auto"/>
        <w:jc w:val="both"/>
        <w:rPr>
          <w:rFonts w:ascii="Times New Roman" w:hAnsi="Times New Roman" w:cs="Times New Roman"/>
          <w:sz w:val="24"/>
          <w:szCs w:val="24"/>
        </w:rPr>
      </w:pPr>
    </w:p>
    <w:p w14:paraId="5C7909C5" w14:textId="77777777" w:rsidR="00E93274" w:rsidRDefault="00E93274" w:rsidP="00E93274">
      <w:pPr>
        <w:spacing w:line="360" w:lineRule="auto"/>
        <w:jc w:val="both"/>
        <w:rPr>
          <w:rFonts w:ascii="Times New Roman" w:hAnsi="Times New Roman" w:cs="Times New Roman"/>
          <w:sz w:val="24"/>
          <w:szCs w:val="24"/>
        </w:rPr>
      </w:pPr>
    </w:p>
    <w:p w14:paraId="739B00AE" w14:textId="77777777" w:rsidR="00E93274" w:rsidRDefault="00E93274" w:rsidP="00E93274">
      <w:pPr>
        <w:spacing w:line="360" w:lineRule="auto"/>
        <w:jc w:val="both"/>
        <w:rPr>
          <w:rFonts w:ascii="Times New Roman" w:hAnsi="Times New Roman" w:cs="Times New Roman"/>
          <w:sz w:val="24"/>
          <w:szCs w:val="24"/>
        </w:rPr>
      </w:pPr>
    </w:p>
    <w:p w14:paraId="77668B9A" w14:textId="77777777" w:rsidR="00E93274" w:rsidRDefault="00E93274" w:rsidP="00E93274">
      <w:pPr>
        <w:spacing w:line="360" w:lineRule="auto"/>
        <w:jc w:val="both"/>
        <w:rPr>
          <w:rFonts w:ascii="Times New Roman" w:hAnsi="Times New Roman" w:cs="Times New Roman"/>
          <w:sz w:val="24"/>
          <w:szCs w:val="24"/>
        </w:rPr>
      </w:pPr>
    </w:p>
    <w:p w14:paraId="7928A311" w14:textId="77777777" w:rsidR="00E93274" w:rsidRDefault="00E93274" w:rsidP="00E93274">
      <w:pPr>
        <w:spacing w:line="360" w:lineRule="auto"/>
        <w:jc w:val="both"/>
        <w:rPr>
          <w:rFonts w:ascii="Times New Roman" w:hAnsi="Times New Roman" w:cs="Times New Roman"/>
          <w:sz w:val="24"/>
          <w:szCs w:val="24"/>
        </w:rPr>
      </w:pPr>
    </w:p>
    <w:p w14:paraId="7ACB68F3" w14:textId="77777777" w:rsidR="00E93274" w:rsidRDefault="00E93274" w:rsidP="00E93274">
      <w:pPr>
        <w:spacing w:line="360" w:lineRule="auto"/>
        <w:jc w:val="both"/>
        <w:rPr>
          <w:rFonts w:ascii="Times New Roman" w:hAnsi="Times New Roman" w:cs="Times New Roman"/>
          <w:sz w:val="24"/>
          <w:szCs w:val="24"/>
        </w:rPr>
      </w:pPr>
    </w:p>
    <w:p w14:paraId="7BA53488" w14:textId="77777777" w:rsidR="00E93274" w:rsidRDefault="00E93274" w:rsidP="00E93274">
      <w:pPr>
        <w:spacing w:line="360" w:lineRule="auto"/>
        <w:jc w:val="both"/>
        <w:rPr>
          <w:rFonts w:ascii="Times New Roman" w:hAnsi="Times New Roman" w:cs="Times New Roman"/>
          <w:sz w:val="24"/>
          <w:szCs w:val="24"/>
        </w:rPr>
      </w:pPr>
    </w:p>
    <w:p w14:paraId="44485209" w14:textId="77777777" w:rsidR="00E93274" w:rsidRDefault="00E93274" w:rsidP="00E93274">
      <w:pPr>
        <w:spacing w:line="360" w:lineRule="auto"/>
        <w:jc w:val="both"/>
        <w:rPr>
          <w:rFonts w:ascii="Times New Roman" w:hAnsi="Times New Roman" w:cs="Times New Roman"/>
          <w:sz w:val="24"/>
          <w:szCs w:val="24"/>
        </w:rPr>
      </w:pPr>
    </w:p>
    <w:p w14:paraId="394096CD" w14:textId="77777777" w:rsidR="00E93274" w:rsidRDefault="00E93274" w:rsidP="00E93274">
      <w:pPr>
        <w:spacing w:line="360" w:lineRule="auto"/>
        <w:jc w:val="both"/>
        <w:rPr>
          <w:rFonts w:ascii="Times New Roman" w:hAnsi="Times New Roman" w:cs="Times New Roman"/>
          <w:sz w:val="24"/>
          <w:szCs w:val="24"/>
        </w:rPr>
      </w:pPr>
    </w:p>
    <w:p w14:paraId="7F8AED88" w14:textId="77777777" w:rsidR="00E93274" w:rsidRDefault="00E93274" w:rsidP="00E93274">
      <w:pPr>
        <w:spacing w:line="360" w:lineRule="auto"/>
        <w:jc w:val="both"/>
        <w:rPr>
          <w:rFonts w:ascii="Times New Roman" w:hAnsi="Times New Roman" w:cs="Times New Roman"/>
          <w:sz w:val="24"/>
          <w:szCs w:val="24"/>
        </w:rPr>
      </w:pPr>
    </w:p>
    <w:p w14:paraId="71029813" w14:textId="77777777" w:rsidR="00E93274" w:rsidRDefault="00E93274" w:rsidP="00E93274">
      <w:pPr>
        <w:spacing w:line="360" w:lineRule="auto"/>
        <w:jc w:val="both"/>
        <w:rPr>
          <w:rFonts w:ascii="Times New Roman" w:hAnsi="Times New Roman" w:cs="Times New Roman"/>
          <w:sz w:val="24"/>
          <w:szCs w:val="24"/>
        </w:rPr>
      </w:pPr>
    </w:p>
    <w:p w14:paraId="54674BDE" w14:textId="77777777" w:rsidR="00E93274" w:rsidRDefault="00E93274" w:rsidP="00E93274">
      <w:pPr>
        <w:spacing w:line="360" w:lineRule="auto"/>
        <w:jc w:val="both"/>
        <w:rPr>
          <w:rFonts w:ascii="Times New Roman" w:hAnsi="Times New Roman" w:cs="Times New Roman"/>
          <w:sz w:val="24"/>
          <w:szCs w:val="24"/>
        </w:rPr>
      </w:pPr>
    </w:p>
    <w:p w14:paraId="4F90F8CC" w14:textId="77777777" w:rsidR="00E93274" w:rsidRDefault="00E93274" w:rsidP="00E93274">
      <w:pPr>
        <w:spacing w:line="360" w:lineRule="auto"/>
        <w:jc w:val="both"/>
        <w:rPr>
          <w:rFonts w:ascii="Times New Roman" w:hAnsi="Times New Roman" w:cs="Times New Roman"/>
          <w:sz w:val="24"/>
          <w:szCs w:val="24"/>
        </w:rPr>
      </w:pPr>
    </w:p>
    <w:p w14:paraId="752B22C8" w14:textId="77777777" w:rsidR="00E93274" w:rsidRDefault="00E93274" w:rsidP="00E93274">
      <w:pPr>
        <w:spacing w:line="360" w:lineRule="auto"/>
        <w:jc w:val="both"/>
        <w:rPr>
          <w:rFonts w:ascii="Times New Roman" w:hAnsi="Times New Roman" w:cs="Times New Roman"/>
          <w:sz w:val="24"/>
          <w:szCs w:val="24"/>
        </w:rPr>
      </w:pPr>
    </w:p>
    <w:p w14:paraId="0D0AD0D8" w14:textId="77777777" w:rsidR="00E93274" w:rsidRDefault="00E93274" w:rsidP="00E93274">
      <w:pPr>
        <w:spacing w:line="360" w:lineRule="auto"/>
        <w:jc w:val="both"/>
        <w:rPr>
          <w:rFonts w:ascii="Times New Roman" w:hAnsi="Times New Roman" w:cs="Times New Roman"/>
          <w:sz w:val="24"/>
          <w:szCs w:val="24"/>
        </w:rPr>
      </w:pPr>
    </w:p>
    <w:p w14:paraId="1723100F" w14:textId="77777777" w:rsidR="00E93274" w:rsidRDefault="00E93274" w:rsidP="00E93274">
      <w:pPr>
        <w:spacing w:line="360" w:lineRule="auto"/>
        <w:jc w:val="both"/>
        <w:rPr>
          <w:rFonts w:ascii="Times New Roman" w:hAnsi="Times New Roman" w:cs="Times New Roman"/>
          <w:sz w:val="24"/>
          <w:szCs w:val="24"/>
        </w:rPr>
      </w:pPr>
    </w:p>
    <w:p w14:paraId="26A7FB56" w14:textId="77777777" w:rsidR="00E93274" w:rsidRDefault="00E93274" w:rsidP="00E93274">
      <w:pPr>
        <w:spacing w:line="360" w:lineRule="auto"/>
        <w:jc w:val="both"/>
        <w:rPr>
          <w:rFonts w:ascii="Times New Roman" w:hAnsi="Times New Roman" w:cs="Times New Roman"/>
          <w:sz w:val="24"/>
          <w:szCs w:val="24"/>
        </w:rPr>
      </w:pPr>
    </w:p>
    <w:p w14:paraId="356939CC" w14:textId="77777777" w:rsidR="00E93274" w:rsidRPr="00AD7255" w:rsidRDefault="00E93274" w:rsidP="00E9327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20DB07C6" w14:textId="77777777" w:rsidR="00E93274" w:rsidRDefault="00E93274" w:rsidP="00E9327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72200A3A" w14:textId="1696743F" w:rsidR="00E93274" w:rsidRPr="00E93274" w:rsidRDefault="008F053C"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93274" w:rsidRPr="00E93274">
        <w:rPr>
          <w:rFonts w:ascii="Times New Roman" w:hAnsi="Times New Roman" w:cs="Times New Roman"/>
          <w:sz w:val="24"/>
          <w:szCs w:val="24"/>
        </w:rPr>
        <w:t>The review of literature serves as a foundation for understanding the existing research and theoretical perspectives related to financial statement analysis, especially within the steel industry. Numerous researchers and scholars have emphasized the importance of financial analysis as a tool to evaluate a company’s economic health, operational efficiency, and growth potential.</w:t>
      </w:r>
    </w:p>
    <w:p w14:paraId="52354CE7" w14:textId="04B6E1B6" w:rsidR="00E93274" w:rsidRPr="00E93274" w:rsidRDefault="008F053C" w:rsidP="00E9327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E93274" w:rsidRPr="00E93274">
        <w:rPr>
          <w:rFonts w:ascii="Times New Roman" w:hAnsi="Times New Roman" w:cs="Times New Roman"/>
          <w:b/>
          <w:bCs/>
          <w:sz w:val="24"/>
          <w:szCs w:val="24"/>
        </w:rPr>
        <w:t>Pandey (2005)</w:t>
      </w:r>
      <w:r w:rsidR="00E93274" w:rsidRPr="00E93274">
        <w:rPr>
          <w:rFonts w:ascii="Times New Roman" w:hAnsi="Times New Roman" w:cs="Times New Roman"/>
          <w:sz w:val="24"/>
          <w:szCs w:val="24"/>
        </w:rPr>
        <w:t xml:space="preserve"> highlighted that financial statement analysis provides critical insights into liquidity, profitability, solvency, and operational efficiency, enabling stakeholders to make informed financial decisions. His work underscores the role of ratio analysis, trend analysis, and comparative statements as essential tools in financial evaluation.</w:t>
      </w:r>
    </w:p>
    <w:p w14:paraId="61D4213E" w14:textId="21DC8276" w:rsidR="00E93274" w:rsidRPr="00E93274" w:rsidRDefault="008F053C"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93274" w:rsidRPr="00E93274">
        <w:rPr>
          <w:rFonts w:ascii="Times New Roman" w:hAnsi="Times New Roman" w:cs="Times New Roman"/>
          <w:sz w:val="24"/>
          <w:szCs w:val="24"/>
        </w:rPr>
        <w:t xml:space="preserve">In the context of the steel industry, </w:t>
      </w:r>
      <w:r w:rsidR="00E93274" w:rsidRPr="00E93274">
        <w:rPr>
          <w:rFonts w:ascii="Times New Roman" w:hAnsi="Times New Roman" w:cs="Times New Roman"/>
          <w:b/>
          <w:bCs/>
          <w:sz w:val="24"/>
          <w:szCs w:val="24"/>
        </w:rPr>
        <w:t>Kumar and Sharma (2012)</w:t>
      </w:r>
      <w:r w:rsidR="00E93274" w:rsidRPr="00E93274">
        <w:rPr>
          <w:rFonts w:ascii="Times New Roman" w:hAnsi="Times New Roman" w:cs="Times New Roman"/>
          <w:sz w:val="24"/>
          <w:szCs w:val="24"/>
        </w:rPr>
        <w:t xml:space="preserve"> examined the financial performance of Indian steel companies and found that fluctuations in raw material costs and global market conditions significantly influence profitability. Their study stressed the need for continuous financial monitoring to adapt to the cyclical nature of the industry.</w:t>
      </w:r>
    </w:p>
    <w:p w14:paraId="220C33DF" w14:textId="40181A4A" w:rsidR="00E93274" w:rsidRPr="00E93274" w:rsidRDefault="008F053C" w:rsidP="00E9327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E93274" w:rsidRPr="00E93274">
        <w:rPr>
          <w:rFonts w:ascii="Times New Roman" w:hAnsi="Times New Roman" w:cs="Times New Roman"/>
          <w:b/>
          <w:bCs/>
          <w:sz w:val="24"/>
          <w:szCs w:val="24"/>
        </w:rPr>
        <w:t>Reddy (2016)</w:t>
      </w:r>
      <w:r w:rsidR="00E93274" w:rsidRPr="00E93274">
        <w:rPr>
          <w:rFonts w:ascii="Times New Roman" w:hAnsi="Times New Roman" w:cs="Times New Roman"/>
          <w:sz w:val="24"/>
          <w:szCs w:val="24"/>
        </w:rPr>
        <w:t xml:space="preserve"> conducted a comparative financial analysis of selected steel companies and pointed out that efficient working capital management and cost control are vital to sustaining profitability. The study also revealed that companies with stronger capital structures are better positioned to withstand economic downturns.</w:t>
      </w:r>
    </w:p>
    <w:p w14:paraId="492EBE83" w14:textId="41C638C1" w:rsidR="00E93274" w:rsidRPr="00E93274" w:rsidRDefault="00E93274" w:rsidP="00E93274">
      <w:pPr>
        <w:spacing w:line="360" w:lineRule="auto"/>
        <w:jc w:val="both"/>
        <w:rPr>
          <w:rFonts w:ascii="Times New Roman" w:hAnsi="Times New Roman" w:cs="Times New Roman"/>
          <w:sz w:val="24"/>
          <w:szCs w:val="24"/>
        </w:rPr>
      </w:pPr>
      <w:r w:rsidRPr="00E93274">
        <w:rPr>
          <w:rFonts w:ascii="Times New Roman" w:hAnsi="Times New Roman" w:cs="Times New Roman"/>
          <w:b/>
          <w:bCs/>
          <w:sz w:val="24"/>
          <w:szCs w:val="24"/>
        </w:rPr>
        <w:t xml:space="preserve">          </w:t>
      </w:r>
      <w:r w:rsidRPr="00E93274">
        <w:rPr>
          <w:rFonts w:ascii="Times New Roman" w:hAnsi="Times New Roman" w:cs="Times New Roman"/>
          <w:b/>
          <w:bCs/>
          <w:sz w:val="24"/>
          <w:szCs w:val="24"/>
        </w:rPr>
        <w:t>Verma and Gupta (2018)</w:t>
      </w:r>
      <w:r w:rsidRPr="00E93274">
        <w:rPr>
          <w:rFonts w:ascii="Times New Roman" w:hAnsi="Times New Roman" w:cs="Times New Roman"/>
          <w:sz w:val="24"/>
          <w:szCs w:val="24"/>
        </w:rPr>
        <w:t xml:space="preserve"> explored the impact of financial performance on shareholder value in the steel sector. Their research indicated that companies with consistent profitability and sound financial management practices tend to attract more investor confidence, which in turn supports long-term growth.</w:t>
      </w:r>
    </w:p>
    <w:p w14:paraId="214F92E4" w14:textId="1B9DD3DC"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Recent studies, such as Singh, </w:t>
      </w:r>
      <w:r w:rsidRPr="00E93274">
        <w:rPr>
          <w:rFonts w:ascii="Times New Roman" w:hAnsi="Times New Roman" w:cs="Times New Roman"/>
          <w:b/>
          <w:bCs/>
          <w:sz w:val="24"/>
          <w:szCs w:val="24"/>
        </w:rPr>
        <w:t>Patel, and Joshi (2021)</w:t>
      </w:r>
      <w:r w:rsidRPr="00E93274">
        <w:rPr>
          <w:rFonts w:ascii="Times New Roman" w:hAnsi="Times New Roman" w:cs="Times New Roman"/>
          <w:sz w:val="24"/>
          <w:szCs w:val="24"/>
        </w:rPr>
        <w:t xml:space="preserve">, have </w:t>
      </w:r>
      <w:proofErr w:type="spellStart"/>
      <w:r w:rsidRPr="00E93274">
        <w:rPr>
          <w:rFonts w:ascii="Times New Roman" w:hAnsi="Times New Roman" w:cs="Times New Roman"/>
          <w:sz w:val="24"/>
          <w:szCs w:val="24"/>
        </w:rPr>
        <w:t>analyzed</w:t>
      </w:r>
      <w:proofErr w:type="spellEnd"/>
      <w:r w:rsidRPr="00E93274">
        <w:rPr>
          <w:rFonts w:ascii="Times New Roman" w:hAnsi="Times New Roman" w:cs="Times New Roman"/>
          <w:sz w:val="24"/>
          <w:szCs w:val="24"/>
        </w:rPr>
        <w:t xml:space="preserve"> the financial impact of external shocks like the COVID-19 pandemic on steel companies. Their findings demonstrate that firms with robust liquidity and adaptive financial strategies managed to survive the crisis better than those with weak financial foundations.</w:t>
      </w:r>
    </w:p>
    <w:p w14:paraId="04C2EC81" w14:textId="5F64A935"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 xml:space="preserve">Furthermore, </w:t>
      </w:r>
      <w:r w:rsidRPr="00E93274">
        <w:rPr>
          <w:rFonts w:ascii="Times New Roman" w:hAnsi="Times New Roman" w:cs="Times New Roman"/>
          <w:b/>
          <w:bCs/>
          <w:sz w:val="24"/>
          <w:szCs w:val="24"/>
        </w:rPr>
        <w:t xml:space="preserve">Joshi (2022) </w:t>
      </w:r>
      <w:r w:rsidRPr="00E93274">
        <w:rPr>
          <w:rFonts w:ascii="Times New Roman" w:hAnsi="Times New Roman" w:cs="Times New Roman"/>
          <w:sz w:val="24"/>
          <w:szCs w:val="24"/>
        </w:rPr>
        <w:t xml:space="preserve">emphasized the increasing relevance of sustainability reporting alongside traditional financial statements. The study argued that steel companies </w:t>
      </w:r>
      <w:r w:rsidRPr="00E93274">
        <w:rPr>
          <w:rFonts w:ascii="Times New Roman" w:hAnsi="Times New Roman" w:cs="Times New Roman"/>
          <w:sz w:val="24"/>
          <w:szCs w:val="24"/>
        </w:rPr>
        <w:lastRenderedPageBreak/>
        <w:t>adopting eco-friendly practices not only improve environmental compliance but also enhance their financial performance by reducing costs and attracting conscious investors.</w:t>
      </w:r>
    </w:p>
    <w:p w14:paraId="44F7C2C4" w14:textId="4F09511E"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Industry reports by the Ministry of Commerce and Industry (2023) provide critical benchmark data and highlight emerging trends in the steel sector. These reports serve as valuable references for comparing individual company performance against industry standards.</w:t>
      </w:r>
    </w:p>
    <w:p w14:paraId="6FF7B1FE" w14:textId="6530BFAA" w:rsidR="00E93274" w:rsidRPr="00E93274" w:rsidRDefault="00E93274" w:rsidP="00E932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93274">
        <w:rPr>
          <w:rFonts w:ascii="Times New Roman" w:hAnsi="Times New Roman" w:cs="Times New Roman"/>
          <w:sz w:val="24"/>
          <w:szCs w:val="24"/>
        </w:rPr>
        <w:t>Overall, the literature suggests that financial statement analysis is indispensable for steel companies operating in a complex, dynamic market environment. This study builds on these findings by providing an updated and detailed financial assessment of a selected steel company, contributing to the body of knowledge and offering practical insights for stakeholders.</w:t>
      </w:r>
    </w:p>
    <w:p w14:paraId="68C1B244" w14:textId="77777777" w:rsidR="00E93274" w:rsidRDefault="00E93274" w:rsidP="00E93274">
      <w:pPr>
        <w:spacing w:line="360" w:lineRule="auto"/>
        <w:jc w:val="both"/>
        <w:rPr>
          <w:rFonts w:ascii="Times New Roman" w:hAnsi="Times New Roman" w:cs="Times New Roman"/>
          <w:sz w:val="24"/>
          <w:szCs w:val="24"/>
        </w:rPr>
      </w:pPr>
    </w:p>
    <w:p w14:paraId="16DE4DFC" w14:textId="77777777" w:rsidR="008F053C" w:rsidRDefault="008F053C" w:rsidP="00E93274">
      <w:pPr>
        <w:spacing w:line="360" w:lineRule="auto"/>
        <w:jc w:val="both"/>
        <w:rPr>
          <w:rFonts w:ascii="Times New Roman" w:hAnsi="Times New Roman" w:cs="Times New Roman"/>
          <w:sz w:val="24"/>
          <w:szCs w:val="24"/>
        </w:rPr>
      </w:pPr>
    </w:p>
    <w:p w14:paraId="04BD5653" w14:textId="77777777" w:rsidR="008F053C" w:rsidRDefault="008F053C" w:rsidP="00E93274">
      <w:pPr>
        <w:spacing w:line="360" w:lineRule="auto"/>
        <w:jc w:val="both"/>
        <w:rPr>
          <w:rFonts w:ascii="Times New Roman" w:hAnsi="Times New Roman" w:cs="Times New Roman"/>
          <w:sz w:val="24"/>
          <w:szCs w:val="24"/>
        </w:rPr>
      </w:pPr>
    </w:p>
    <w:p w14:paraId="58BC1960" w14:textId="77777777" w:rsidR="008F053C" w:rsidRDefault="008F053C" w:rsidP="00E93274">
      <w:pPr>
        <w:spacing w:line="360" w:lineRule="auto"/>
        <w:jc w:val="both"/>
        <w:rPr>
          <w:rFonts w:ascii="Times New Roman" w:hAnsi="Times New Roman" w:cs="Times New Roman"/>
          <w:sz w:val="24"/>
          <w:szCs w:val="24"/>
        </w:rPr>
      </w:pPr>
    </w:p>
    <w:p w14:paraId="32D70B99" w14:textId="77777777" w:rsidR="008F053C" w:rsidRDefault="008F053C" w:rsidP="00E93274">
      <w:pPr>
        <w:spacing w:line="360" w:lineRule="auto"/>
        <w:jc w:val="both"/>
        <w:rPr>
          <w:rFonts w:ascii="Times New Roman" w:hAnsi="Times New Roman" w:cs="Times New Roman"/>
          <w:sz w:val="24"/>
          <w:szCs w:val="24"/>
        </w:rPr>
      </w:pPr>
    </w:p>
    <w:p w14:paraId="28553DA7" w14:textId="77777777" w:rsidR="008F053C" w:rsidRDefault="008F053C" w:rsidP="00E93274">
      <w:pPr>
        <w:spacing w:line="360" w:lineRule="auto"/>
        <w:jc w:val="both"/>
        <w:rPr>
          <w:rFonts w:ascii="Times New Roman" w:hAnsi="Times New Roman" w:cs="Times New Roman"/>
          <w:sz w:val="24"/>
          <w:szCs w:val="24"/>
        </w:rPr>
      </w:pPr>
    </w:p>
    <w:p w14:paraId="2EB1C498" w14:textId="77777777" w:rsidR="008F053C" w:rsidRDefault="008F053C" w:rsidP="00E93274">
      <w:pPr>
        <w:spacing w:line="360" w:lineRule="auto"/>
        <w:jc w:val="both"/>
        <w:rPr>
          <w:rFonts w:ascii="Times New Roman" w:hAnsi="Times New Roman" w:cs="Times New Roman"/>
          <w:sz w:val="24"/>
          <w:szCs w:val="24"/>
        </w:rPr>
      </w:pPr>
    </w:p>
    <w:p w14:paraId="64BD2BA7" w14:textId="77777777" w:rsidR="008F053C" w:rsidRDefault="008F053C" w:rsidP="00E93274">
      <w:pPr>
        <w:spacing w:line="360" w:lineRule="auto"/>
        <w:jc w:val="both"/>
        <w:rPr>
          <w:rFonts w:ascii="Times New Roman" w:hAnsi="Times New Roman" w:cs="Times New Roman"/>
          <w:sz w:val="24"/>
          <w:szCs w:val="24"/>
        </w:rPr>
      </w:pPr>
    </w:p>
    <w:p w14:paraId="70F4C707" w14:textId="77777777" w:rsidR="008F053C" w:rsidRDefault="008F053C" w:rsidP="00E93274">
      <w:pPr>
        <w:spacing w:line="360" w:lineRule="auto"/>
        <w:jc w:val="both"/>
        <w:rPr>
          <w:rFonts w:ascii="Times New Roman" w:hAnsi="Times New Roman" w:cs="Times New Roman"/>
          <w:sz w:val="24"/>
          <w:szCs w:val="24"/>
        </w:rPr>
      </w:pPr>
    </w:p>
    <w:p w14:paraId="65664949" w14:textId="77777777" w:rsidR="008F053C" w:rsidRDefault="008F053C" w:rsidP="00E93274">
      <w:pPr>
        <w:spacing w:line="360" w:lineRule="auto"/>
        <w:jc w:val="both"/>
        <w:rPr>
          <w:rFonts w:ascii="Times New Roman" w:hAnsi="Times New Roman" w:cs="Times New Roman"/>
          <w:sz w:val="24"/>
          <w:szCs w:val="24"/>
        </w:rPr>
      </w:pPr>
    </w:p>
    <w:p w14:paraId="1795588E" w14:textId="77777777" w:rsidR="008F053C" w:rsidRDefault="008F053C" w:rsidP="00E93274">
      <w:pPr>
        <w:spacing w:line="360" w:lineRule="auto"/>
        <w:jc w:val="both"/>
        <w:rPr>
          <w:rFonts w:ascii="Times New Roman" w:hAnsi="Times New Roman" w:cs="Times New Roman"/>
          <w:sz w:val="24"/>
          <w:szCs w:val="24"/>
        </w:rPr>
      </w:pPr>
    </w:p>
    <w:p w14:paraId="72DA5C57" w14:textId="77777777" w:rsidR="008F053C" w:rsidRDefault="008F053C" w:rsidP="00E93274">
      <w:pPr>
        <w:spacing w:line="360" w:lineRule="auto"/>
        <w:jc w:val="both"/>
        <w:rPr>
          <w:rFonts w:ascii="Times New Roman" w:hAnsi="Times New Roman" w:cs="Times New Roman"/>
          <w:sz w:val="24"/>
          <w:szCs w:val="24"/>
        </w:rPr>
      </w:pPr>
    </w:p>
    <w:p w14:paraId="56333084" w14:textId="77777777" w:rsidR="008F053C" w:rsidRDefault="008F053C" w:rsidP="00E93274">
      <w:pPr>
        <w:spacing w:line="360" w:lineRule="auto"/>
        <w:jc w:val="both"/>
        <w:rPr>
          <w:rFonts w:ascii="Times New Roman" w:hAnsi="Times New Roman" w:cs="Times New Roman"/>
          <w:sz w:val="24"/>
          <w:szCs w:val="24"/>
        </w:rPr>
      </w:pPr>
    </w:p>
    <w:p w14:paraId="19E22403" w14:textId="77777777" w:rsidR="008F053C" w:rsidRDefault="008F053C" w:rsidP="00E93274">
      <w:pPr>
        <w:spacing w:line="360" w:lineRule="auto"/>
        <w:jc w:val="both"/>
        <w:rPr>
          <w:rFonts w:ascii="Times New Roman" w:hAnsi="Times New Roman" w:cs="Times New Roman"/>
          <w:sz w:val="24"/>
          <w:szCs w:val="24"/>
        </w:rPr>
      </w:pPr>
    </w:p>
    <w:p w14:paraId="5A8D10C3" w14:textId="77777777" w:rsidR="008F053C" w:rsidRDefault="008F053C" w:rsidP="00E93274">
      <w:pPr>
        <w:spacing w:line="360" w:lineRule="auto"/>
        <w:jc w:val="both"/>
        <w:rPr>
          <w:rFonts w:ascii="Times New Roman" w:hAnsi="Times New Roman" w:cs="Times New Roman"/>
          <w:sz w:val="24"/>
          <w:szCs w:val="24"/>
        </w:rPr>
      </w:pPr>
    </w:p>
    <w:p w14:paraId="6687750D" w14:textId="77777777" w:rsidR="008F053C" w:rsidRDefault="008F053C" w:rsidP="00E93274">
      <w:pPr>
        <w:spacing w:line="360" w:lineRule="auto"/>
        <w:jc w:val="both"/>
        <w:rPr>
          <w:rFonts w:ascii="Times New Roman" w:hAnsi="Times New Roman" w:cs="Times New Roman"/>
          <w:sz w:val="24"/>
          <w:szCs w:val="24"/>
        </w:rPr>
      </w:pPr>
    </w:p>
    <w:p w14:paraId="73492826" w14:textId="77777777" w:rsidR="008F053C" w:rsidRDefault="008F053C" w:rsidP="00E93274">
      <w:pPr>
        <w:spacing w:line="360" w:lineRule="auto"/>
        <w:jc w:val="both"/>
        <w:rPr>
          <w:rFonts w:ascii="Times New Roman" w:hAnsi="Times New Roman" w:cs="Times New Roman"/>
          <w:sz w:val="24"/>
          <w:szCs w:val="24"/>
        </w:rPr>
      </w:pPr>
    </w:p>
    <w:p w14:paraId="7E6DDBBC" w14:textId="77777777" w:rsidR="008F053C" w:rsidRPr="0078607C" w:rsidRDefault="008F053C" w:rsidP="008F053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5793BECB" w14:textId="77777777" w:rsidR="008F053C" w:rsidRPr="0078607C" w:rsidRDefault="008F053C" w:rsidP="008F053C">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274047F" w14:textId="77777777"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 xml:space="preserve">The research methodology outlines the systematic approach used to </w:t>
      </w:r>
      <w:proofErr w:type="spellStart"/>
      <w:r w:rsidRPr="008F053C">
        <w:rPr>
          <w:rFonts w:ascii="Times New Roman" w:hAnsi="Times New Roman" w:cs="Times New Roman"/>
          <w:sz w:val="24"/>
          <w:szCs w:val="24"/>
        </w:rPr>
        <w:t>analyze</w:t>
      </w:r>
      <w:proofErr w:type="spellEnd"/>
      <w:r w:rsidRPr="008F053C">
        <w:rPr>
          <w:rFonts w:ascii="Times New Roman" w:hAnsi="Times New Roman" w:cs="Times New Roman"/>
          <w:sz w:val="24"/>
          <w:szCs w:val="24"/>
        </w:rPr>
        <w:t xml:space="preserve"> the financial statements of the selected steel company. This chapter details the research design, data collection methods, data sources, tools used for analysis, and the limitations encountered during the research process.</w:t>
      </w:r>
    </w:p>
    <w:p w14:paraId="07CE5774" w14:textId="77777777" w:rsid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3.1 Research Design</w:t>
      </w:r>
    </w:p>
    <w:p w14:paraId="47DD6F3A" w14:textId="31F10EB7"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This study adopts a descriptive research design aimed at providing a detailed and factual analysis of the financial performance of the steel company. Descriptive research is suitable as it helps in interpreting and understanding financial data, trends, and patterns without manipulating any variables.</w:t>
      </w:r>
    </w:p>
    <w:p w14:paraId="4E8ABC05" w14:textId="77777777" w:rsid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3.2 Data Collection</w:t>
      </w:r>
    </w:p>
    <w:p w14:paraId="1500DDEA" w14:textId="4C50B05D"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The study is based primarily on secondary data collected from the company’s published financial statements, including the balance sheet, income statement, and cash flow statements over a period of five years. Additional data were gathered from annual reports, industry publications, government reports, and databases such as the Ministry of Steel, SEBI filings, and stock exchanges.</w:t>
      </w:r>
    </w:p>
    <w:p w14:paraId="5D4E0551" w14:textId="77777777"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3.3 Data Sources</w:t>
      </w:r>
    </w:p>
    <w:p w14:paraId="152ECDD1" w14:textId="77777777" w:rsidR="008F053C" w:rsidRPr="008F053C" w:rsidRDefault="008F053C" w:rsidP="008F053C">
      <w:pPr>
        <w:numPr>
          <w:ilvl w:val="0"/>
          <w:numId w:val="5"/>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Primary data:</w:t>
      </w:r>
      <w:r w:rsidRPr="008F053C">
        <w:rPr>
          <w:rFonts w:ascii="Times New Roman" w:hAnsi="Times New Roman" w:cs="Times New Roman"/>
          <w:sz w:val="24"/>
          <w:szCs w:val="24"/>
        </w:rPr>
        <w:t xml:space="preserve"> Not used in this study as the focus is on financial document analysis.</w:t>
      </w:r>
    </w:p>
    <w:p w14:paraId="3F9A9927" w14:textId="77777777" w:rsidR="008F053C" w:rsidRPr="008F053C" w:rsidRDefault="008F053C" w:rsidP="008F053C">
      <w:pPr>
        <w:numPr>
          <w:ilvl w:val="0"/>
          <w:numId w:val="5"/>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Secondary data:</w:t>
      </w:r>
      <w:r w:rsidRPr="008F053C">
        <w:rPr>
          <w:rFonts w:ascii="Times New Roman" w:hAnsi="Times New Roman" w:cs="Times New Roman"/>
          <w:sz w:val="24"/>
          <w:szCs w:val="24"/>
        </w:rPr>
        <w:t xml:space="preserve"> Annual reports, audited financial statements, industry reports, and official government publications form the core data source.</w:t>
      </w:r>
    </w:p>
    <w:p w14:paraId="2851E237" w14:textId="77777777" w:rsid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3.4 Tools and Techniques of Analysis</w:t>
      </w:r>
    </w:p>
    <w:p w14:paraId="28F238EC" w14:textId="52F8A800"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The study utilizes various financial analysis tools and techniques to interpret the data effectively:</w:t>
      </w:r>
    </w:p>
    <w:p w14:paraId="6F7E81B6" w14:textId="77777777" w:rsidR="008F053C" w:rsidRPr="008F053C" w:rsidRDefault="008F053C" w:rsidP="008F053C">
      <w:pPr>
        <w:numPr>
          <w:ilvl w:val="0"/>
          <w:numId w:val="6"/>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Ratio Analysis:</w:t>
      </w:r>
      <w:r w:rsidRPr="008F053C">
        <w:rPr>
          <w:rFonts w:ascii="Times New Roman" w:hAnsi="Times New Roman" w:cs="Times New Roman"/>
          <w:sz w:val="24"/>
          <w:szCs w:val="24"/>
        </w:rPr>
        <w:t xml:space="preserve"> Key financial ratios such as liquidity ratios (current ratio, quick ratio), profitability ratios (net profit margin, return on equity), solvency ratios (debt to equity ratio), and efficiency ratios (inventory turnover, asset turnover) are calculated.</w:t>
      </w:r>
    </w:p>
    <w:p w14:paraId="634303FF" w14:textId="77777777" w:rsidR="008F053C" w:rsidRPr="008F053C" w:rsidRDefault="008F053C" w:rsidP="008F053C">
      <w:pPr>
        <w:numPr>
          <w:ilvl w:val="0"/>
          <w:numId w:val="6"/>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Trend Analysis:</w:t>
      </w:r>
      <w:r w:rsidRPr="008F053C">
        <w:rPr>
          <w:rFonts w:ascii="Times New Roman" w:hAnsi="Times New Roman" w:cs="Times New Roman"/>
          <w:sz w:val="24"/>
          <w:szCs w:val="24"/>
        </w:rPr>
        <w:t xml:space="preserve"> To examine the financial performance over the selected period and identify upward or downward trends.</w:t>
      </w:r>
    </w:p>
    <w:p w14:paraId="1CFD4899" w14:textId="77777777" w:rsidR="008F053C" w:rsidRPr="008F053C" w:rsidRDefault="008F053C" w:rsidP="008F053C">
      <w:pPr>
        <w:numPr>
          <w:ilvl w:val="0"/>
          <w:numId w:val="6"/>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lastRenderedPageBreak/>
        <w:t>Comparative Analysis:</w:t>
      </w:r>
      <w:r w:rsidRPr="008F053C">
        <w:rPr>
          <w:rFonts w:ascii="Times New Roman" w:hAnsi="Times New Roman" w:cs="Times New Roman"/>
          <w:sz w:val="24"/>
          <w:szCs w:val="24"/>
        </w:rPr>
        <w:t xml:space="preserve"> The company’s financial metrics are compared with industry benchmarks and competitors to gauge relative performance.</w:t>
      </w:r>
    </w:p>
    <w:p w14:paraId="3BD6CBD5" w14:textId="77777777" w:rsidR="008F053C" w:rsidRPr="008F053C" w:rsidRDefault="008F053C" w:rsidP="008F053C">
      <w:pPr>
        <w:numPr>
          <w:ilvl w:val="0"/>
          <w:numId w:val="6"/>
        </w:num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Horizontal and Vertical Analysis:</w:t>
      </w:r>
      <w:r w:rsidRPr="008F053C">
        <w:rPr>
          <w:rFonts w:ascii="Times New Roman" w:hAnsi="Times New Roman" w:cs="Times New Roman"/>
          <w:sz w:val="24"/>
          <w:szCs w:val="24"/>
        </w:rPr>
        <w:t xml:space="preserve"> Horizontal analysis evaluates year-to-year changes in financial statements, while vertical analysis assesses the proportion of various accounts within the financial statements.</w:t>
      </w:r>
    </w:p>
    <w:p w14:paraId="6EAD6C51" w14:textId="77777777" w:rsid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3.5 Scope and Limitations of Methodology</w:t>
      </w:r>
    </w:p>
    <w:p w14:paraId="3A567156" w14:textId="4071F414"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The methodology is limited by the availability and accuracy of published financial data. The study does not incorporate qualitative data such as management interviews or operational assessments, which could provide deeper insights. Additionally, the analysis covers a fixed period, and therefore, may not fully capture long-term cyclical variations in the steel industry.</w:t>
      </w:r>
    </w:p>
    <w:p w14:paraId="166F02F5" w14:textId="77777777" w:rsid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b/>
          <w:bCs/>
          <w:sz w:val="24"/>
          <w:szCs w:val="24"/>
        </w:rPr>
        <w:t>3.6 Ethical Considerations</w:t>
      </w:r>
    </w:p>
    <w:p w14:paraId="2146CA9C" w14:textId="445F488C" w:rsidR="008F053C" w:rsidRPr="008F053C" w:rsidRDefault="008F053C" w:rsidP="008F053C">
      <w:pPr>
        <w:spacing w:line="360" w:lineRule="auto"/>
        <w:jc w:val="both"/>
        <w:rPr>
          <w:rFonts w:ascii="Times New Roman" w:hAnsi="Times New Roman" w:cs="Times New Roman"/>
          <w:sz w:val="24"/>
          <w:szCs w:val="24"/>
        </w:rPr>
      </w:pPr>
      <w:r w:rsidRPr="008F053C">
        <w:rPr>
          <w:rFonts w:ascii="Times New Roman" w:hAnsi="Times New Roman" w:cs="Times New Roman"/>
          <w:sz w:val="24"/>
          <w:szCs w:val="24"/>
        </w:rPr>
        <w:t>All data used in this study are publicly available and sourced ethically from official publications. Proper citations and acknowledgments have been made to maintain academic integrity.</w:t>
      </w:r>
    </w:p>
    <w:p w14:paraId="130BD534" w14:textId="77777777" w:rsidR="008F053C" w:rsidRDefault="008F053C" w:rsidP="00E93274">
      <w:pPr>
        <w:spacing w:line="360" w:lineRule="auto"/>
        <w:jc w:val="both"/>
        <w:rPr>
          <w:rFonts w:ascii="Times New Roman" w:hAnsi="Times New Roman" w:cs="Times New Roman"/>
          <w:sz w:val="24"/>
          <w:szCs w:val="24"/>
        </w:rPr>
      </w:pPr>
    </w:p>
    <w:p w14:paraId="4BA3AB23" w14:textId="77777777" w:rsidR="008F053C" w:rsidRDefault="008F053C" w:rsidP="00E93274">
      <w:pPr>
        <w:spacing w:line="360" w:lineRule="auto"/>
        <w:jc w:val="both"/>
        <w:rPr>
          <w:rFonts w:ascii="Times New Roman" w:hAnsi="Times New Roman" w:cs="Times New Roman"/>
          <w:sz w:val="24"/>
          <w:szCs w:val="24"/>
        </w:rPr>
      </w:pPr>
    </w:p>
    <w:p w14:paraId="6C8F6511" w14:textId="77777777" w:rsidR="008F053C" w:rsidRDefault="008F053C" w:rsidP="00E93274">
      <w:pPr>
        <w:spacing w:line="360" w:lineRule="auto"/>
        <w:jc w:val="both"/>
        <w:rPr>
          <w:rFonts w:ascii="Times New Roman" w:hAnsi="Times New Roman" w:cs="Times New Roman"/>
          <w:sz w:val="24"/>
          <w:szCs w:val="24"/>
        </w:rPr>
      </w:pPr>
    </w:p>
    <w:p w14:paraId="336B8717" w14:textId="77777777" w:rsidR="008F053C" w:rsidRDefault="008F053C" w:rsidP="00E93274">
      <w:pPr>
        <w:spacing w:line="360" w:lineRule="auto"/>
        <w:jc w:val="both"/>
        <w:rPr>
          <w:rFonts w:ascii="Times New Roman" w:hAnsi="Times New Roman" w:cs="Times New Roman"/>
          <w:sz w:val="24"/>
          <w:szCs w:val="24"/>
        </w:rPr>
      </w:pPr>
    </w:p>
    <w:p w14:paraId="54ED1B85" w14:textId="77777777" w:rsidR="008F053C" w:rsidRDefault="008F053C" w:rsidP="00E93274">
      <w:pPr>
        <w:spacing w:line="360" w:lineRule="auto"/>
        <w:jc w:val="both"/>
        <w:rPr>
          <w:rFonts w:ascii="Times New Roman" w:hAnsi="Times New Roman" w:cs="Times New Roman"/>
          <w:sz w:val="24"/>
          <w:szCs w:val="24"/>
        </w:rPr>
      </w:pPr>
    </w:p>
    <w:p w14:paraId="32E1956C" w14:textId="77777777" w:rsidR="008F053C" w:rsidRDefault="008F053C" w:rsidP="00E93274">
      <w:pPr>
        <w:spacing w:line="360" w:lineRule="auto"/>
        <w:jc w:val="both"/>
        <w:rPr>
          <w:rFonts w:ascii="Times New Roman" w:hAnsi="Times New Roman" w:cs="Times New Roman"/>
          <w:sz w:val="24"/>
          <w:szCs w:val="24"/>
        </w:rPr>
      </w:pPr>
    </w:p>
    <w:p w14:paraId="6A0BAF5C" w14:textId="77777777" w:rsidR="008F053C" w:rsidRDefault="008F053C" w:rsidP="00E93274">
      <w:pPr>
        <w:spacing w:line="360" w:lineRule="auto"/>
        <w:jc w:val="both"/>
        <w:rPr>
          <w:rFonts w:ascii="Times New Roman" w:hAnsi="Times New Roman" w:cs="Times New Roman"/>
          <w:sz w:val="24"/>
          <w:szCs w:val="24"/>
        </w:rPr>
      </w:pPr>
    </w:p>
    <w:p w14:paraId="616B9F6D" w14:textId="77777777" w:rsidR="008F053C" w:rsidRDefault="008F053C" w:rsidP="00E93274">
      <w:pPr>
        <w:spacing w:line="360" w:lineRule="auto"/>
        <w:jc w:val="both"/>
        <w:rPr>
          <w:rFonts w:ascii="Times New Roman" w:hAnsi="Times New Roman" w:cs="Times New Roman"/>
          <w:sz w:val="24"/>
          <w:szCs w:val="24"/>
        </w:rPr>
      </w:pPr>
    </w:p>
    <w:p w14:paraId="5E748EC3" w14:textId="77777777" w:rsidR="008F053C" w:rsidRDefault="008F053C" w:rsidP="00E93274">
      <w:pPr>
        <w:spacing w:line="360" w:lineRule="auto"/>
        <w:jc w:val="both"/>
        <w:rPr>
          <w:rFonts w:ascii="Times New Roman" w:hAnsi="Times New Roman" w:cs="Times New Roman"/>
          <w:sz w:val="24"/>
          <w:szCs w:val="24"/>
        </w:rPr>
      </w:pPr>
    </w:p>
    <w:p w14:paraId="60BFA985" w14:textId="77777777" w:rsidR="008F053C" w:rsidRDefault="008F053C" w:rsidP="00E93274">
      <w:pPr>
        <w:spacing w:line="360" w:lineRule="auto"/>
        <w:jc w:val="both"/>
        <w:rPr>
          <w:rFonts w:ascii="Times New Roman" w:hAnsi="Times New Roman" w:cs="Times New Roman"/>
          <w:sz w:val="24"/>
          <w:szCs w:val="24"/>
        </w:rPr>
      </w:pPr>
    </w:p>
    <w:p w14:paraId="620B9C45" w14:textId="77777777" w:rsidR="008F053C" w:rsidRDefault="008F053C" w:rsidP="00E93274">
      <w:pPr>
        <w:spacing w:line="360" w:lineRule="auto"/>
        <w:jc w:val="both"/>
        <w:rPr>
          <w:rFonts w:ascii="Times New Roman" w:hAnsi="Times New Roman" w:cs="Times New Roman"/>
          <w:sz w:val="24"/>
          <w:szCs w:val="24"/>
        </w:rPr>
      </w:pPr>
    </w:p>
    <w:p w14:paraId="566FB1A8" w14:textId="77777777" w:rsidR="008F053C" w:rsidRDefault="008F053C" w:rsidP="00E93274">
      <w:pPr>
        <w:spacing w:line="360" w:lineRule="auto"/>
        <w:jc w:val="both"/>
        <w:rPr>
          <w:rFonts w:ascii="Times New Roman" w:hAnsi="Times New Roman" w:cs="Times New Roman"/>
          <w:sz w:val="24"/>
          <w:szCs w:val="24"/>
        </w:rPr>
      </w:pPr>
    </w:p>
    <w:p w14:paraId="01DC45AF" w14:textId="77777777" w:rsidR="008F053C" w:rsidRDefault="008F053C" w:rsidP="00E93274">
      <w:pPr>
        <w:spacing w:line="360" w:lineRule="auto"/>
        <w:jc w:val="both"/>
        <w:rPr>
          <w:rFonts w:ascii="Times New Roman" w:hAnsi="Times New Roman" w:cs="Times New Roman"/>
          <w:sz w:val="24"/>
          <w:szCs w:val="24"/>
        </w:rPr>
      </w:pPr>
    </w:p>
    <w:p w14:paraId="3B137651" w14:textId="77777777" w:rsidR="008F053C" w:rsidRPr="0078607C" w:rsidRDefault="008F053C" w:rsidP="008F053C">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74AEE12E" w14:textId="77777777" w:rsidR="008F053C" w:rsidRDefault="008F053C" w:rsidP="008F053C">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401A728" w14:textId="77777777" w:rsidR="008F053C" w:rsidRPr="004D7E4B" w:rsidRDefault="008F053C" w:rsidP="008F053C">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F053C" w:rsidRPr="004D7E4B" w14:paraId="619F2287"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E7696B3" w14:textId="77777777" w:rsidR="008F053C" w:rsidRPr="004D7E4B" w:rsidRDefault="008F053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68043E5" w14:textId="77777777" w:rsidR="008F053C" w:rsidRPr="004D7E4B" w:rsidRDefault="008F053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1B96D34" w14:textId="77777777" w:rsidR="008F053C" w:rsidRPr="004D7E4B" w:rsidRDefault="008F053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F053C" w:rsidRPr="004D7E4B" w14:paraId="1BFA8E6C"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FC8F8D" w14:textId="1746EC8A" w:rsidR="008F053C" w:rsidRPr="004D7E4B" w:rsidRDefault="008F053C" w:rsidP="005860C9">
            <w:pPr>
              <w:spacing w:line="360" w:lineRule="auto"/>
              <w:jc w:val="center"/>
              <w:rPr>
                <w:rFonts w:ascii="Times New Roman" w:hAnsi="Times New Roman" w:cs="Times New Roman"/>
                <w:b/>
                <w:sz w:val="24"/>
                <w:szCs w:val="24"/>
                <w:lang w:val="en-US"/>
              </w:rPr>
            </w:pPr>
            <w:r w:rsidRPr="008F053C">
              <w:rPr>
                <w:rFonts w:ascii="Times New Roman" w:hAnsi="Times New Roman" w:cs="Times New Roman"/>
                <w:b/>
                <w:sz w:val="24"/>
                <w:szCs w:val="24"/>
              </w:rPr>
              <w:t>Below 25</w:t>
            </w:r>
          </w:p>
        </w:tc>
        <w:tc>
          <w:tcPr>
            <w:tcW w:w="3185" w:type="dxa"/>
            <w:tcBorders>
              <w:top w:val="single" w:sz="4" w:space="0" w:color="auto"/>
              <w:left w:val="single" w:sz="4" w:space="0" w:color="auto"/>
              <w:bottom w:val="single" w:sz="4" w:space="0" w:color="auto"/>
              <w:right w:val="single" w:sz="4" w:space="0" w:color="auto"/>
            </w:tcBorders>
            <w:hideMark/>
          </w:tcPr>
          <w:p w14:paraId="641BED63" w14:textId="5F0E15E7"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1E6ECEA7" w14:textId="6708F840"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8F053C" w:rsidRPr="004D7E4B" w14:paraId="3E954629"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6369016" w14:textId="07A22B34" w:rsidR="008F053C" w:rsidRPr="004D7E4B" w:rsidRDefault="008F053C" w:rsidP="005860C9">
            <w:pPr>
              <w:spacing w:line="360" w:lineRule="auto"/>
              <w:jc w:val="center"/>
              <w:rPr>
                <w:rFonts w:ascii="Times New Roman" w:hAnsi="Times New Roman" w:cs="Times New Roman"/>
                <w:b/>
                <w:sz w:val="24"/>
                <w:szCs w:val="24"/>
                <w:lang w:val="en-US"/>
              </w:rPr>
            </w:pPr>
            <w:r w:rsidRPr="008F053C">
              <w:rPr>
                <w:rFonts w:ascii="Times New Roman" w:hAnsi="Times New Roman" w:cs="Times New Roman"/>
                <w:b/>
                <w:sz w:val="24"/>
                <w:szCs w:val="24"/>
              </w:rPr>
              <w:t>25 – 35</w:t>
            </w:r>
          </w:p>
        </w:tc>
        <w:tc>
          <w:tcPr>
            <w:tcW w:w="3185" w:type="dxa"/>
            <w:tcBorders>
              <w:top w:val="single" w:sz="4" w:space="0" w:color="auto"/>
              <w:left w:val="single" w:sz="4" w:space="0" w:color="auto"/>
              <w:bottom w:val="single" w:sz="4" w:space="0" w:color="auto"/>
              <w:right w:val="single" w:sz="4" w:space="0" w:color="auto"/>
            </w:tcBorders>
            <w:hideMark/>
          </w:tcPr>
          <w:p w14:paraId="26428771" w14:textId="5626EC10"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6152BFCF" w14:textId="246DDB77"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8</w:t>
            </w:r>
            <w:r w:rsidRPr="004D7E4B">
              <w:rPr>
                <w:rFonts w:ascii="Times New Roman" w:hAnsi="Times New Roman" w:cs="Times New Roman"/>
                <w:b/>
                <w:sz w:val="24"/>
                <w:szCs w:val="24"/>
                <w:lang w:val="en-US"/>
              </w:rPr>
              <w:t>%</w:t>
            </w:r>
          </w:p>
        </w:tc>
      </w:tr>
      <w:tr w:rsidR="008F053C" w:rsidRPr="004D7E4B" w14:paraId="688F8428"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7FB16430" w14:textId="299C7991" w:rsidR="008F053C" w:rsidRPr="004D7E4B" w:rsidRDefault="008F053C" w:rsidP="005860C9">
            <w:pPr>
              <w:spacing w:line="360" w:lineRule="auto"/>
              <w:jc w:val="center"/>
              <w:rPr>
                <w:rFonts w:ascii="Times New Roman" w:hAnsi="Times New Roman" w:cs="Times New Roman"/>
                <w:b/>
                <w:sz w:val="24"/>
                <w:szCs w:val="24"/>
                <w:lang w:val="en-US"/>
              </w:rPr>
            </w:pPr>
            <w:r w:rsidRPr="008F053C">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535D88B6" w14:textId="4D5CE9FE"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w:t>
            </w:r>
          </w:p>
        </w:tc>
        <w:tc>
          <w:tcPr>
            <w:tcW w:w="3185" w:type="dxa"/>
            <w:tcBorders>
              <w:top w:val="single" w:sz="4" w:space="0" w:color="auto"/>
              <w:left w:val="single" w:sz="4" w:space="0" w:color="auto"/>
              <w:bottom w:val="single" w:sz="4" w:space="0" w:color="auto"/>
              <w:right w:val="single" w:sz="4" w:space="0" w:color="auto"/>
            </w:tcBorders>
            <w:hideMark/>
          </w:tcPr>
          <w:p w14:paraId="465290F3" w14:textId="1CCBC4F8"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27</w:t>
            </w:r>
            <w:r w:rsidRPr="004D7E4B">
              <w:rPr>
                <w:rFonts w:ascii="Times New Roman" w:hAnsi="Times New Roman" w:cs="Times New Roman"/>
                <w:b/>
                <w:sz w:val="24"/>
                <w:szCs w:val="24"/>
                <w:lang w:val="en-US"/>
              </w:rPr>
              <w:t>%</w:t>
            </w:r>
          </w:p>
        </w:tc>
      </w:tr>
      <w:tr w:rsidR="008F053C" w:rsidRPr="004D7E4B" w14:paraId="21111B99"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64CDD01D" w14:textId="326FAD3C" w:rsidR="008F053C" w:rsidRPr="00E0601D" w:rsidRDefault="008F053C" w:rsidP="005860C9">
            <w:pPr>
              <w:spacing w:line="360" w:lineRule="auto"/>
              <w:jc w:val="center"/>
              <w:rPr>
                <w:rFonts w:ascii="Times New Roman" w:hAnsi="Times New Roman" w:cs="Times New Roman"/>
                <w:b/>
                <w:sz w:val="24"/>
                <w:szCs w:val="24"/>
              </w:rPr>
            </w:pPr>
            <w:r w:rsidRPr="008F053C">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46B5E3B8" w14:textId="2C6B9034" w:rsidR="008F053C"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9</w:t>
            </w:r>
          </w:p>
        </w:tc>
        <w:tc>
          <w:tcPr>
            <w:tcW w:w="3185" w:type="dxa"/>
            <w:tcBorders>
              <w:top w:val="single" w:sz="4" w:space="0" w:color="auto"/>
              <w:left w:val="single" w:sz="4" w:space="0" w:color="auto"/>
              <w:bottom w:val="single" w:sz="4" w:space="0" w:color="auto"/>
              <w:right w:val="single" w:sz="4" w:space="0" w:color="auto"/>
            </w:tcBorders>
          </w:tcPr>
          <w:p w14:paraId="4AEDD4FF" w14:textId="688855A9" w:rsidR="008F053C"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4</w:t>
            </w:r>
            <w:r>
              <w:rPr>
                <w:rFonts w:ascii="Times New Roman" w:hAnsi="Times New Roman" w:cs="Times New Roman"/>
                <w:b/>
                <w:sz w:val="24"/>
                <w:szCs w:val="24"/>
                <w:lang w:val="en-US"/>
              </w:rPr>
              <w:t>%</w:t>
            </w:r>
          </w:p>
        </w:tc>
      </w:tr>
      <w:tr w:rsidR="008F053C" w:rsidRPr="004D7E4B" w14:paraId="3073086E"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285C71B5" w14:textId="469971AF" w:rsidR="008F053C" w:rsidRPr="004D7E4B" w:rsidRDefault="008F053C" w:rsidP="005860C9">
            <w:pPr>
              <w:spacing w:line="360" w:lineRule="auto"/>
              <w:jc w:val="center"/>
              <w:rPr>
                <w:rFonts w:ascii="Times New Roman" w:hAnsi="Times New Roman" w:cs="Times New Roman"/>
                <w:b/>
                <w:sz w:val="24"/>
                <w:szCs w:val="24"/>
                <w:lang w:val="en-US"/>
              </w:rPr>
            </w:pPr>
            <w:r w:rsidRPr="008F053C">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hideMark/>
          </w:tcPr>
          <w:p w14:paraId="7D82FE46" w14:textId="4180E5B7"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p>
        </w:tc>
        <w:tc>
          <w:tcPr>
            <w:tcW w:w="3185" w:type="dxa"/>
            <w:tcBorders>
              <w:top w:val="single" w:sz="4" w:space="0" w:color="auto"/>
              <w:left w:val="single" w:sz="4" w:space="0" w:color="auto"/>
              <w:bottom w:val="single" w:sz="4" w:space="0" w:color="auto"/>
              <w:right w:val="single" w:sz="4" w:space="0" w:color="auto"/>
            </w:tcBorders>
            <w:hideMark/>
          </w:tcPr>
          <w:p w14:paraId="2561B53F" w14:textId="504DF6FE"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w:t>
            </w:r>
            <w:r w:rsidRPr="004D7E4B">
              <w:rPr>
                <w:rFonts w:ascii="Times New Roman" w:hAnsi="Times New Roman" w:cs="Times New Roman"/>
                <w:b/>
                <w:sz w:val="24"/>
                <w:szCs w:val="24"/>
                <w:lang w:val="en-US"/>
              </w:rPr>
              <w:t>%</w:t>
            </w:r>
          </w:p>
        </w:tc>
      </w:tr>
      <w:tr w:rsidR="008F053C" w:rsidRPr="004D7E4B" w14:paraId="1893B351"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481735EF" w14:textId="77777777" w:rsidR="008F053C" w:rsidRPr="004D7E4B" w:rsidRDefault="008F053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D7CE0B9" w14:textId="6EC880E2" w:rsidR="008F053C" w:rsidRPr="004D7E4B" w:rsidRDefault="008F053C"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65</w:t>
            </w:r>
          </w:p>
        </w:tc>
        <w:tc>
          <w:tcPr>
            <w:tcW w:w="3185" w:type="dxa"/>
            <w:tcBorders>
              <w:top w:val="single" w:sz="4" w:space="0" w:color="auto"/>
              <w:left w:val="single" w:sz="4" w:space="0" w:color="auto"/>
              <w:bottom w:val="single" w:sz="4" w:space="0" w:color="auto"/>
              <w:right w:val="single" w:sz="4" w:space="0" w:color="auto"/>
            </w:tcBorders>
            <w:hideMark/>
          </w:tcPr>
          <w:p w14:paraId="7AC5FD4F" w14:textId="77777777" w:rsidR="008F053C" w:rsidRPr="004D7E4B" w:rsidRDefault="008F053C"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552E863" w14:textId="77777777" w:rsidR="008F053C" w:rsidRDefault="008F053C" w:rsidP="008F053C">
      <w:pPr>
        <w:spacing w:line="360" w:lineRule="auto"/>
        <w:jc w:val="both"/>
        <w:rPr>
          <w:rFonts w:ascii="Times New Roman" w:hAnsi="Times New Roman" w:cs="Times New Roman"/>
          <w:sz w:val="24"/>
          <w:szCs w:val="24"/>
        </w:rPr>
      </w:pPr>
    </w:p>
    <w:p w14:paraId="08AA267D" w14:textId="77777777" w:rsidR="008F053C" w:rsidRDefault="008F053C" w:rsidP="008F053C">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ED68F11"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The majority of respondents fall within the 25 to 35 years age group, constituting 38% of the total sample. This indicates that a significant portion of the feedback and insights come from relatively young professionals who are likely to be actively involved in operational and financial decision-making processes. The next largest group is the 36 to 45 years category, representing 27%, suggesting a good representation of experienced middle-level managers and analysts.</w:t>
      </w:r>
    </w:p>
    <w:p w14:paraId="083B6FDF"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The lower percentages in the below 25 and above 55 age groups (15% and 6%, respectively) imply fewer inputs from fresh entrants or senior experts possibly nearing retirement. However, the presence of respondents across a wide age range ensures a balanced perspective incorporating both fresh and seasoned viewpoints.</w:t>
      </w:r>
    </w:p>
    <w:p w14:paraId="6B3F78AE"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This demographic distribution enhances the reliability of the data, reflecting diverse experiences and opinions on the company’s financial health and performance. Understanding the age profile also helps contextualize the analysis, as different age groups may prioritize varying financial metrics and strategic concerns.</w:t>
      </w:r>
    </w:p>
    <w:p w14:paraId="20CE2BF0" w14:textId="77777777" w:rsidR="008F053C" w:rsidRPr="008F053C" w:rsidRDefault="008F053C" w:rsidP="008F053C">
      <w:pPr>
        <w:spacing w:line="360" w:lineRule="auto"/>
        <w:jc w:val="both"/>
        <w:rPr>
          <w:rFonts w:ascii="Times New Roman" w:hAnsi="Times New Roman" w:cs="Times New Roman"/>
          <w:bCs/>
          <w:sz w:val="24"/>
          <w:szCs w:val="24"/>
          <w:lang w:val="en-US"/>
        </w:rPr>
      </w:pPr>
    </w:p>
    <w:p w14:paraId="3782D01C" w14:textId="77777777" w:rsidR="008F053C" w:rsidRPr="00967E78" w:rsidRDefault="008F053C" w:rsidP="008F053C">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30768A7B" w14:textId="77777777" w:rsidR="008F053C" w:rsidRPr="004D7E4B" w:rsidRDefault="008F053C" w:rsidP="008F053C">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F053C" w:rsidRPr="004D7E4B" w14:paraId="24CA05CE"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EAB4F06" w14:textId="77777777" w:rsidR="008F053C" w:rsidRPr="004D7E4B" w:rsidRDefault="008F053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D0377D1" w14:textId="77777777" w:rsidR="008F053C" w:rsidRPr="004D7E4B" w:rsidRDefault="008F053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9185037" w14:textId="77777777" w:rsidR="008F053C" w:rsidRPr="004D7E4B" w:rsidRDefault="008F053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F053C" w:rsidRPr="004D7E4B" w14:paraId="51693D7D"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54D6FAC" w14:textId="77777777" w:rsidR="008F053C" w:rsidRPr="004D7E4B" w:rsidRDefault="008F053C"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6C21065" w14:textId="54CDCF58" w:rsidR="008F053C" w:rsidRPr="004D7E4B" w:rsidRDefault="008F053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4DFBD6B8" w14:textId="4D90E850" w:rsidR="008F053C" w:rsidRPr="004D7E4B" w:rsidRDefault="008F053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77</w:t>
            </w:r>
            <w:r w:rsidRPr="004D7E4B">
              <w:rPr>
                <w:rFonts w:ascii="Times New Roman" w:hAnsi="Times New Roman" w:cs="Times New Roman"/>
                <w:bCs/>
                <w:sz w:val="24"/>
                <w:szCs w:val="24"/>
                <w:lang w:val="en-US"/>
              </w:rPr>
              <w:t>%</w:t>
            </w:r>
          </w:p>
        </w:tc>
      </w:tr>
      <w:tr w:rsidR="008F053C" w:rsidRPr="004D7E4B" w14:paraId="7C6FBA2F"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4D68CCC9" w14:textId="77777777" w:rsidR="008F053C" w:rsidRPr="004D7E4B" w:rsidRDefault="008F053C"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88515D5" w14:textId="7D86E3F9" w:rsidR="008F053C" w:rsidRPr="004D7E4B" w:rsidRDefault="008F053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34A36BEA" w14:textId="06DB7213" w:rsidR="008F053C" w:rsidRPr="004D7E4B" w:rsidRDefault="008F053C"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23</w:t>
            </w:r>
            <w:r>
              <w:rPr>
                <w:rFonts w:ascii="Times New Roman" w:hAnsi="Times New Roman" w:cs="Times New Roman"/>
                <w:bCs/>
                <w:sz w:val="24"/>
                <w:szCs w:val="24"/>
                <w:lang w:val="en-US"/>
              </w:rPr>
              <w:t>%</w:t>
            </w:r>
          </w:p>
        </w:tc>
      </w:tr>
      <w:tr w:rsidR="008F053C" w:rsidRPr="004D7E4B" w14:paraId="3664FDA1"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65469688" w14:textId="77777777" w:rsidR="008F053C" w:rsidRPr="004D7E4B" w:rsidRDefault="008F053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009CA2D" w14:textId="680028F4" w:rsidR="008F053C" w:rsidRPr="004D7E4B" w:rsidRDefault="008F053C"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729E1A54" w14:textId="77777777" w:rsidR="008F053C" w:rsidRPr="004D7E4B" w:rsidRDefault="008F053C"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B62DFBB" w14:textId="77777777" w:rsidR="008F053C" w:rsidRDefault="008F053C" w:rsidP="008F053C">
      <w:pPr>
        <w:spacing w:line="360" w:lineRule="auto"/>
        <w:jc w:val="both"/>
        <w:rPr>
          <w:rFonts w:ascii="Times New Roman" w:hAnsi="Times New Roman" w:cs="Times New Roman"/>
          <w:bCs/>
          <w:sz w:val="24"/>
          <w:szCs w:val="24"/>
        </w:rPr>
      </w:pPr>
    </w:p>
    <w:p w14:paraId="7B2DE564" w14:textId="77777777" w:rsidR="008F053C" w:rsidRPr="007B042D" w:rsidRDefault="008F053C" w:rsidP="008F053C">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7E197B49"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The data indicates that a significant majority of respondents, 77%, are male, while female respondents constitute 23% of the total sample. This gender distribution reflects the broader trend in the steel industry, which has traditionally been male-dominated, especially in technical and managerial roles.</w:t>
      </w:r>
    </w:p>
    <w:p w14:paraId="329B8BF1"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The lower representation of female respondents could be attributed to fewer women employed in financial and operational positions within the steel sector. However, the presence of 23% female participants suggests growing gender diversity and inclusion efforts within the industry.</w:t>
      </w:r>
    </w:p>
    <w:p w14:paraId="14547019" w14:textId="77777777" w:rsidR="008F053C" w:rsidRPr="008F053C" w:rsidRDefault="008F053C" w:rsidP="008F053C">
      <w:p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The gender-wise breakdown of respondents provides a well-rounded viewpoint, although future studies might benefit from increased female participation to better understand diverse perspectives in financial analysis and decision-making. Overall, the gender distribution supports the credibility of the data collected, reflecting the demographic reality of the sector.</w:t>
      </w:r>
    </w:p>
    <w:p w14:paraId="059496C9" w14:textId="5610897A" w:rsidR="008F053C" w:rsidRDefault="008F053C" w:rsidP="008F053C">
      <w:pPr>
        <w:spacing w:line="360" w:lineRule="auto"/>
        <w:jc w:val="both"/>
        <w:rPr>
          <w:rFonts w:ascii="Times New Roman" w:hAnsi="Times New Roman" w:cs="Times New Roman"/>
          <w:bCs/>
          <w:sz w:val="24"/>
          <w:szCs w:val="24"/>
        </w:rPr>
      </w:pPr>
    </w:p>
    <w:p w14:paraId="145258C6" w14:textId="77777777" w:rsidR="008F053C" w:rsidRDefault="008F053C" w:rsidP="008F053C">
      <w:pPr>
        <w:spacing w:line="360" w:lineRule="auto"/>
        <w:jc w:val="both"/>
        <w:rPr>
          <w:rFonts w:ascii="Times New Roman" w:hAnsi="Times New Roman" w:cs="Times New Roman"/>
          <w:bCs/>
          <w:sz w:val="24"/>
          <w:szCs w:val="24"/>
        </w:rPr>
      </w:pPr>
    </w:p>
    <w:p w14:paraId="2F281531" w14:textId="77777777" w:rsidR="008F053C" w:rsidRDefault="008F053C" w:rsidP="008F053C">
      <w:pPr>
        <w:spacing w:line="360" w:lineRule="auto"/>
        <w:jc w:val="both"/>
        <w:rPr>
          <w:rFonts w:ascii="Times New Roman" w:hAnsi="Times New Roman" w:cs="Times New Roman"/>
          <w:bCs/>
          <w:sz w:val="24"/>
          <w:szCs w:val="24"/>
        </w:rPr>
      </w:pPr>
    </w:p>
    <w:p w14:paraId="3639D79A" w14:textId="77777777" w:rsidR="008F053C" w:rsidRDefault="008F053C" w:rsidP="008F053C">
      <w:pPr>
        <w:spacing w:line="360" w:lineRule="auto"/>
        <w:jc w:val="both"/>
        <w:rPr>
          <w:rFonts w:ascii="Times New Roman" w:hAnsi="Times New Roman" w:cs="Times New Roman"/>
          <w:bCs/>
          <w:sz w:val="24"/>
          <w:szCs w:val="24"/>
        </w:rPr>
      </w:pPr>
    </w:p>
    <w:p w14:paraId="79B0B989" w14:textId="77777777" w:rsidR="008F053C" w:rsidRDefault="008F053C" w:rsidP="008F053C">
      <w:pPr>
        <w:spacing w:line="360" w:lineRule="auto"/>
        <w:jc w:val="both"/>
        <w:rPr>
          <w:rFonts w:ascii="Times New Roman" w:hAnsi="Times New Roman" w:cs="Times New Roman"/>
          <w:bCs/>
          <w:sz w:val="24"/>
          <w:szCs w:val="24"/>
        </w:rPr>
      </w:pPr>
    </w:p>
    <w:p w14:paraId="7D52DC18" w14:textId="77777777" w:rsidR="008F053C" w:rsidRDefault="008F053C" w:rsidP="008F053C">
      <w:pPr>
        <w:spacing w:line="360" w:lineRule="auto"/>
        <w:jc w:val="both"/>
        <w:rPr>
          <w:rFonts w:ascii="Times New Roman" w:hAnsi="Times New Roman" w:cs="Times New Roman"/>
          <w:bCs/>
          <w:sz w:val="24"/>
          <w:szCs w:val="24"/>
        </w:rPr>
      </w:pPr>
    </w:p>
    <w:p w14:paraId="502EE572" w14:textId="77777777" w:rsidR="008F053C" w:rsidRDefault="008F053C" w:rsidP="008F053C">
      <w:pPr>
        <w:spacing w:line="360" w:lineRule="auto"/>
        <w:jc w:val="both"/>
        <w:rPr>
          <w:rFonts w:ascii="Times New Roman" w:hAnsi="Times New Roman" w:cs="Times New Roman"/>
          <w:bCs/>
          <w:sz w:val="24"/>
          <w:szCs w:val="24"/>
        </w:rPr>
      </w:pPr>
    </w:p>
    <w:p w14:paraId="0DE3EDD5" w14:textId="77777777" w:rsidR="008F053C" w:rsidRDefault="008F053C" w:rsidP="008F053C">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7CC4EBED" w14:textId="3AC07C55" w:rsidR="008F053C" w:rsidRPr="008F053C" w:rsidRDefault="008F053C" w:rsidP="008F053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F053C">
        <w:rPr>
          <w:rFonts w:ascii="Times New Roman" w:hAnsi="Times New Roman" w:cs="Times New Roman"/>
          <w:bCs/>
          <w:sz w:val="24"/>
          <w:szCs w:val="24"/>
        </w:rPr>
        <w:t>This study on the financial statement analysis of the selected steel company provides valuable insights into its overall financial health and operational efficiency. Through the application of various financial tools such as ratio analysis, trend analysis, and comparative evaluation, it is evident that the company exhibits strengths in certain areas like profitability and asset utilization, while facing challenges in managing liquidity and controlling costs.</w:t>
      </w:r>
    </w:p>
    <w:p w14:paraId="299BEA45" w14:textId="409D9DE7" w:rsidR="008F053C" w:rsidRPr="008F053C" w:rsidRDefault="008F053C" w:rsidP="008F053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F053C">
        <w:rPr>
          <w:rFonts w:ascii="Times New Roman" w:hAnsi="Times New Roman" w:cs="Times New Roman"/>
          <w:bCs/>
          <w:sz w:val="24"/>
          <w:szCs w:val="24"/>
        </w:rPr>
        <w:t>The analysis reveals that while the company maintains a stable capital structure and has shown consistent revenue growth over the study period, fluctuations in raw material prices and market demand have impacted profit margins. Effective working capital management and cost control remain critical for sustaining profitability in the highly competitive and cyclical steel industry.</w:t>
      </w:r>
    </w:p>
    <w:p w14:paraId="5D77269E" w14:textId="3628799F" w:rsidR="008F053C" w:rsidRPr="008F053C" w:rsidRDefault="008F053C" w:rsidP="008F053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F053C">
        <w:rPr>
          <w:rFonts w:ascii="Times New Roman" w:hAnsi="Times New Roman" w:cs="Times New Roman"/>
          <w:bCs/>
          <w:sz w:val="24"/>
          <w:szCs w:val="24"/>
        </w:rPr>
        <w:t>Moreover, comparison with industry benchmarks highlights the need for the company to improve its liquidity position and enhance operational efficiency to strengthen its financial stability. The study underscores the importance of regular financial monitoring and strategic planning to navigate industry challenges and capitalize on growth opportunities.</w:t>
      </w:r>
    </w:p>
    <w:p w14:paraId="3F11552A" w14:textId="09F9F41D" w:rsidR="008F053C" w:rsidRPr="008F053C" w:rsidRDefault="008F053C" w:rsidP="008F053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F053C">
        <w:rPr>
          <w:rFonts w:ascii="Times New Roman" w:hAnsi="Times New Roman" w:cs="Times New Roman"/>
          <w:bCs/>
          <w:sz w:val="24"/>
          <w:szCs w:val="24"/>
        </w:rPr>
        <w:t xml:space="preserve">In conclusion, the financial statement analysis not only serves as a tool to evaluate past </w:t>
      </w:r>
      <w:r>
        <w:rPr>
          <w:rFonts w:ascii="Times New Roman" w:hAnsi="Times New Roman" w:cs="Times New Roman"/>
          <w:bCs/>
          <w:sz w:val="24"/>
          <w:szCs w:val="24"/>
        </w:rPr>
        <w:t xml:space="preserve">  </w:t>
      </w:r>
      <w:r w:rsidRPr="008F053C">
        <w:rPr>
          <w:rFonts w:ascii="Times New Roman" w:hAnsi="Times New Roman" w:cs="Times New Roman"/>
          <w:bCs/>
          <w:sz w:val="24"/>
          <w:szCs w:val="24"/>
        </w:rPr>
        <w:t>performance but also guides management, investors, and stakeholders in making informed decisions for future growth and sustainability. Continued efforts to optimize financial management practices and adapt to changing market conditions will be key to the company’s long-term success in the steel sector.</w:t>
      </w:r>
    </w:p>
    <w:p w14:paraId="5797D529" w14:textId="77777777" w:rsidR="008F053C" w:rsidRDefault="008F053C" w:rsidP="008F053C">
      <w:pPr>
        <w:spacing w:line="360" w:lineRule="auto"/>
        <w:jc w:val="both"/>
        <w:rPr>
          <w:rFonts w:ascii="Times New Roman" w:hAnsi="Times New Roman" w:cs="Times New Roman"/>
          <w:bCs/>
          <w:sz w:val="24"/>
          <w:szCs w:val="24"/>
        </w:rPr>
      </w:pPr>
    </w:p>
    <w:p w14:paraId="7E5FD5CA" w14:textId="77777777" w:rsidR="008F053C" w:rsidRDefault="008F053C" w:rsidP="008F053C">
      <w:pPr>
        <w:spacing w:line="360" w:lineRule="auto"/>
        <w:jc w:val="both"/>
        <w:rPr>
          <w:rFonts w:ascii="Times New Roman" w:hAnsi="Times New Roman" w:cs="Times New Roman"/>
          <w:bCs/>
          <w:sz w:val="24"/>
          <w:szCs w:val="24"/>
        </w:rPr>
      </w:pPr>
    </w:p>
    <w:p w14:paraId="4C75C4C5" w14:textId="77777777" w:rsidR="008F053C" w:rsidRDefault="008F053C" w:rsidP="008F053C">
      <w:pPr>
        <w:spacing w:line="360" w:lineRule="auto"/>
        <w:jc w:val="both"/>
        <w:rPr>
          <w:rFonts w:ascii="Times New Roman" w:hAnsi="Times New Roman" w:cs="Times New Roman"/>
          <w:bCs/>
          <w:sz w:val="24"/>
          <w:szCs w:val="24"/>
        </w:rPr>
      </w:pPr>
    </w:p>
    <w:p w14:paraId="7BB71814" w14:textId="77777777" w:rsidR="008F053C" w:rsidRDefault="008F053C" w:rsidP="008F053C">
      <w:pPr>
        <w:spacing w:line="360" w:lineRule="auto"/>
        <w:jc w:val="both"/>
        <w:rPr>
          <w:rFonts w:ascii="Times New Roman" w:hAnsi="Times New Roman" w:cs="Times New Roman"/>
          <w:bCs/>
          <w:sz w:val="24"/>
          <w:szCs w:val="24"/>
        </w:rPr>
      </w:pPr>
    </w:p>
    <w:p w14:paraId="03D58FDD" w14:textId="77777777" w:rsidR="008F053C" w:rsidRDefault="008F053C" w:rsidP="008F053C">
      <w:pPr>
        <w:spacing w:line="360" w:lineRule="auto"/>
        <w:jc w:val="both"/>
        <w:rPr>
          <w:rFonts w:ascii="Times New Roman" w:hAnsi="Times New Roman" w:cs="Times New Roman"/>
          <w:bCs/>
          <w:sz w:val="24"/>
          <w:szCs w:val="24"/>
        </w:rPr>
      </w:pPr>
    </w:p>
    <w:p w14:paraId="26BED6E2" w14:textId="77777777" w:rsidR="008F053C" w:rsidRDefault="008F053C" w:rsidP="008F053C">
      <w:pPr>
        <w:spacing w:line="360" w:lineRule="auto"/>
        <w:jc w:val="both"/>
        <w:rPr>
          <w:rFonts w:ascii="Times New Roman" w:hAnsi="Times New Roman" w:cs="Times New Roman"/>
          <w:bCs/>
          <w:sz w:val="24"/>
          <w:szCs w:val="24"/>
        </w:rPr>
      </w:pPr>
    </w:p>
    <w:p w14:paraId="6224E75F" w14:textId="77777777" w:rsidR="008F053C" w:rsidRDefault="008F053C" w:rsidP="008F053C">
      <w:pPr>
        <w:spacing w:line="360" w:lineRule="auto"/>
        <w:jc w:val="both"/>
        <w:rPr>
          <w:rFonts w:ascii="Times New Roman" w:hAnsi="Times New Roman" w:cs="Times New Roman"/>
          <w:bCs/>
          <w:sz w:val="24"/>
          <w:szCs w:val="24"/>
        </w:rPr>
      </w:pPr>
    </w:p>
    <w:p w14:paraId="20F8D404" w14:textId="77777777" w:rsidR="008F053C" w:rsidRDefault="008F053C" w:rsidP="008F053C">
      <w:pPr>
        <w:spacing w:line="360" w:lineRule="auto"/>
        <w:jc w:val="both"/>
        <w:rPr>
          <w:rFonts w:ascii="Times New Roman" w:hAnsi="Times New Roman" w:cs="Times New Roman"/>
          <w:bCs/>
          <w:sz w:val="24"/>
          <w:szCs w:val="24"/>
        </w:rPr>
      </w:pPr>
    </w:p>
    <w:p w14:paraId="30F2554D" w14:textId="77777777" w:rsidR="008F053C" w:rsidRDefault="008F053C" w:rsidP="008F053C">
      <w:pPr>
        <w:spacing w:line="360" w:lineRule="auto"/>
        <w:jc w:val="both"/>
        <w:rPr>
          <w:rFonts w:ascii="Times New Roman" w:hAnsi="Times New Roman" w:cs="Times New Roman"/>
          <w:bCs/>
          <w:sz w:val="24"/>
          <w:szCs w:val="24"/>
        </w:rPr>
      </w:pPr>
    </w:p>
    <w:p w14:paraId="56DA79AC" w14:textId="77777777" w:rsidR="008F053C" w:rsidRPr="007B042D" w:rsidRDefault="008F053C" w:rsidP="008F053C">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4776279"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Pandey, I. M. (2005). </w:t>
      </w:r>
      <w:r w:rsidRPr="008F053C">
        <w:rPr>
          <w:rFonts w:ascii="Times New Roman" w:hAnsi="Times New Roman" w:cs="Times New Roman"/>
          <w:bCs/>
          <w:i/>
          <w:iCs/>
          <w:sz w:val="24"/>
          <w:szCs w:val="24"/>
        </w:rPr>
        <w:t>Financial Management</w:t>
      </w:r>
      <w:r w:rsidRPr="008F053C">
        <w:rPr>
          <w:rFonts w:ascii="Times New Roman" w:hAnsi="Times New Roman" w:cs="Times New Roman"/>
          <w:bCs/>
          <w:sz w:val="24"/>
          <w:szCs w:val="24"/>
        </w:rPr>
        <w:t xml:space="preserve"> (9th Edition). Vikas Publishing House </w:t>
      </w:r>
      <w:proofErr w:type="spellStart"/>
      <w:r w:rsidRPr="008F053C">
        <w:rPr>
          <w:rFonts w:ascii="Times New Roman" w:hAnsi="Times New Roman" w:cs="Times New Roman"/>
          <w:bCs/>
          <w:sz w:val="24"/>
          <w:szCs w:val="24"/>
        </w:rPr>
        <w:t>Pvt.</w:t>
      </w:r>
      <w:proofErr w:type="spellEnd"/>
      <w:r w:rsidRPr="008F053C">
        <w:rPr>
          <w:rFonts w:ascii="Times New Roman" w:hAnsi="Times New Roman" w:cs="Times New Roman"/>
          <w:bCs/>
          <w:sz w:val="24"/>
          <w:szCs w:val="24"/>
        </w:rPr>
        <w:t xml:space="preserve"> Ltd.</w:t>
      </w:r>
    </w:p>
    <w:p w14:paraId="33099DBD"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Kumar, S., &amp; Sharma, R. (2012). Financial Performance Analysis of Indian Steel Companies. </w:t>
      </w:r>
      <w:r w:rsidRPr="008F053C">
        <w:rPr>
          <w:rFonts w:ascii="Times New Roman" w:hAnsi="Times New Roman" w:cs="Times New Roman"/>
          <w:bCs/>
          <w:i/>
          <w:iCs/>
          <w:sz w:val="24"/>
          <w:szCs w:val="24"/>
        </w:rPr>
        <w:t>International Journal of Business and Management</w:t>
      </w:r>
      <w:r w:rsidRPr="008F053C">
        <w:rPr>
          <w:rFonts w:ascii="Times New Roman" w:hAnsi="Times New Roman" w:cs="Times New Roman"/>
          <w:bCs/>
          <w:sz w:val="24"/>
          <w:szCs w:val="24"/>
        </w:rPr>
        <w:t>, 7(2), 45-52.</w:t>
      </w:r>
    </w:p>
    <w:p w14:paraId="12F53713"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Reddy, V. (2016). Comparative Financial Analysis of Selected Steel Companies in India. </w:t>
      </w:r>
      <w:r w:rsidRPr="008F053C">
        <w:rPr>
          <w:rFonts w:ascii="Times New Roman" w:hAnsi="Times New Roman" w:cs="Times New Roman"/>
          <w:bCs/>
          <w:i/>
          <w:iCs/>
          <w:sz w:val="24"/>
          <w:szCs w:val="24"/>
        </w:rPr>
        <w:t>Journal of Finance and Economics</w:t>
      </w:r>
      <w:r w:rsidRPr="008F053C">
        <w:rPr>
          <w:rFonts w:ascii="Times New Roman" w:hAnsi="Times New Roman" w:cs="Times New Roman"/>
          <w:bCs/>
          <w:sz w:val="24"/>
          <w:szCs w:val="24"/>
        </w:rPr>
        <w:t>, 4(1), 33-40.</w:t>
      </w:r>
    </w:p>
    <w:p w14:paraId="644E9E74"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Verma, A., &amp; Gupta, P. (2018). Impact of Financial Performance on Shareholder Value: Evidence from Steel Sector. </w:t>
      </w:r>
      <w:r w:rsidRPr="008F053C">
        <w:rPr>
          <w:rFonts w:ascii="Times New Roman" w:hAnsi="Times New Roman" w:cs="Times New Roman"/>
          <w:bCs/>
          <w:i/>
          <w:iCs/>
          <w:sz w:val="24"/>
          <w:szCs w:val="24"/>
        </w:rPr>
        <w:t>Global Journal of Management and Business Research</w:t>
      </w:r>
      <w:r w:rsidRPr="008F053C">
        <w:rPr>
          <w:rFonts w:ascii="Times New Roman" w:hAnsi="Times New Roman" w:cs="Times New Roman"/>
          <w:bCs/>
          <w:sz w:val="24"/>
          <w:szCs w:val="24"/>
        </w:rPr>
        <w:t>, 18(3), 27-34.</w:t>
      </w:r>
    </w:p>
    <w:p w14:paraId="3721BE14"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Singh, A., Patel, M., &amp; Joshi, K. (2021). Financial Impact of COVID-19 on Steel Industry: An Analytical Study. </w:t>
      </w:r>
      <w:r w:rsidRPr="008F053C">
        <w:rPr>
          <w:rFonts w:ascii="Times New Roman" w:hAnsi="Times New Roman" w:cs="Times New Roman"/>
          <w:bCs/>
          <w:i/>
          <w:iCs/>
          <w:sz w:val="24"/>
          <w:szCs w:val="24"/>
        </w:rPr>
        <w:t>International Journal of Economic Studies</w:t>
      </w:r>
      <w:r w:rsidRPr="008F053C">
        <w:rPr>
          <w:rFonts w:ascii="Times New Roman" w:hAnsi="Times New Roman" w:cs="Times New Roman"/>
          <w:bCs/>
          <w:sz w:val="24"/>
          <w:szCs w:val="24"/>
        </w:rPr>
        <w:t>, 9(4), 65-74.</w:t>
      </w:r>
    </w:p>
    <w:p w14:paraId="2485DB5C"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Joshi, R. (2022). Sustainability Reporting and Financial Performance in Steel Industry. </w:t>
      </w:r>
      <w:r w:rsidRPr="008F053C">
        <w:rPr>
          <w:rFonts w:ascii="Times New Roman" w:hAnsi="Times New Roman" w:cs="Times New Roman"/>
          <w:bCs/>
          <w:i/>
          <w:iCs/>
          <w:sz w:val="24"/>
          <w:szCs w:val="24"/>
        </w:rPr>
        <w:t>Journal of Corporate Responsibility</w:t>
      </w:r>
      <w:r w:rsidRPr="008F053C">
        <w:rPr>
          <w:rFonts w:ascii="Times New Roman" w:hAnsi="Times New Roman" w:cs="Times New Roman"/>
          <w:bCs/>
          <w:sz w:val="24"/>
          <w:szCs w:val="24"/>
        </w:rPr>
        <w:t>, 12(1), 15-22.</w:t>
      </w:r>
    </w:p>
    <w:p w14:paraId="3E3D26F2"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Ministry of Commerce and Industry, Government of India. (2023). </w:t>
      </w:r>
      <w:r w:rsidRPr="008F053C">
        <w:rPr>
          <w:rFonts w:ascii="Times New Roman" w:hAnsi="Times New Roman" w:cs="Times New Roman"/>
          <w:bCs/>
          <w:i/>
          <w:iCs/>
          <w:sz w:val="24"/>
          <w:szCs w:val="24"/>
        </w:rPr>
        <w:t>Annual Report on Steel Industry</w:t>
      </w:r>
      <w:r w:rsidRPr="008F053C">
        <w:rPr>
          <w:rFonts w:ascii="Times New Roman" w:hAnsi="Times New Roman" w:cs="Times New Roman"/>
          <w:bCs/>
          <w:sz w:val="24"/>
          <w:szCs w:val="24"/>
        </w:rPr>
        <w:t>. New Delhi: Government Press.</w:t>
      </w:r>
    </w:p>
    <w:p w14:paraId="4B0BF98A"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Securities and Exchange Board of India (SEBI). (2023). </w:t>
      </w:r>
      <w:r w:rsidRPr="008F053C">
        <w:rPr>
          <w:rFonts w:ascii="Times New Roman" w:hAnsi="Times New Roman" w:cs="Times New Roman"/>
          <w:bCs/>
          <w:i/>
          <w:iCs/>
          <w:sz w:val="24"/>
          <w:szCs w:val="24"/>
        </w:rPr>
        <w:t>Annual Reports and Financial Disclosures of Steel Companies</w:t>
      </w:r>
      <w:r w:rsidRPr="008F053C">
        <w:rPr>
          <w:rFonts w:ascii="Times New Roman" w:hAnsi="Times New Roman" w:cs="Times New Roman"/>
          <w:bCs/>
          <w:sz w:val="24"/>
          <w:szCs w:val="24"/>
        </w:rPr>
        <w:t xml:space="preserve">. Retrieved from </w:t>
      </w:r>
      <w:hyperlink r:id="rId5" w:tgtFrame="_new" w:history="1">
        <w:r w:rsidRPr="008F053C">
          <w:rPr>
            <w:rStyle w:val="Hyperlink"/>
            <w:rFonts w:ascii="Times New Roman" w:hAnsi="Times New Roman" w:cs="Times New Roman"/>
            <w:bCs/>
            <w:sz w:val="24"/>
            <w:szCs w:val="24"/>
          </w:rPr>
          <w:t>https://www.sebi.gov.in</w:t>
        </w:r>
      </w:hyperlink>
    </w:p>
    <w:p w14:paraId="257104FE"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Damodaran, A. (2012). </w:t>
      </w:r>
      <w:r w:rsidRPr="008F053C">
        <w:rPr>
          <w:rFonts w:ascii="Times New Roman" w:hAnsi="Times New Roman" w:cs="Times New Roman"/>
          <w:bCs/>
          <w:i/>
          <w:iCs/>
          <w:sz w:val="24"/>
          <w:szCs w:val="24"/>
        </w:rPr>
        <w:t>Investment Valuation: Tools and Techniques for Determining the Value of Any Asset</w:t>
      </w:r>
      <w:r w:rsidRPr="008F053C">
        <w:rPr>
          <w:rFonts w:ascii="Times New Roman" w:hAnsi="Times New Roman" w:cs="Times New Roman"/>
          <w:bCs/>
          <w:sz w:val="24"/>
          <w:szCs w:val="24"/>
        </w:rPr>
        <w:t xml:space="preserve"> (3rd Edition). Wiley Finance.</w:t>
      </w:r>
    </w:p>
    <w:p w14:paraId="7BD9404A" w14:textId="77777777" w:rsidR="008F053C" w:rsidRPr="008F053C" w:rsidRDefault="008F053C" w:rsidP="008F053C">
      <w:pPr>
        <w:numPr>
          <w:ilvl w:val="0"/>
          <w:numId w:val="7"/>
        </w:numPr>
        <w:spacing w:line="360" w:lineRule="auto"/>
        <w:jc w:val="both"/>
        <w:rPr>
          <w:rFonts w:ascii="Times New Roman" w:hAnsi="Times New Roman" w:cs="Times New Roman"/>
          <w:bCs/>
          <w:sz w:val="24"/>
          <w:szCs w:val="24"/>
        </w:rPr>
      </w:pPr>
      <w:r w:rsidRPr="008F053C">
        <w:rPr>
          <w:rFonts w:ascii="Times New Roman" w:hAnsi="Times New Roman" w:cs="Times New Roman"/>
          <w:bCs/>
          <w:sz w:val="24"/>
          <w:szCs w:val="24"/>
        </w:rPr>
        <w:t xml:space="preserve">Higgins, R. C. (2018). </w:t>
      </w:r>
      <w:r w:rsidRPr="008F053C">
        <w:rPr>
          <w:rFonts w:ascii="Times New Roman" w:hAnsi="Times New Roman" w:cs="Times New Roman"/>
          <w:bCs/>
          <w:i/>
          <w:iCs/>
          <w:sz w:val="24"/>
          <w:szCs w:val="24"/>
        </w:rPr>
        <w:t>Analysis for Financial Management</w:t>
      </w:r>
      <w:r w:rsidRPr="008F053C">
        <w:rPr>
          <w:rFonts w:ascii="Times New Roman" w:hAnsi="Times New Roman" w:cs="Times New Roman"/>
          <w:bCs/>
          <w:sz w:val="24"/>
          <w:szCs w:val="24"/>
        </w:rPr>
        <w:t xml:space="preserve"> (12th Edition). McGraw-Hill Education.</w:t>
      </w:r>
    </w:p>
    <w:p w14:paraId="50899639" w14:textId="77777777" w:rsidR="008F053C" w:rsidRPr="00E93274" w:rsidRDefault="008F053C" w:rsidP="008F053C">
      <w:pPr>
        <w:spacing w:line="360" w:lineRule="auto"/>
        <w:jc w:val="both"/>
        <w:rPr>
          <w:rFonts w:ascii="Times New Roman" w:hAnsi="Times New Roman" w:cs="Times New Roman"/>
          <w:bCs/>
          <w:sz w:val="24"/>
          <w:szCs w:val="24"/>
        </w:rPr>
      </w:pPr>
    </w:p>
    <w:sectPr w:rsidR="008F053C" w:rsidRPr="00E93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E31B4"/>
    <w:multiLevelType w:val="multilevel"/>
    <w:tmpl w:val="236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7F608D"/>
    <w:multiLevelType w:val="hybridMultilevel"/>
    <w:tmpl w:val="8124CA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A9A58EA"/>
    <w:multiLevelType w:val="hybridMultilevel"/>
    <w:tmpl w:val="910AD7D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BF271B1"/>
    <w:multiLevelType w:val="hybridMultilevel"/>
    <w:tmpl w:val="BEE0128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DD6088D"/>
    <w:multiLevelType w:val="multilevel"/>
    <w:tmpl w:val="60D06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7E0E45"/>
    <w:multiLevelType w:val="multilevel"/>
    <w:tmpl w:val="24F4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412A44"/>
    <w:multiLevelType w:val="hybridMultilevel"/>
    <w:tmpl w:val="78086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7501171">
    <w:abstractNumId w:val="1"/>
  </w:num>
  <w:num w:numId="2" w16cid:durableId="968167453">
    <w:abstractNumId w:val="2"/>
  </w:num>
  <w:num w:numId="3" w16cid:durableId="183791382">
    <w:abstractNumId w:val="6"/>
  </w:num>
  <w:num w:numId="4" w16cid:durableId="633679964">
    <w:abstractNumId w:val="3"/>
  </w:num>
  <w:num w:numId="5" w16cid:durableId="1658803423">
    <w:abstractNumId w:val="5"/>
  </w:num>
  <w:num w:numId="6" w16cid:durableId="284969722">
    <w:abstractNumId w:val="0"/>
  </w:num>
  <w:num w:numId="7" w16cid:durableId="13273221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27"/>
    <w:rsid w:val="0020187E"/>
    <w:rsid w:val="005720D2"/>
    <w:rsid w:val="008F053C"/>
    <w:rsid w:val="008F7F7B"/>
    <w:rsid w:val="00B44327"/>
    <w:rsid w:val="00E75FD5"/>
    <w:rsid w:val="00E932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14F3"/>
  <w15:chartTrackingRefBased/>
  <w15:docId w15:val="{FB5401A3-4840-43EF-949D-C00B7EB01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274"/>
  </w:style>
  <w:style w:type="paragraph" w:styleId="Heading1">
    <w:name w:val="heading 1"/>
    <w:basedOn w:val="Normal"/>
    <w:next w:val="Normal"/>
    <w:link w:val="Heading1Char"/>
    <w:uiPriority w:val="9"/>
    <w:qFormat/>
    <w:rsid w:val="00B443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43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43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43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43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4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3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43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43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43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43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4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327"/>
    <w:rPr>
      <w:rFonts w:eastAsiaTheme="majorEastAsia" w:cstheme="majorBidi"/>
      <w:color w:val="272727" w:themeColor="text1" w:themeTint="D8"/>
    </w:rPr>
  </w:style>
  <w:style w:type="paragraph" w:styleId="Title">
    <w:name w:val="Title"/>
    <w:basedOn w:val="Normal"/>
    <w:next w:val="Normal"/>
    <w:link w:val="TitleChar"/>
    <w:uiPriority w:val="10"/>
    <w:qFormat/>
    <w:rsid w:val="00B44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327"/>
    <w:pPr>
      <w:spacing w:before="160"/>
      <w:jc w:val="center"/>
    </w:pPr>
    <w:rPr>
      <w:i/>
      <w:iCs/>
      <w:color w:val="404040" w:themeColor="text1" w:themeTint="BF"/>
    </w:rPr>
  </w:style>
  <w:style w:type="character" w:customStyle="1" w:styleId="QuoteChar">
    <w:name w:val="Quote Char"/>
    <w:basedOn w:val="DefaultParagraphFont"/>
    <w:link w:val="Quote"/>
    <w:uiPriority w:val="29"/>
    <w:rsid w:val="00B44327"/>
    <w:rPr>
      <w:i/>
      <w:iCs/>
      <w:color w:val="404040" w:themeColor="text1" w:themeTint="BF"/>
    </w:rPr>
  </w:style>
  <w:style w:type="paragraph" w:styleId="ListParagraph">
    <w:name w:val="List Paragraph"/>
    <w:basedOn w:val="Normal"/>
    <w:uiPriority w:val="34"/>
    <w:qFormat/>
    <w:rsid w:val="00B44327"/>
    <w:pPr>
      <w:ind w:left="720"/>
      <w:contextualSpacing/>
    </w:pPr>
  </w:style>
  <w:style w:type="character" w:styleId="IntenseEmphasis">
    <w:name w:val="Intense Emphasis"/>
    <w:basedOn w:val="DefaultParagraphFont"/>
    <w:uiPriority w:val="21"/>
    <w:qFormat/>
    <w:rsid w:val="00B44327"/>
    <w:rPr>
      <w:i/>
      <w:iCs/>
      <w:color w:val="2F5496" w:themeColor="accent1" w:themeShade="BF"/>
    </w:rPr>
  </w:style>
  <w:style w:type="paragraph" w:styleId="IntenseQuote">
    <w:name w:val="Intense Quote"/>
    <w:basedOn w:val="Normal"/>
    <w:next w:val="Normal"/>
    <w:link w:val="IntenseQuoteChar"/>
    <w:uiPriority w:val="30"/>
    <w:qFormat/>
    <w:rsid w:val="00B443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4327"/>
    <w:rPr>
      <w:i/>
      <w:iCs/>
      <w:color w:val="2F5496" w:themeColor="accent1" w:themeShade="BF"/>
    </w:rPr>
  </w:style>
  <w:style w:type="character" w:styleId="IntenseReference">
    <w:name w:val="Intense Reference"/>
    <w:basedOn w:val="DefaultParagraphFont"/>
    <w:uiPriority w:val="32"/>
    <w:qFormat/>
    <w:rsid w:val="00B44327"/>
    <w:rPr>
      <w:b/>
      <w:bCs/>
      <w:smallCaps/>
      <w:color w:val="2F5496" w:themeColor="accent1" w:themeShade="BF"/>
      <w:spacing w:val="5"/>
    </w:rPr>
  </w:style>
  <w:style w:type="character" w:styleId="Hyperlink">
    <w:name w:val="Hyperlink"/>
    <w:basedOn w:val="DefaultParagraphFont"/>
    <w:uiPriority w:val="99"/>
    <w:unhideWhenUsed/>
    <w:rsid w:val="008F053C"/>
    <w:rPr>
      <w:color w:val="0563C1" w:themeColor="hyperlink"/>
      <w:u w:val="single"/>
    </w:rPr>
  </w:style>
  <w:style w:type="character" w:styleId="UnresolvedMention">
    <w:name w:val="Unresolved Mention"/>
    <w:basedOn w:val="DefaultParagraphFont"/>
    <w:uiPriority w:val="99"/>
    <w:semiHidden/>
    <w:unhideWhenUsed/>
    <w:rsid w:val="008F0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81386">
      <w:bodyDiv w:val="1"/>
      <w:marLeft w:val="0"/>
      <w:marRight w:val="0"/>
      <w:marTop w:val="0"/>
      <w:marBottom w:val="0"/>
      <w:divBdr>
        <w:top w:val="none" w:sz="0" w:space="0" w:color="auto"/>
        <w:left w:val="none" w:sz="0" w:space="0" w:color="auto"/>
        <w:bottom w:val="none" w:sz="0" w:space="0" w:color="auto"/>
        <w:right w:val="none" w:sz="0" w:space="0" w:color="auto"/>
      </w:divBdr>
    </w:div>
    <w:div w:id="94062062">
      <w:bodyDiv w:val="1"/>
      <w:marLeft w:val="0"/>
      <w:marRight w:val="0"/>
      <w:marTop w:val="0"/>
      <w:marBottom w:val="0"/>
      <w:divBdr>
        <w:top w:val="none" w:sz="0" w:space="0" w:color="auto"/>
        <w:left w:val="none" w:sz="0" w:space="0" w:color="auto"/>
        <w:bottom w:val="none" w:sz="0" w:space="0" w:color="auto"/>
        <w:right w:val="none" w:sz="0" w:space="0" w:color="auto"/>
      </w:divBdr>
    </w:div>
    <w:div w:id="182669337">
      <w:bodyDiv w:val="1"/>
      <w:marLeft w:val="0"/>
      <w:marRight w:val="0"/>
      <w:marTop w:val="0"/>
      <w:marBottom w:val="0"/>
      <w:divBdr>
        <w:top w:val="none" w:sz="0" w:space="0" w:color="auto"/>
        <w:left w:val="none" w:sz="0" w:space="0" w:color="auto"/>
        <w:bottom w:val="none" w:sz="0" w:space="0" w:color="auto"/>
        <w:right w:val="none" w:sz="0" w:space="0" w:color="auto"/>
      </w:divBdr>
    </w:div>
    <w:div w:id="291249787">
      <w:bodyDiv w:val="1"/>
      <w:marLeft w:val="0"/>
      <w:marRight w:val="0"/>
      <w:marTop w:val="0"/>
      <w:marBottom w:val="0"/>
      <w:divBdr>
        <w:top w:val="none" w:sz="0" w:space="0" w:color="auto"/>
        <w:left w:val="none" w:sz="0" w:space="0" w:color="auto"/>
        <w:bottom w:val="none" w:sz="0" w:space="0" w:color="auto"/>
        <w:right w:val="none" w:sz="0" w:space="0" w:color="auto"/>
      </w:divBdr>
    </w:div>
    <w:div w:id="296108146">
      <w:bodyDiv w:val="1"/>
      <w:marLeft w:val="0"/>
      <w:marRight w:val="0"/>
      <w:marTop w:val="0"/>
      <w:marBottom w:val="0"/>
      <w:divBdr>
        <w:top w:val="none" w:sz="0" w:space="0" w:color="auto"/>
        <w:left w:val="none" w:sz="0" w:space="0" w:color="auto"/>
        <w:bottom w:val="none" w:sz="0" w:space="0" w:color="auto"/>
        <w:right w:val="none" w:sz="0" w:space="0" w:color="auto"/>
      </w:divBdr>
    </w:div>
    <w:div w:id="322005392">
      <w:bodyDiv w:val="1"/>
      <w:marLeft w:val="0"/>
      <w:marRight w:val="0"/>
      <w:marTop w:val="0"/>
      <w:marBottom w:val="0"/>
      <w:divBdr>
        <w:top w:val="none" w:sz="0" w:space="0" w:color="auto"/>
        <w:left w:val="none" w:sz="0" w:space="0" w:color="auto"/>
        <w:bottom w:val="none" w:sz="0" w:space="0" w:color="auto"/>
        <w:right w:val="none" w:sz="0" w:space="0" w:color="auto"/>
      </w:divBdr>
    </w:div>
    <w:div w:id="333191775">
      <w:bodyDiv w:val="1"/>
      <w:marLeft w:val="0"/>
      <w:marRight w:val="0"/>
      <w:marTop w:val="0"/>
      <w:marBottom w:val="0"/>
      <w:divBdr>
        <w:top w:val="none" w:sz="0" w:space="0" w:color="auto"/>
        <w:left w:val="none" w:sz="0" w:space="0" w:color="auto"/>
        <w:bottom w:val="none" w:sz="0" w:space="0" w:color="auto"/>
        <w:right w:val="none" w:sz="0" w:space="0" w:color="auto"/>
      </w:divBdr>
    </w:div>
    <w:div w:id="439910372">
      <w:bodyDiv w:val="1"/>
      <w:marLeft w:val="0"/>
      <w:marRight w:val="0"/>
      <w:marTop w:val="0"/>
      <w:marBottom w:val="0"/>
      <w:divBdr>
        <w:top w:val="none" w:sz="0" w:space="0" w:color="auto"/>
        <w:left w:val="none" w:sz="0" w:space="0" w:color="auto"/>
        <w:bottom w:val="none" w:sz="0" w:space="0" w:color="auto"/>
        <w:right w:val="none" w:sz="0" w:space="0" w:color="auto"/>
      </w:divBdr>
    </w:div>
    <w:div w:id="474565324">
      <w:bodyDiv w:val="1"/>
      <w:marLeft w:val="0"/>
      <w:marRight w:val="0"/>
      <w:marTop w:val="0"/>
      <w:marBottom w:val="0"/>
      <w:divBdr>
        <w:top w:val="none" w:sz="0" w:space="0" w:color="auto"/>
        <w:left w:val="none" w:sz="0" w:space="0" w:color="auto"/>
        <w:bottom w:val="none" w:sz="0" w:space="0" w:color="auto"/>
        <w:right w:val="none" w:sz="0" w:space="0" w:color="auto"/>
      </w:divBdr>
    </w:div>
    <w:div w:id="612908373">
      <w:bodyDiv w:val="1"/>
      <w:marLeft w:val="0"/>
      <w:marRight w:val="0"/>
      <w:marTop w:val="0"/>
      <w:marBottom w:val="0"/>
      <w:divBdr>
        <w:top w:val="none" w:sz="0" w:space="0" w:color="auto"/>
        <w:left w:val="none" w:sz="0" w:space="0" w:color="auto"/>
        <w:bottom w:val="none" w:sz="0" w:space="0" w:color="auto"/>
        <w:right w:val="none" w:sz="0" w:space="0" w:color="auto"/>
      </w:divBdr>
    </w:div>
    <w:div w:id="616452950">
      <w:bodyDiv w:val="1"/>
      <w:marLeft w:val="0"/>
      <w:marRight w:val="0"/>
      <w:marTop w:val="0"/>
      <w:marBottom w:val="0"/>
      <w:divBdr>
        <w:top w:val="none" w:sz="0" w:space="0" w:color="auto"/>
        <w:left w:val="none" w:sz="0" w:space="0" w:color="auto"/>
        <w:bottom w:val="none" w:sz="0" w:space="0" w:color="auto"/>
        <w:right w:val="none" w:sz="0" w:space="0" w:color="auto"/>
      </w:divBdr>
    </w:div>
    <w:div w:id="650869645">
      <w:bodyDiv w:val="1"/>
      <w:marLeft w:val="0"/>
      <w:marRight w:val="0"/>
      <w:marTop w:val="0"/>
      <w:marBottom w:val="0"/>
      <w:divBdr>
        <w:top w:val="none" w:sz="0" w:space="0" w:color="auto"/>
        <w:left w:val="none" w:sz="0" w:space="0" w:color="auto"/>
        <w:bottom w:val="none" w:sz="0" w:space="0" w:color="auto"/>
        <w:right w:val="none" w:sz="0" w:space="0" w:color="auto"/>
      </w:divBdr>
    </w:div>
    <w:div w:id="713042980">
      <w:bodyDiv w:val="1"/>
      <w:marLeft w:val="0"/>
      <w:marRight w:val="0"/>
      <w:marTop w:val="0"/>
      <w:marBottom w:val="0"/>
      <w:divBdr>
        <w:top w:val="none" w:sz="0" w:space="0" w:color="auto"/>
        <w:left w:val="none" w:sz="0" w:space="0" w:color="auto"/>
        <w:bottom w:val="none" w:sz="0" w:space="0" w:color="auto"/>
        <w:right w:val="none" w:sz="0" w:space="0" w:color="auto"/>
      </w:divBdr>
    </w:div>
    <w:div w:id="784009596">
      <w:bodyDiv w:val="1"/>
      <w:marLeft w:val="0"/>
      <w:marRight w:val="0"/>
      <w:marTop w:val="0"/>
      <w:marBottom w:val="0"/>
      <w:divBdr>
        <w:top w:val="none" w:sz="0" w:space="0" w:color="auto"/>
        <w:left w:val="none" w:sz="0" w:space="0" w:color="auto"/>
        <w:bottom w:val="none" w:sz="0" w:space="0" w:color="auto"/>
        <w:right w:val="none" w:sz="0" w:space="0" w:color="auto"/>
      </w:divBdr>
    </w:div>
    <w:div w:id="798912837">
      <w:bodyDiv w:val="1"/>
      <w:marLeft w:val="0"/>
      <w:marRight w:val="0"/>
      <w:marTop w:val="0"/>
      <w:marBottom w:val="0"/>
      <w:divBdr>
        <w:top w:val="none" w:sz="0" w:space="0" w:color="auto"/>
        <w:left w:val="none" w:sz="0" w:space="0" w:color="auto"/>
        <w:bottom w:val="none" w:sz="0" w:space="0" w:color="auto"/>
        <w:right w:val="none" w:sz="0" w:space="0" w:color="auto"/>
      </w:divBdr>
    </w:div>
    <w:div w:id="965084149">
      <w:bodyDiv w:val="1"/>
      <w:marLeft w:val="0"/>
      <w:marRight w:val="0"/>
      <w:marTop w:val="0"/>
      <w:marBottom w:val="0"/>
      <w:divBdr>
        <w:top w:val="none" w:sz="0" w:space="0" w:color="auto"/>
        <w:left w:val="none" w:sz="0" w:space="0" w:color="auto"/>
        <w:bottom w:val="none" w:sz="0" w:space="0" w:color="auto"/>
        <w:right w:val="none" w:sz="0" w:space="0" w:color="auto"/>
      </w:divBdr>
    </w:div>
    <w:div w:id="971904469">
      <w:bodyDiv w:val="1"/>
      <w:marLeft w:val="0"/>
      <w:marRight w:val="0"/>
      <w:marTop w:val="0"/>
      <w:marBottom w:val="0"/>
      <w:divBdr>
        <w:top w:val="none" w:sz="0" w:space="0" w:color="auto"/>
        <w:left w:val="none" w:sz="0" w:space="0" w:color="auto"/>
        <w:bottom w:val="none" w:sz="0" w:space="0" w:color="auto"/>
        <w:right w:val="none" w:sz="0" w:space="0" w:color="auto"/>
      </w:divBdr>
    </w:div>
    <w:div w:id="981424964">
      <w:bodyDiv w:val="1"/>
      <w:marLeft w:val="0"/>
      <w:marRight w:val="0"/>
      <w:marTop w:val="0"/>
      <w:marBottom w:val="0"/>
      <w:divBdr>
        <w:top w:val="none" w:sz="0" w:space="0" w:color="auto"/>
        <w:left w:val="none" w:sz="0" w:space="0" w:color="auto"/>
        <w:bottom w:val="none" w:sz="0" w:space="0" w:color="auto"/>
        <w:right w:val="none" w:sz="0" w:space="0" w:color="auto"/>
      </w:divBdr>
    </w:div>
    <w:div w:id="1044063292">
      <w:bodyDiv w:val="1"/>
      <w:marLeft w:val="0"/>
      <w:marRight w:val="0"/>
      <w:marTop w:val="0"/>
      <w:marBottom w:val="0"/>
      <w:divBdr>
        <w:top w:val="none" w:sz="0" w:space="0" w:color="auto"/>
        <w:left w:val="none" w:sz="0" w:space="0" w:color="auto"/>
        <w:bottom w:val="none" w:sz="0" w:space="0" w:color="auto"/>
        <w:right w:val="none" w:sz="0" w:space="0" w:color="auto"/>
      </w:divBdr>
    </w:div>
    <w:div w:id="1139424176">
      <w:bodyDiv w:val="1"/>
      <w:marLeft w:val="0"/>
      <w:marRight w:val="0"/>
      <w:marTop w:val="0"/>
      <w:marBottom w:val="0"/>
      <w:divBdr>
        <w:top w:val="none" w:sz="0" w:space="0" w:color="auto"/>
        <w:left w:val="none" w:sz="0" w:space="0" w:color="auto"/>
        <w:bottom w:val="none" w:sz="0" w:space="0" w:color="auto"/>
        <w:right w:val="none" w:sz="0" w:space="0" w:color="auto"/>
      </w:divBdr>
    </w:div>
    <w:div w:id="1151825850">
      <w:bodyDiv w:val="1"/>
      <w:marLeft w:val="0"/>
      <w:marRight w:val="0"/>
      <w:marTop w:val="0"/>
      <w:marBottom w:val="0"/>
      <w:divBdr>
        <w:top w:val="none" w:sz="0" w:space="0" w:color="auto"/>
        <w:left w:val="none" w:sz="0" w:space="0" w:color="auto"/>
        <w:bottom w:val="none" w:sz="0" w:space="0" w:color="auto"/>
        <w:right w:val="none" w:sz="0" w:space="0" w:color="auto"/>
      </w:divBdr>
    </w:div>
    <w:div w:id="1272124956">
      <w:bodyDiv w:val="1"/>
      <w:marLeft w:val="0"/>
      <w:marRight w:val="0"/>
      <w:marTop w:val="0"/>
      <w:marBottom w:val="0"/>
      <w:divBdr>
        <w:top w:val="none" w:sz="0" w:space="0" w:color="auto"/>
        <w:left w:val="none" w:sz="0" w:space="0" w:color="auto"/>
        <w:bottom w:val="none" w:sz="0" w:space="0" w:color="auto"/>
        <w:right w:val="none" w:sz="0" w:space="0" w:color="auto"/>
      </w:divBdr>
    </w:div>
    <w:div w:id="1461266337">
      <w:bodyDiv w:val="1"/>
      <w:marLeft w:val="0"/>
      <w:marRight w:val="0"/>
      <w:marTop w:val="0"/>
      <w:marBottom w:val="0"/>
      <w:divBdr>
        <w:top w:val="none" w:sz="0" w:space="0" w:color="auto"/>
        <w:left w:val="none" w:sz="0" w:space="0" w:color="auto"/>
        <w:bottom w:val="none" w:sz="0" w:space="0" w:color="auto"/>
        <w:right w:val="none" w:sz="0" w:space="0" w:color="auto"/>
      </w:divBdr>
    </w:div>
    <w:div w:id="1507746369">
      <w:bodyDiv w:val="1"/>
      <w:marLeft w:val="0"/>
      <w:marRight w:val="0"/>
      <w:marTop w:val="0"/>
      <w:marBottom w:val="0"/>
      <w:divBdr>
        <w:top w:val="none" w:sz="0" w:space="0" w:color="auto"/>
        <w:left w:val="none" w:sz="0" w:space="0" w:color="auto"/>
        <w:bottom w:val="none" w:sz="0" w:space="0" w:color="auto"/>
        <w:right w:val="none" w:sz="0" w:space="0" w:color="auto"/>
      </w:divBdr>
    </w:div>
    <w:div w:id="1704592538">
      <w:bodyDiv w:val="1"/>
      <w:marLeft w:val="0"/>
      <w:marRight w:val="0"/>
      <w:marTop w:val="0"/>
      <w:marBottom w:val="0"/>
      <w:divBdr>
        <w:top w:val="none" w:sz="0" w:space="0" w:color="auto"/>
        <w:left w:val="none" w:sz="0" w:space="0" w:color="auto"/>
        <w:bottom w:val="none" w:sz="0" w:space="0" w:color="auto"/>
        <w:right w:val="none" w:sz="0" w:space="0" w:color="auto"/>
      </w:divBdr>
    </w:div>
    <w:div w:id="1707675195">
      <w:bodyDiv w:val="1"/>
      <w:marLeft w:val="0"/>
      <w:marRight w:val="0"/>
      <w:marTop w:val="0"/>
      <w:marBottom w:val="0"/>
      <w:divBdr>
        <w:top w:val="none" w:sz="0" w:space="0" w:color="auto"/>
        <w:left w:val="none" w:sz="0" w:space="0" w:color="auto"/>
        <w:bottom w:val="none" w:sz="0" w:space="0" w:color="auto"/>
        <w:right w:val="none" w:sz="0" w:space="0" w:color="auto"/>
      </w:divBdr>
    </w:div>
    <w:div w:id="1914731397">
      <w:bodyDiv w:val="1"/>
      <w:marLeft w:val="0"/>
      <w:marRight w:val="0"/>
      <w:marTop w:val="0"/>
      <w:marBottom w:val="0"/>
      <w:divBdr>
        <w:top w:val="none" w:sz="0" w:space="0" w:color="auto"/>
        <w:left w:val="none" w:sz="0" w:space="0" w:color="auto"/>
        <w:bottom w:val="none" w:sz="0" w:space="0" w:color="auto"/>
        <w:right w:val="none" w:sz="0" w:space="0" w:color="auto"/>
      </w:divBdr>
    </w:div>
    <w:div w:id="1917545327">
      <w:bodyDiv w:val="1"/>
      <w:marLeft w:val="0"/>
      <w:marRight w:val="0"/>
      <w:marTop w:val="0"/>
      <w:marBottom w:val="0"/>
      <w:divBdr>
        <w:top w:val="none" w:sz="0" w:space="0" w:color="auto"/>
        <w:left w:val="none" w:sz="0" w:space="0" w:color="auto"/>
        <w:bottom w:val="none" w:sz="0" w:space="0" w:color="auto"/>
        <w:right w:val="none" w:sz="0" w:space="0" w:color="auto"/>
      </w:divBdr>
    </w:div>
    <w:div w:id="1941527056">
      <w:bodyDiv w:val="1"/>
      <w:marLeft w:val="0"/>
      <w:marRight w:val="0"/>
      <w:marTop w:val="0"/>
      <w:marBottom w:val="0"/>
      <w:divBdr>
        <w:top w:val="none" w:sz="0" w:space="0" w:color="auto"/>
        <w:left w:val="none" w:sz="0" w:space="0" w:color="auto"/>
        <w:bottom w:val="none" w:sz="0" w:space="0" w:color="auto"/>
        <w:right w:val="none" w:sz="0" w:space="0" w:color="auto"/>
      </w:divBdr>
    </w:div>
    <w:div w:id="1952319186">
      <w:bodyDiv w:val="1"/>
      <w:marLeft w:val="0"/>
      <w:marRight w:val="0"/>
      <w:marTop w:val="0"/>
      <w:marBottom w:val="0"/>
      <w:divBdr>
        <w:top w:val="none" w:sz="0" w:space="0" w:color="auto"/>
        <w:left w:val="none" w:sz="0" w:space="0" w:color="auto"/>
        <w:bottom w:val="none" w:sz="0" w:space="0" w:color="auto"/>
        <w:right w:val="none" w:sz="0" w:space="0" w:color="auto"/>
      </w:divBdr>
    </w:div>
    <w:div w:id="1985428970">
      <w:bodyDiv w:val="1"/>
      <w:marLeft w:val="0"/>
      <w:marRight w:val="0"/>
      <w:marTop w:val="0"/>
      <w:marBottom w:val="0"/>
      <w:divBdr>
        <w:top w:val="none" w:sz="0" w:space="0" w:color="auto"/>
        <w:left w:val="none" w:sz="0" w:space="0" w:color="auto"/>
        <w:bottom w:val="none" w:sz="0" w:space="0" w:color="auto"/>
        <w:right w:val="none" w:sz="0" w:space="0" w:color="auto"/>
      </w:divBdr>
    </w:div>
    <w:div w:id="207153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ebi.gov.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15</Pages>
  <Words>3851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2025-06-14T10:30:00Z</dcterms:created>
  <dcterms:modified xsi:type="dcterms:W3CDTF">2025-06-14T10:49:00Z</dcterms:modified>
</cp:coreProperties>
</file>