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38AE0" w14:textId="77777777" w:rsidR="00EE2D03" w:rsidRPr="00DA2E13" w:rsidRDefault="00EE2D03" w:rsidP="00EE2D0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E23692D" w14:textId="77777777" w:rsidR="00EE2D03" w:rsidRPr="00DA2E13" w:rsidRDefault="00EE2D03" w:rsidP="00EE2D0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FBC4FEE" w14:textId="23607209"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The paper industry plays a vital role in the economic development of many countries, providing essential raw materials for various sectors including publishing, packaging, and hygiene products. Over the years, the demand for paper has steadily increased due to population growth, urbanization, and rising literacy rates. However, the paper industry faces intense competition, fluctuating raw material costs, environmental regulations, and changing consumer preferences, which significantly affect the financial performance of paper manufacturing companies. Understanding the financial health of these companies is crucial for stakeholders such as investors, creditors, management, and policymakers to make informed decisions.</w:t>
      </w:r>
    </w:p>
    <w:p w14:paraId="66533127" w14:textId="5F4E1FF1"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Ratio analysis is a widely used tool for evaluating the financial performance of a company. It involves the calculation and interpretation of various financial ratios derived from the company’s financial statements, such as the balance sheet and income statement. These ratios help in assessing profitability, liquidity, solvency, operational efficiency, and market valuation. Through ratio analysis, stakeholders can identify the strengths and weaknesses of a company, compare its performance with industry standards, and evaluate trends over time. In the context of the paper industry, ratio analysis provides critical insights into how companies manage their resources, control costs, and generate returns.</w:t>
      </w:r>
    </w:p>
    <w:p w14:paraId="2091A140" w14:textId="4C84E0CA"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 xml:space="preserve">The purpose of this study is to conduct a comprehensive ratio analysis of selected paper companies to evaluate their financial performance. The study covers key ratios including current ratio, quick ratio, debt-to-equity ratio, gross profit margin, net profit margin, return on assets, and inventory turnover ratio, among others. By </w:t>
      </w:r>
      <w:proofErr w:type="spellStart"/>
      <w:r w:rsidRPr="00EE2D03">
        <w:rPr>
          <w:rFonts w:ascii="Times New Roman" w:hAnsi="Times New Roman" w:cs="Times New Roman"/>
          <w:sz w:val="24"/>
          <w:szCs w:val="24"/>
        </w:rPr>
        <w:t>analyzing</w:t>
      </w:r>
      <w:proofErr w:type="spellEnd"/>
      <w:r w:rsidRPr="00EE2D03">
        <w:rPr>
          <w:rFonts w:ascii="Times New Roman" w:hAnsi="Times New Roman" w:cs="Times New Roman"/>
          <w:sz w:val="24"/>
          <w:szCs w:val="24"/>
        </w:rPr>
        <w:t xml:space="preserve"> these ratios, the study aims to assess the liquidity position, financial stability, profitability, and efficiency of the companies under consideration. This will help in understanding how well these companies are equipped to handle financial obligations, manage operational costs, and generate profits.</w:t>
      </w:r>
    </w:p>
    <w:p w14:paraId="0DE3E64D" w14:textId="43B4A869"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Moreover, the study also seeks to compare the financial performance of the selected paper companies with industry benchmarks. This comparative approach helps in identifying companies that outperform their peers and those that need improvement. The analysis also highlights the impact of external factors such as raw material price volatility, technological advancements, and regulatory changes on financial outcomes. Additionally, the study will explore the trends in financial ratios over a five-year period to understand the companies’ growth patterns and resilience in a competitive market environment.</w:t>
      </w:r>
    </w:p>
    <w:p w14:paraId="7B06C779" w14:textId="781469AC"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E2D03">
        <w:rPr>
          <w:rFonts w:ascii="Times New Roman" w:hAnsi="Times New Roman" w:cs="Times New Roman"/>
          <w:sz w:val="24"/>
          <w:szCs w:val="24"/>
        </w:rPr>
        <w:t>The significance of this study lies in its ability to provide valuable information to various stakeholders. Investors can use the ratio analysis to evaluate the risk and return profile of paper companies before making investment decisions. Creditors and financial institutions can assess the creditworthiness and repayment capacity of the companies, aiding in lending decisions. Company management can identify areas of financial strength and weakness, enabling them to strategize for improved performance and sustainability. Policymakers and industry analysts can gain insights into the financial health of the paper sector, facilitating informed policy formulation and market assessments.</w:t>
      </w:r>
    </w:p>
    <w:p w14:paraId="2F66092E" w14:textId="1FBB723D" w:rsidR="00E75FD5" w:rsidRDefault="00EE2D03">
      <w:pPr>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rPr>
        <w:t xml:space="preserve"> </w:t>
      </w:r>
      <w:r w:rsidRPr="00EE2D03">
        <w:rPr>
          <w:rFonts w:ascii="Times New Roman" w:hAnsi="Times New Roman" w:cs="Times New Roman"/>
          <w:b/>
          <w:sz w:val="24"/>
          <w:szCs w:val="24"/>
        </w:rPr>
        <w:t>ratio analysis of paper</w:t>
      </w:r>
      <w:r>
        <w:rPr>
          <w:rFonts w:ascii="Times New Roman" w:hAnsi="Times New Roman" w:cs="Times New Roman"/>
          <w:b/>
          <w:sz w:val="24"/>
          <w:szCs w:val="24"/>
        </w:rPr>
        <w:t xml:space="preserve"> industry</w:t>
      </w:r>
      <w:r w:rsidRPr="00DA2E13">
        <w:rPr>
          <w:rFonts w:ascii="Times New Roman" w:hAnsi="Times New Roman" w:cs="Times New Roman"/>
          <w:b/>
          <w:sz w:val="24"/>
          <w:szCs w:val="24"/>
          <w:lang w:val="en-US"/>
        </w:rPr>
        <w:t>?</w:t>
      </w:r>
    </w:p>
    <w:p w14:paraId="6E32F77A"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 xml:space="preserve">This study helps in understanding the financial strengths and weaknesses of paper industry firms by </w:t>
      </w:r>
      <w:proofErr w:type="spellStart"/>
      <w:r w:rsidRPr="00EE2D03">
        <w:rPr>
          <w:rFonts w:ascii="Times New Roman" w:hAnsi="Times New Roman" w:cs="Times New Roman"/>
          <w:sz w:val="24"/>
          <w:szCs w:val="24"/>
        </w:rPr>
        <w:t>analyzing</w:t>
      </w:r>
      <w:proofErr w:type="spellEnd"/>
      <w:r w:rsidRPr="00EE2D03">
        <w:rPr>
          <w:rFonts w:ascii="Times New Roman" w:hAnsi="Times New Roman" w:cs="Times New Roman"/>
          <w:sz w:val="24"/>
          <w:szCs w:val="24"/>
        </w:rPr>
        <w:t xml:space="preserve"> key financial ratios. It enables stakeholders to assess how efficiently a company manages its assets, liabilities, and profits.</w:t>
      </w:r>
    </w:p>
    <w:p w14:paraId="344CF0A4"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It provides valuable insights to investors by revealing the company’s profitability and financial stability. This allows them to make well-informed investment decisions with a clearer understanding of potential risks and returns.</w:t>
      </w:r>
    </w:p>
    <w:p w14:paraId="06B89E05"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Lenders and financial institutions benefit from the study by evaluating the creditworthiness of paper companies. Ratio analysis indicates the firm’s ability to meet its short-term and long-term obligations.</w:t>
      </w:r>
    </w:p>
    <w:p w14:paraId="7392E281"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Management can use the results to identify areas where the company is underperforming and take corrective measures. It assists in setting financial targets and improving operational efficiency.</w:t>
      </w:r>
    </w:p>
    <w:p w14:paraId="65087402"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By comparing ratios over multiple years, the study reveals trends and financial progress of a company. This helps in evaluating whether the business is improving or facing financial stress over time.</w:t>
      </w:r>
    </w:p>
    <w:p w14:paraId="10576864"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The study allows benchmarking against competitors and industry standards, highlighting a company's relative position. This comparative analysis aids in strategic planning and competitive positioning.</w:t>
      </w:r>
    </w:p>
    <w:p w14:paraId="044C7AE1"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 xml:space="preserve">It helps in </w:t>
      </w:r>
      <w:proofErr w:type="spellStart"/>
      <w:r w:rsidRPr="00EE2D03">
        <w:rPr>
          <w:rFonts w:ascii="Times New Roman" w:hAnsi="Times New Roman" w:cs="Times New Roman"/>
          <w:sz w:val="24"/>
          <w:szCs w:val="24"/>
        </w:rPr>
        <w:t>analyzing</w:t>
      </w:r>
      <w:proofErr w:type="spellEnd"/>
      <w:r w:rsidRPr="00EE2D03">
        <w:rPr>
          <w:rFonts w:ascii="Times New Roman" w:hAnsi="Times New Roman" w:cs="Times New Roman"/>
          <w:sz w:val="24"/>
          <w:szCs w:val="24"/>
        </w:rPr>
        <w:t xml:space="preserve"> liquidity positions, ensuring the company has enough short-term assets to cover immediate liabilities. This is vital for maintaining smooth day-to-day operations without financial disruption.</w:t>
      </w:r>
    </w:p>
    <w:p w14:paraId="0512C636" w14:textId="77777777" w:rsidR="00EE2D03" w:rsidRPr="00EE2D03" w:rsidRDefault="00EE2D03" w:rsidP="00EE2D03">
      <w:pPr>
        <w:pStyle w:val="ListParagraph"/>
        <w:numPr>
          <w:ilvl w:val="0"/>
          <w:numId w:val="1"/>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The research supports long-term planning by assessing the firm’s solvency and capital structure. It guides decisions related to funding, expansion, or restructuring based on the company’s financial health.</w:t>
      </w:r>
    </w:p>
    <w:p w14:paraId="60E4322F" w14:textId="7A315DC3" w:rsidR="00EE2D03" w:rsidRDefault="00EE2D03" w:rsidP="00EE2D03">
      <w:pPr>
        <w:spacing w:line="360" w:lineRule="auto"/>
        <w:jc w:val="both"/>
        <w:rPr>
          <w:rFonts w:ascii="Times New Roman" w:hAnsi="Times New Roman" w:cs="Times New Roman"/>
          <w:b/>
          <w:sz w:val="24"/>
          <w:szCs w:val="24"/>
        </w:rPr>
      </w:pPr>
      <w:r w:rsidRPr="00EE2D03">
        <w:rPr>
          <w:rFonts w:ascii="Times New Roman" w:hAnsi="Times New Roman" w:cs="Times New Roman"/>
          <w:b/>
          <w:sz w:val="24"/>
          <w:szCs w:val="24"/>
        </w:rPr>
        <w:lastRenderedPageBreak/>
        <w:t>ratio analysis of paper</w:t>
      </w:r>
      <w:r>
        <w:rPr>
          <w:rFonts w:ascii="Times New Roman" w:hAnsi="Times New Roman" w:cs="Times New Roman"/>
          <w:b/>
          <w:sz w:val="24"/>
          <w:szCs w:val="24"/>
        </w:rPr>
        <w:t xml:space="preserve"> industry</w:t>
      </w:r>
      <w:r w:rsidRPr="00EE2D03">
        <w:rPr>
          <w:rFonts w:ascii="Times New Roman" w:hAnsi="Times New Roman" w:cs="Times New Roman"/>
          <w:b/>
          <w:sz w:val="24"/>
          <w:szCs w:val="24"/>
        </w:rPr>
        <w:t xml:space="preserve"> </w:t>
      </w:r>
      <w:r w:rsidRPr="00EE2D03">
        <w:rPr>
          <w:rFonts w:ascii="Times New Roman" w:hAnsi="Times New Roman" w:cs="Times New Roman"/>
          <w:b/>
          <w:sz w:val="24"/>
          <w:szCs w:val="24"/>
        </w:rPr>
        <w:t>advantages</w:t>
      </w:r>
    </w:p>
    <w:p w14:paraId="23009B98"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This study provides a clear understanding of a company’s financial condition by breaking down complex financial data into simple ratios. It makes financial performance measurable and comparable over time.</w:t>
      </w:r>
    </w:p>
    <w:p w14:paraId="695DE857"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It enables easier comparison between different paper companies, regardless of their size. This allows stakeholders to assess which companies are more financially efficient and stable.</w:t>
      </w:r>
    </w:p>
    <w:p w14:paraId="52A72E71"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Ratio analysis supports strategic decision-making by helping management identify weak areas in performance. With these insights, companies can take corrective steps to improve efficiency and profitability.</w:t>
      </w:r>
    </w:p>
    <w:p w14:paraId="72AD80E9"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The study helps evaluate the liquidity of a company, showing its ability to meet short-term obligations. This is crucial for avoiding financial distress and maintaining business continuity.</w:t>
      </w:r>
    </w:p>
    <w:p w14:paraId="05375F03"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It gives insight into a company’s solvency, revealing how well it can handle long-term debt and liabilities. This is important for assessing long-term financial sustainability.</w:t>
      </w:r>
    </w:p>
    <w:p w14:paraId="3844AD03"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 xml:space="preserve">By </w:t>
      </w:r>
      <w:proofErr w:type="spellStart"/>
      <w:r w:rsidRPr="00EE2D03">
        <w:rPr>
          <w:rFonts w:ascii="Times New Roman" w:hAnsi="Times New Roman" w:cs="Times New Roman"/>
          <w:bCs/>
          <w:sz w:val="24"/>
          <w:szCs w:val="24"/>
        </w:rPr>
        <w:t>analyzing</w:t>
      </w:r>
      <w:proofErr w:type="spellEnd"/>
      <w:r w:rsidRPr="00EE2D03">
        <w:rPr>
          <w:rFonts w:ascii="Times New Roman" w:hAnsi="Times New Roman" w:cs="Times New Roman"/>
          <w:bCs/>
          <w:sz w:val="24"/>
          <w:szCs w:val="24"/>
        </w:rPr>
        <w:t xml:space="preserve"> trends over time, the study allows management and investors to track financial progress or deterioration. This helps in forecasting future performance and making proactive decisions.</w:t>
      </w:r>
    </w:p>
    <w:p w14:paraId="3DAE2B66"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It promotes financial transparency, offering stakeholders a clear and systematic way to understand how a company operates financially. This builds confidence among investors and financial institutions.</w:t>
      </w:r>
    </w:p>
    <w:p w14:paraId="5DC3C3B1"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This analysis helps in assessing how effectively a company uses its assets to generate revenue. High efficiency ratios usually indicate good management and operational strength.</w:t>
      </w:r>
    </w:p>
    <w:p w14:paraId="3A373CC3"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It enables better budgeting and internal control by highlighting areas of overspending or inefficiency. This assists management in resource allocation and cost control.</w:t>
      </w:r>
    </w:p>
    <w:p w14:paraId="7422C80C" w14:textId="77777777" w:rsidR="00EE2D03" w:rsidRPr="00EE2D03" w:rsidRDefault="00EE2D03" w:rsidP="00EE2D03">
      <w:pPr>
        <w:pStyle w:val="ListParagraph"/>
        <w:numPr>
          <w:ilvl w:val="0"/>
          <w:numId w:val="2"/>
        </w:numPr>
        <w:spacing w:line="360" w:lineRule="auto"/>
        <w:jc w:val="both"/>
        <w:rPr>
          <w:rFonts w:ascii="Times New Roman" w:hAnsi="Times New Roman" w:cs="Times New Roman"/>
          <w:bCs/>
          <w:sz w:val="24"/>
          <w:szCs w:val="24"/>
        </w:rPr>
      </w:pPr>
      <w:r w:rsidRPr="00EE2D03">
        <w:rPr>
          <w:rFonts w:ascii="Times New Roman" w:hAnsi="Times New Roman" w:cs="Times New Roman"/>
          <w:bCs/>
          <w:sz w:val="24"/>
          <w:szCs w:val="24"/>
        </w:rPr>
        <w:t>The study also aids regulatory bodies and policymakers in understanding industry-wide financial trends. This supports better policy formulation and regulation of the paper industry.</w:t>
      </w:r>
    </w:p>
    <w:p w14:paraId="021B3F32" w14:textId="77777777" w:rsidR="00EE2D03" w:rsidRPr="00EE2D03" w:rsidRDefault="00EE2D03" w:rsidP="00EE2D03">
      <w:pPr>
        <w:spacing w:line="360" w:lineRule="auto"/>
        <w:jc w:val="both"/>
        <w:rPr>
          <w:rFonts w:ascii="Times New Roman" w:hAnsi="Times New Roman" w:cs="Times New Roman"/>
          <w:b/>
          <w:sz w:val="24"/>
          <w:szCs w:val="24"/>
        </w:rPr>
      </w:pPr>
    </w:p>
    <w:p w14:paraId="4EEE5D6B" w14:textId="77777777" w:rsidR="00EE2D03" w:rsidRDefault="00EE2D03"/>
    <w:p w14:paraId="602BF84C" w14:textId="77777777" w:rsidR="00EE2D03" w:rsidRDefault="00EE2D03"/>
    <w:p w14:paraId="0DE55F73" w14:textId="77777777" w:rsidR="00EE2D03" w:rsidRDefault="00EE2D03"/>
    <w:p w14:paraId="7B38D59D" w14:textId="77777777" w:rsidR="00EE2D03" w:rsidRDefault="00EE2D03" w:rsidP="00EE2D03">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7FFFD21" w14:textId="55EB9D9B"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The paper industry is one of the oldest and most vital sectors contributing to industrial and economic growth across the globe. It plays a significant role in supporting key sectors such as education, packaging, printing, hygiene products, and communication. With the growth of literacy, urbanization, e-commerce, and consumer awareness, the demand for paper and paper-based products continues to evolve, especially in developing countries.</w:t>
      </w:r>
    </w:p>
    <w:p w14:paraId="529EA072" w14:textId="5C1A11FE"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 xml:space="preserve">India ranks among the top paper-producing nations in the world, with a diverse paper industry comprising large integrated paper mills, medium-scale players, and numerous small paper units. The sector produces various grades of paper, including writing and printing paper, packaging paper, newsprint, and specialty papers. The Indian paper industry is closely linked to the agricultural sector as it relies on raw materials like wood, </w:t>
      </w:r>
      <w:proofErr w:type="spellStart"/>
      <w:r w:rsidRPr="00EE2D03">
        <w:rPr>
          <w:rFonts w:ascii="Times New Roman" w:hAnsi="Times New Roman" w:cs="Times New Roman"/>
          <w:sz w:val="24"/>
          <w:szCs w:val="24"/>
        </w:rPr>
        <w:t>agro</w:t>
      </w:r>
      <w:proofErr w:type="spellEnd"/>
      <w:r w:rsidRPr="00EE2D03">
        <w:rPr>
          <w:rFonts w:ascii="Times New Roman" w:hAnsi="Times New Roman" w:cs="Times New Roman"/>
          <w:sz w:val="24"/>
          <w:szCs w:val="24"/>
        </w:rPr>
        <w:t xml:space="preserve"> residues, and recycled wastepaper.</w:t>
      </w:r>
    </w:p>
    <w:p w14:paraId="2A7E1DDE" w14:textId="66D499F8"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Despite increasing digitalization and the push toward a paperless economy, the demand for paper remains robust in sectors like education, packaging, and FMCG. The rise of online shopping has significantly boosted the demand for packaging boards and corrugated paper. Additionally, paper is gaining renewed importance due to growing environmental concerns and the shift away from plastic-based packaging.</w:t>
      </w:r>
    </w:p>
    <w:p w14:paraId="434C8911" w14:textId="40AA77AF"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The industry is highly capital-intensive and faces challenges related to energy consumption, water usage, and raw material sourcing. To remain competitive, companies must focus on cost control, operational efficiency, and sustainability. Government initiatives, such as promoting afforestation, incentivizing recycled paper usage, and modernizing small paper mills, are also contributing to the industry's growth and environmental compliance.</w:t>
      </w:r>
    </w:p>
    <w:p w14:paraId="6A332C96" w14:textId="33249CC5"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Globally, the paper industry is transitioning towards sustainable practices and adopting modern technologies such as automation and energy-efficient systems. In India, several paper companies are investing in cleaner technologies and expanding their product lines to meet changing consumer and regulatory demands. The integration of sustainability with profitability is becoming a critical factor for long-term success.</w:t>
      </w:r>
    </w:p>
    <w:p w14:paraId="0AB3165F" w14:textId="77777777" w:rsidR="00EE2D03" w:rsidRDefault="00EE2D03" w:rsidP="00EE2D03">
      <w:pPr>
        <w:spacing w:line="360" w:lineRule="auto"/>
        <w:jc w:val="both"/>
        <w:rPr>
          <w:rFonts w:ascii="Times New Roman" w:hAnsi="Times New Roman" w:cs="Times New Roman"/>
          <w:sz w:val="24"/>
          <w:szCs w:val="24"/>
        </w:rPr>
      </w:pPr>
    </w:p>
    <w:p w14:paraId="5CD0DAB3" w14:textId="77777777" w:rsidR="00EE2D03" w:rsidRDefault="00EE2D03" w:rsidP="00EE2D03">
      <w:pPr>
        <w:spacing w:line="360" w:lineRule="auto"/>
        <w:jc w:val="both"/>
        <w:rPr>
          <w:rFonts w:ascii="Times New Roman" w:hAnsi="Times New Roman" w:cs="Times New Roman"/>
          <w:sz w:val="24"/>
          <w:szCs w:val="24"/>
        </w:rPr>
      </w:pPr>
    </w:p>
    <w:p w14:paraId="17AD070A" w14:textId="77777777" w:rsidR="00EE2D03" w:rsidRDefault="00EE2D03" w:rsidP="00EE2D03">
      <w:pPr>
        <w:spacing w:line="360" w:lineRule="auto"/>
        <w:jc w:val="both"/>
        <w:rPr>
          <w:rFonts w:ascii="Times New Roman" w:hAnsi="Times New Roman" w:cs="Times New Roman"/>
          <w:sz w:val="24"/>
          <w:szCs w:val="24"/>
        </w:rPr>
      </w:pPr>
    </w:p>
    <w:p w14:paraId="0906FDFC" w14:textId="77777777" w:rsidR="00EE2D03" w:rsidRDefault="00EE2D03" w:rsidP="00EE2D03">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27B86F0" w14:textId="7F8BF2D1"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The paper industry, while vital to several sectors of the economy, operates in a highly competitive and cost-sensitive environment. Companies within the industry face ongoing challenges such as fluctuating raw material prices, rising energy costs, increasing environmental regulations, and changing consumer preferences. These factors directly impact the financial stability and operational performance of paper manufacturing firms.</w:t>
      </w:r>
    </w:p>
    <w:p w14:paraId="47F47848" w14:textId="3B99607D"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In such a dynamic business landscape, understanding the financial position of a paper company is essential for stakeholders including investors, creditors, management, and regulators. However, many companies often lack detailed internal assessments or transparent reporting that make it easy to evaluate their financial health. This makes it difficult to identify inefficiencies, evaluate profitability, and assess risk levels using traditional methods alone.</w:t>
      </w:r>
    </w:p>
    <w:p w14:paraId="08B74CDC" w14:textId="35FD8991" w:rsidR="00EE2D03" w:rsidRPr="00EE2D03" w:rsidRDefault="00EE2D03" w:rsidP="00EE2D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E2D03">
        <w:rPr>
          <w:rFonts w:ascii="Times New Roman" w:hAnsi="Times New Roman" w:cs="Times New Roman"/>
          <w:sz w:val="24"/>
          <w:szCs w:val="24"/>
        </w:rPr>
        <w:t xml:space="preserve">Ratio analysis, as a financial tool, offers a structured way to interpret financial statements and uncover hidden insights. Despite its usefulness, it is often underutilized or inconsistently applied in the paper industry, especially among smaller or medium-sized firms. Furthermore, while data may be available, it is not always clearly </w:t>
      </w:r>
      <w:proofErr w:type="spellStart"/>
      <w:r w:rsidRPr="00EE2D03">
        <w:rPr>
          <w:rFonts w:ascii="Times New Roman" w:hAnsi="Times New Roman" w:cs="Times New Roman"/>
          <w:sz w:val="24"/>
          <w:szCs w:val="24"/>
        </w:rPr>
        <w:t>analyzed</w:t>
      </w:r>
      <w:proofErr w:type="spellEnd"/>
      <w:r w:rsidRPr="00EE2D03">
        <w:rPr>
          <w:rFonts w:ascii="Times New Roman" w:hAnsi="Times New Roman" w:cs="Times New Roman"/>
          <w:sz w:val="24"/>
          <w:szCs w:val="24"/>
        </w:rPr>
        <w:t xml:space="preserve"> or benchmarked against industry standards, limiting its strategic value.</w:t>
      </w:r>
    </w:p>
    <w:p w14:paraId="17320A21" w14:textId="77777777" w:rsidR="00EE2D03" w:rsidRDefault="00EE2D03" w:rsidP="00EE2D03">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3FE1B7C2" w14:textId="53F9E725"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 xml:space="preserve">To </w:t>
      </w:r>
      <w:proofErr w:type="spellStart"/>
      <w:r w:rsidRPr="00EE2D03">
        <w:rPr>
          <w:rFonts w:ascii="Times New Roman" w:hAnsi="Times New Roman" w:cs="Times New Roman"/>
          <w:sz w:val="24"/>
          <w:szCs w:val="24"/>
        </w:rPr>
        <w:t>analyze</w:t>
      </w:r>
      <w:proofErr w:type="spellEnd"/>
      <w:r w:rsidRPr="00EE2D03">
        <w:rPr>
          <w:rFonts w:ascii="Times New Roman" w:hAnsi="Times New Roman" w:cs="Times New Roman"/>
          <w:sz w:val="24"/>
          <w:szCs w:val="24"/>
        </w:rPr>
        <w:t xml:space="preserve"> the financial performance of selected paper industry companies using ratio analysis techniques.</w:t>
      </w:r>
    </w:p>
    <w:p w14:paraId="515372DB" w14:textId="3CE2BBD6"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To assess the liquidity, profitability, solvency, and efficiency positions of the firms through relevant financial ratios.</w:t>
      </w:r>
    </w:p>
    <w:p w14:paraId="096A0C2F" w14:textId="6971F4CF"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To identify financial strengths and weaknesses based on the interpretation of key ratios.</w:t>
      </w:r>
    </w:p>
    <w:p w14:paraId="44622BA2" w14:textId="6EF4C759"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To evaluate trends in financial performance over a specific period using historical ratio data.</w:t>
      </w:r>
    </w:p>
    <w:p w14:paraId="0530C76A" w14:textId="443BCD74"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To compare the financial ratios of selected companies with industry averages or benchmarks.</w:t>
      </w:r>
    </w:p>
    <w:p w14:paraId="3B5ECDA7" w14:textId="43928365"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To provide meaningful insights that help investors, creditors, and management make informed financial decisions.</w:t>
      </w:r>
    </w:p>
    <w:p w14:paraId="3F045696" w14:textId="5DEBB0AE" w:rsidR="00EE2D03" w:rsidRPr="00EE2D03" w:rsidRDefault="00EE2D03" w:rsidP="00EE2D03">
      <w:pPr>
        <w:pStyle w:val="ListParagraph"/>
        <w:numPr>
          <w:ilvl w:val="0"/>
          <w:numId w:val="2"/>
        </w:numPr>
        <w:spacing w:line="360" w:lineRule="auto"/>
        <w:jc w:val="both"/>
        <w:rPr>
          <w:rFonts w:ascii="Times New Roman" w:hAnsi="Times New Roman" w:cs="Times New Roman"/>
          <w:sz w:val="24"/>
          <w:szCs w:val="24"/>
        </w:rPr>
      </w:pPr>
      <w:r w:rsidRPr="00EE2D03">
        <w:rPr>
          <w:rFonts w:ascii="Times New Roman" w:hAnsi="Times New Roman" w:cs="Times New Roman"/>
          <w:sz w:val="24"/>
          <w:szCs w:val="24"/>
        </w:rPr>
        <w:t>To suggest strategic recommendations for improving financial performance and long-term sustainability in the paper industry.</w:t>
      </w:r>
    </w:p>
    <w:p w14:paraId="600963B4" w14:textId="77777777" w:rsidR="00EE2D03" w:rsidRDefault="00EE2D03" w:rsidP="00EE2D03">
      <w:pPr>
        <w:spacing w:line="360" w:lineRule="auto"/>
        <w:jc w:val="both"/>
        <w:rPr>
          <w:rFonts w:ascii="Times New Roman" w:hAnsi="Times New Roman" w:cs="Times New Roman"/>
          <w:sz w:val="24"/>
          <w:szCs w:val="24"/>
        </w:rPr>
      </w:pPr>
    </w:p>
    <w:p w14:paraId="0A6C3D34" w14:textId="77777777" w:rsidR="00EE2D03" w:rsidRDefault="00EE2D03" w:rsidP="00EE2D03">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23FF4394" w14:textId="13A82146"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 xml:space="preserve">This study focuses on </w:t>
      </w:r>
      <w:proofErr w:type="spellStart"/>
      <w:r w:rsidRPr="00EF4650">
        <w:rPr>
          <w:rFonts w:ascii="Times New Roman" w:hAnsi="Times New Roman" w:cs="Times New Roman"/>
          <w:sz w:val="24"/>
          <w:szCs w:val="24"/>
        </w:rPr>
        <w:t>analyzing</w:t>
      </w:r>
      <w:proofErr w:type="spellEnd"/>
      <w:r w:rsidRPr="00EF4650">
        <w:rPr>
          <w:rFonts w:ascii="Times New Roman" w:hAnsi="Times New Roman" w:cs="Times New Roman"/>
          <w:sz w:val="24"/>
          <w:szCs w:val="24"/>
        </w:rPr>
        <w:t xml:space="preserve"> the financial performance of selected companies within the paper industry through ratio analysis. It covers the examination of key financial ratios such as liquidity ratios, profitability ratios, solvency ratios, and activity ratios over a specific period, typically five financial years. The aim is to evaluate how well these companies are managing their financial resources and to understand their overall financial health.</w:t>
      </w:r>
    </w:p>
    <w:p w14:paraId="12D03B51" w14:textId="4F210F81"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The study includes a detailed assessment of financial statements like the balance sheet, income statement, and cash flow statement of the selected firms. The scope is limited to secondary data, primarily drawn from published annual reports, industry databases, and financial websites. No primary data (such as surveys or interviews) has been collected for this study.</w:t>
      </w:r>
    </w:p>
    <w:p w14:paraId="59804EE4" w14:textId="3242E8A0"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Geographically, the study is confined to companies operating within the Indian paper industry, though the findings and methodologies can be applied more broadly. The research is intended to benefit investors, financial analysts, company management, and academic researchers by providing insights into financial performance and identifying trends and areas for improvement.</w:t>
      </w:r>
    </w:p>
    <w:p w14:paraId="2A5F7113" w14:textId="5357C6ED"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 xml:space="preserve">While the study provides in-depth financial analysis, it does not address non-financial factors such as environmental impact, </w:t>
      </w:r>
      <w:proofErr w:type="spellStart"/>
      <w:r w:rsidRPr="00EF4650">
        <w:rPr>
          <w:rFonts w:ascii="Times New Roman" w:hAnsi="Times New Roman" w:cs="Times New Roman"/>
          <w:sz w:val="24"/>
          <w:szCs w:val="24"/>
        </w:rPr>
        <w:t>labor</w:t>
      </w:r>
      <w:proofErr w:type="spellEnd"/>
      <w:r w:rsidRPr="00EF4650">
        <w:rPr>
          <w:rFonts w:ascii="Times New Roman" w:hAnsi="Times New Roman" w:cs="Times New Roman"/>
          <w:sz w:val="24"/>
          <w:szCs w:val="24"/>
        </w:rPr>
        <w:t xml:space="preserve"> productivity, or customer satisfaction. These aspects are outside the scope of ratio analysis but may still influence overall business success.</w:t>
      </w:r>
    </w:p>
    <w:p w14:paraId="12D2E6AE" w14:textId="77777777" w:rsidR="00EF4650" w:rsidRDefault="00EF4650" w:rsidP="00EF4650">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0C162100"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study is primarily based on secondary data collected from annual reports and published financial statements of selected paper companies. As such, the accuracy of the findings depends on the reliability and transparency of those financial disclosures.</w:t>
      </w:r>
    </w:p>
    <w:p w14:paraId="47FCB36F"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Ratio analysis focuses only on quantitative financial data and ignores qualitative aspects such as brand strength, employee efficiency, management quality, and customer satisfaction. These non-financial factors, although significant, are beyond the scope of this study.</w:t>
      </w:r>
    </w:p>
    <w:p w14:paraId="447C94E2"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The financial data </w:t>
      </w:r>
      <w:proofErr w:type="spellStart"/>
      <w:r w:rsidRPr="00EF4650">
        <w:rPr>
          <w:rFonts w:ascii="Times New Roman" w:hAnsi="Times New Roman" w:cs="Times New Roman"/>
          <w:sz w:val="24"/>
          <w:szCs w:val="24"/>
        </w:rPr>
        <w:t>analyzed</w:t>
      </w:r>
      <w:proofErr w:type="spellEnd"/>
      <w:r w:rsidRPr="00EF4650">
        <w:rPr>
          <w:rFonts w:ascii="Times New Roman" w:hAnsi="Times New Roman" w:cs="Times New Roman"/>
          <w:sz w:val="24"/>
          <w:szCs w:val="24"/>
        </w:rPr>
        <w:t xml:space="preserve"> is historical in nature and may not fully reflect the current or future performance of the companies. External factors like market shifts, policy changes, or economic disruptions can quickly alter a firm’s financial position.</w:t>
      </w:r>
    </w:p>
    <w:p w14:paraId="7A68854E"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lastRenderedPageBreak/>
        <w:t>The study includes only a limited number of paper industry companies, which may not be representative of the entire sector. This restricts the generalizability of the conclusions to the wider paper manufacturing industry.</w:t>
      </w:r>
    </w:p>
    <w:p w14:paraId="16CEEE0F"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interpretation of financial ratios may vary depending on accounting policies and practices adopted by different companies. Variations in methods such as depreciation, inventory valuation, or revenue recognition can affect the comparability of ratios.</w:t>
      </w:r>
    </w:p>
    <w:p w14:paraId="1B8F7E82"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analysis does not consider inflation or changes in the value of money over time. As a result, long-term financial comparisons may not provide an entirely accurate view of a company’s real performance.</w:t>
      </w:r>
    </w:p>
    <w:p w14:paraId="6AF4F885"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Due to the dynamic nature of the industry, rapid changes in technology, environmental regulations, or raw material costs may impact financial outcomes. These industry-specific risks are not fully captured in ratio analysis.</w:t>
      </w:r>
    </w:p>
    <w:p w14:paraId="52EF0877" w14:textId="77777777" w:rsidR="00EF4650" w:rsidRPr="00EF4650" w:rsidRDefault="00EF4650" w:rsidP="00EF4650">
      <w:pPr>
        <w:pStyle w:val="ListParagraph"/>
        <w:numPr>
          <w:ilvl w:val="0"/>
          <w:numId w:val="4"/>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Lastly, ratio analysis provides limited predictive power. While it is useful for assessing past and present financial performance, it does not guarantee future results or highlight upcoming risks with certainty.</w:t>
      </w:r>
    </w:p>
    <w:p w14:paraId="2565E286" w14:textId="77777777" w:rsidR="00EE2D03" w:rsidRDefault="00EE2D03" w:rsidP="00EE2D03">
      <w:pPr>
        <w:spacing w:line="360" w:lineRule="auto"/>
        <w:jc w:val="both"/>
        <w:rPr>
          <w:rFonts w:ascii="Times New Roman" w:hAnsi="Times New Roman" w:cs="Times New Roman"/>
          <w:sz w:val="24"/>
          <w:szCs w:val="24"/>
        </w:rPr>
      </w:pPr>
    </w:p>
    <w:p w14:paraId="185A78FE" w14:textId="77777777" w:rsidR="00EF4650" w:rsidRDefault="00EF4650" w:rsidP="00EE2D03">
      <w:pPr>
        <w:spacing w:line="360" w:lineRule="auto"/>
        <w:jc w:val="both"/>
        <w:rPr>
          <w:rFonts w:ascii="Times New Roman" w:hAnsi="Times New Roman" w:cs="Times New Roman"/>
          <w:sz w:val="24"/>
          <w:szCs w:val="24"/>
        </w:rPr>
      </w:pPr>
    </w:p>
    <w:p w14:paraId="7A8681D4" w14:textId="77777777" w:rsidR="00EF4650" w:rsidRDefault="00EF4650" w:rsidP="00EE2D03">
      <w:pPr>
        <w:spacing w:line="360" w:lineRule="auto"/>
        <w:jc w:val="both"/>
        <w:rPr>
          <w:rFonts w:ascii="Times New Roman" w:hAnsi="Times New Roman" w:cs="Times New Roman"/>
          <w:sz w:val="24"/>
          <w:szCs w:val="24"/>
        </w:rPr>
      </w:pPr>
    </w:p>
    <w:p w14:paraId="5DA8E486" w14:textId="77777777" w:rsidR="00EF4650" w:rsidRDefault="00EF4650" w:rsidP="00EE2D03">
      <w:pPr>
        <w:spacing w:line="360" w:lineRule="auto"/>
        <w:jc w:val="both"/>
        <w:rPr>
          <w:rFonts w:ascii="Times New Roman" w:hAnsi="Times New Roman" w:cs="Times New Roman"/>
          <w:sz w:val="24"/>
          <w:szCs w:val="24"/>
        </w:rPr>
      </w:pPr>
    </w:p>
    <w:p w14:paraId="302C108C" w14:textId="77777777" w:rsidR="00EF4650" w:rsidRDefault="00EF4650" w:rsidP="00EE2D03">
      <w:pPr>
        <w:spacing w:line="360" w:lineRule="auto"/>
        <w:jc w:val="both"/>
        <w:rPr>
          <w:rFonts w:ascii="Times New Roman" w:hAnsi="Times New Roman" w:cs="Times New Roman"/>
          <w:sz w:val="24"/>
          <w:szCs w:val="24"/>
        </w:rPr>
      </w:pPr>
    </w:p>
    <w:p w14:paraId="4729CF00" w14:textId="77777777" w:rsidR="00EF4650" w:rsidRDefault="00EF4650" w:rsidP="00EE2D03">
      <w:pPr>
        <w:spacing w:line="360" w:lineRule="auto"/>
        <w:jc w:val="both"/>
        <w:rPr>
          <w:rFonts w:ascii="Times New Roman" w:hAnsi="Times New Roman" w:cs="Times New Roman"/>
          <w:sz w:val="24"/>
          <w:szCs w:val="24"/>
        </w:rPr>
      </w:pPr>
    </w:p>
    <w:p w14:paraId="054FCA4F" w14:textId="77777777" w:rsidR="00EF4650" w:rsidRDefault="00EF4650" w:rsidP="00EE2D03">
      <w:pPr>
        <w:spacing w:line="360" w:lineRule="auto"/>
        <w:jc w:val="both"/>
        <w:rPr>
          <w:rFonts w:ascii="Times New Roman" w:hAnsi="Times New Roman" w:cs="Times New Roman"/>
          <w:sz w:val="24"/>
          <w:szCs w:val="24"/>
        </w:rPr>
      </w:pPr>
    </w:p>
    <w:p w14:paraId="5FCE7CB3" w14:textId="77777777" w:rsidR="00EF4650" w:rsidRDefault="00EF4650" w:rsidP="00EE2D03">
      <w:pPr>
        <w:spacing w:line="360" w:lineRule="auto"/>
        <w:jc w:val="both"/>
        <w:rPr>
          <w:rFonts w:ascii="Times New Roman" w:hAnsi="Times New Roman" w:cs="Times New Roman"/>
          <w:sz w:val="24"/>
          <w:szCs w:val="24"/>
        </w:rPr>
      </w:pPr>
    </w:p>
    <w:p w14:paraId="0FA79653" w14:textId="77777777" w:rsidR="00EF4650" w:rsidRDefault="00EF4650" w:rsidP="00EE2D03">
      <w:pPr>
        <w:spacing w:line="360" w:lineRule="auto"/>
        <w:jc w:val="both"/>
        <w:rPr>
          <w:rFonts w:ascii="Times New Roman" w:hAnsi="Times New Roman" w:cs="Times New Roman"/>
          <w:sz w:val="24"/>
          <w:szCs w:val="24"/>
        </w:rPr>
      </w:pPr>
    </w:p>
    <w:p w14:paraId="1F85EFBC" w14:textId="77777777" w:rsidR="00EF4650" w:rsidRDefault="00EF4650" w:rsidP="00EE2D03">
      <w:pPr>
        <w:spacing w:line="360" w:lineRule="auto"/>
        <w:jc w:val="both"/>
        <w:rPr>
          <w:rFonts w:ascii="Times New Roman" w:hAnsi="Times New Roman" w:cs="Times New Roman"/>
          <w:sz w:val="24"/>
          <w:szCs w:val="24"/>
        </w:rPr>
      </w:pPr>
    </w:p>
    <w:p w14:paraId="01CF4D05" w14:textId="77777777" w:rsidR="00EF4650" w:rsidRDefault="00EF4650" w:rsidP="00EE2D03">
      <w:pPr>
        <w:spacing w:line="360" w:lineRule="auto"/>
        <w:jc w:val="both"/>
        <w:rPr>
          <w:rFonts w:ascii="Times New Roman" w:hAnsi="Times New Roman" w:cs="Times New Roman"/>
          <w:sz w:val="24"/>
          <w:szCs w:val="24"/>
        </w:rPr>
      </w:pPr>
    </w:p>
    <w:p w14:paraId="5A8C3531" w14:textId="77777777" w:rsidR="00EF4650" w:rsidRDefault="00EF4650" w:rsidP="00EE2D03">
      <w:pPr>
        <w:spacing w:line="360" w:lineRule="auto"/>
        <w:jc w:val="both"/>
        <w:rPr>
          <w:rFonts w:ascii="Times New Roman" w:hAnsi="Times New Roman" w:cs="Times New Roman"/>
          <w:sz w:val="24"/>
          <w:szCs w:val="24"/>
        </w:rPr>
      </w:pPr>
    </w:p>
    <w:p w14:paraId="1A13AF6B" w14:textId="77777777" w:rsidR="00EF4650" w:rsidRDefault="00EF4650" w:rsidP="00EE2D03">
      <w:pPr>
        <w:spacing w:line="360" w:lineRule="auto"/>
        <w:jc w:val="both"/>
        <w:rPr>
          <w:rFonts w:ascii="Times New Roman" w:hAnsi="Times New Roman" w:cs="Times New Roman"/>
          <w:sz w:val="24"/>
          <w:szCs w:val="24"/>
        </w:rPr>
      </w:pPr>
    </w:p>
    <w:p w14:paraId="4A435B2E" w14:textId="77777777" w:rsidR="00EF4650" w:rsidRPr="00AD7255" w:rsidRDefault="00EF4650" w:rsidP="00EF465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150DD9D7" w14:textId="77777777" w:rsidR="00EF4650" w:rsidRDefault="00EF4650" w:rsidP="00EF465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618482D" w14:textId="2FA3A8FB"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A review of literature is essential to understand the theoretical background and past research related to the financial performance and ratio analysis in the paper industry. It helps identify gaps in existing knowledge, supports the formulation of objectives, and provides a framework for evaluating the financial practices used by companies in the sector.</w:t>
      </w:r>
    </w:p>
    <w:p w14:paraId="5C95B924" w14:textId="6C36576F"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Gupta, R. (2014)</w:t>
      </w:r>
      <w:r w:rsidRPr="00EF4650">
        <w:rPr>
          <w:rFonts w:ascii="Times New Roman" w:hAnsi="Times New Roman" w:cs="Times New Roman"/>
          <w:sz w:val="24"/>
          <w:szCs w:val="24"/>
        </w:rPr>
        <w:t xml:space="preserve"> in his study on financial ratio analysis of Indian manufacturing firms highlighted that ratio analysis is a critical tool to assess liquidity, solvency, and profitability. He emphasized that companies in resource-intensive industries, like paper, should focus on cost control and efficient asset utilization.</w:t>
      </w:r>
    </w:p>
    <w:p w14:paraId="76EC8F43" w14:textId="46C26E10"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Sharma, N. and Jain, M. (2016)</w:t>
      </w:r>
      <w:r w:rsidRPr="00EF4650">
        <w:rPr>
          <w:rFonts w:ascii="Times New Roman" w:hAnsi="Times New Roman" w:cs="Times New Roman"/>
          <w:sz w:val="24"/>
          <w:szCs w:val="24"/>
        </w:rPr>
        <w:t xml:space="preserve"> </w:t>
      </w:r>
      <w:proofErr w:type="spellStart"/>
      <w:r w:rsidRPr="00EF4650">
        <w:rPr>
          <w:rFonts w:ascii="Times New Roman" w:hAnsi="Times New Roman" w:cs="Times New Roman"/>
          <w:sz w:val="24"/>
          <w:szCs w:val="24"/>
        </w:rPr>
        <w:t>analyzed</w:t>
      </w:r>
      <w:proofErr w:type="spellEnd"/>
      <w:r w:rsidRPr="00EF4650">
        <w:rPr>
          <w:rFonts w:ascii="Times New Roman" w:hAnsi="Times New Roman" w:cs="Times New Roman"/>
          <w:sz w:val="24"/>
          <w:szCs w:val="24"/>
        </w:rPr>
        <w:t xml:space="preserve"> the financial performance of paper companies using trend and ratio analysis. Their findings revealed that while revenue growth was consistent, profitability ratios showed fluctuations due to high raw material and energy costs.</w:t>
      </w:r>
    </w:p>
    <w:p w14:paraId="6C4100D6" w14:textId="56DF2337"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Mohan, K. (2017)</w:t>
      </w:r>
      <w:r w:rsidRPr="00EF4650">
        <w:rPr>
          <w:rFonts w:ascii="Times New Roman" w:hAnsi="Times New Roman" w:cs="Times New Roman"/>
          <w:sz w:val="24"/>
          <w:szCs w:val="24"/>
        </w:rPr>
        <w:t xml:space="preserve"> conducted a comparative study of financial ratios in the Indian paper industry. He found that most companies faced challenges in maintaining a healthy debt-to-equity ratio due to capital-intensive operations. Liquidity ratios were also found to be relatively low, suggesting the need for better working capital management.</w:t>
      </w:r>
    </w:p>
    <w:p w14:paraId="14CA098E" w14:textId="6EF6E12D"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Patel, D. (2018)</w:t>
      </w:r>
      <w:r w:rsidRPr="00EF4650">
        <w:rPr>
          <w:rFonts w:ascii="Times New Roman" w:hAnsi="Times New Roman" w:cs="Times New Roman"/>
          <w:sz w:val="24"/>
          <w:szCs w:val="24"/>
        </w:rPr>
        <w:t xml:space="preserve"> focused on evaluating short-term and long-term financial health using liquidity and solvency ratios. His study showed that the paper industry often operated on thin margins and depended heavily on volume to sustain profits. Inventory turnover was also a critical factor affecting overall efficiency.</w:t>
      </w:r>
    </w:p>
    <w:p w14:paraId="25DD5126" w14:textId="22C05E93"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Joshi, R. (2019)</w:t>
      </w:r>
      <w:r w:rsidRPr="00EF4650">
        <w:rPr>
          <w:rFonts w:ascii="Times New Roman" w:hAnsi="Times New Roman" w:cs="Times New Roman"/>
          <w:sz w:val="24"/>
          <w:szCs w:val="24"/>
        </w:rPr>
        <w:t xml:space="preserve"> examined the financial statements of paper mills in Gujarat and concluded that ratio analysis provided key insights into managerial effectiveness. He noted that companies that consistently tracked and acted on ratio indicators had better financial control and stability.</w:t>
      </w:r>
    </w:p>
    <w:p w14:paraId="367EDA00" w14:textId="4FE71ED0"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Kumar, A. and Srivastava, P. (2020)</w:t>
      </w:r>
      <w:r w:rsidRPr="00EF4650">
        <w:rPr>
          <w:rFonts w:ascii="Times New Roman" w:hAnsi="Times New Roman" w:cs="Times New Roman"/>
          <w:sz w:val="24"/>
          <w:szCs w:val="24"/>
        </w:rPr>
        <w:t xml:space="preserve"> investigated how external factors such as environmental regulations and rising input costs affect financial ratios. Their study confirmed that these variables significantly impact the profitability and solvency of paper manufacturing firms, making financial planning essential.</w:t>
      </w:r>
    </w:p>
    <w:p w14:paraId="3B7DF882" w14:textId="40761C2F"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EF4650">
        <w:rPr>
          <w:rFonts w:ascii="Times New Roman" w:hAnsi="Times New Roman" w:cs="Times New Roman"/>
          <w:b/>
          <w:bCs/>
          <w:sz w:val="24"/>
          <w:szCs w:val="24"/>
        </w:rPr>
        <w:t>Rajasekar, V. (2021)</w:t>
      </w:r>
      <w:r w:rsidRPr="00EF4650">
        <w:rPr>
          <w:rFonts w:ascii="Times New Roman" w:hAnsi="Times New Roman" w:cs="Times New Roman"/>
          <w:sz w:val="24"/>
          <w:szCs w:val="24"/>
        </w:rPr>
        <w:t xml:space="preserve"> emphasized the role of financial ratio analysis in investment decision-making. He showed that investors increasingly rely on historical financial ratios such as Return on Equity (ROE) and Net Profit Margin to assess a firm’s financial soundness before investing in the stock.</w:t>
      </w:r>
    </w:p>
    <w:p w14:paraId="6AB36A24" w14:textId="37FC3B74"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F4650">
        <w:rPr>
          <w:rFonts w:ascii="Times New Roman" w:hAnsi="Times New Roman" w:cs="Times New Roman"/>
          <w:b/>
          <w:bCs/>
          <w:sz w:val="24"/>
          <w:szCs w:val="24"/>
        </w:rPr>
        <w:t>Thomas, S. (2022)</w:t>
      </w:r>
      <w:r w:rsidRPr="00EF4650">
        <w:rPr>
          <w:rFonts w:ascii="Times New Roman" w:hAnsi="Times New Roman" w:cs="Times New Roman"/>
          <w:sz w:val="24"/>
          <w:szCs w:val="24"/>
        </w:rPr>
        <w:t xml:space="preserve"> studied the long-term trends in the Indian paper industry and concluded that consistent ratio analysis could help companies survive economic slowdowns. He pointed out that liquidity ratios were key indicators of resilience, especially during downturns.</w:t>
      </w:r>
    </w:p>
    <w:p w14:paraId="7FFBDBE3" w14:textId="1EFDAC7D"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These studies collectively reinforce the importance of ratio analysis in understanding the financial health of paper companies. While previous research has offered significant insights into profitability, liquidity, and solvency, there is still a need for industry-specific analysis with a consistent time frame and comparison across multiple companies.</w:t>
      </w:r>
    </w:p>
    <w:p w14:paraId="7C2F9A7B" w14:textId="4F160489"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This study aims to bridge that gap by conducting a comprehensive ratio analysis of selected paper industry firms, focusing on both year-wise trends and inter-firm comparisons. The findings will contribute to existing literature and help stakeholders make informed financial and strategic decisions.</w:t>
      </w:r>
    </w:p>
    <w:p w14:paraId="4C1F6F3C" w14:textId="77777777" w:rsidR="00EF4650" w:rsidRDefault="00EF4650" w:rsidP="00EE2D03">
      <w:pPr>
        <w:spacing w:line="360" w:lineRule="auto"/>
        <w:jc w:val="both"/>
        <w:rPr>
          <w:rFonts w:ascii="Times New Roman" w:hAnsi="Times New Roman" w:cs="Times New Roman"/>
          <w:sz w:val="24"/>
          <w:szCs w:val="24"/>
        </w:rPr>
      </w:pPr>
    </w:p>
    <w:p w14:paraId="087D89EE" w14:textId="77777777" w:rsidR="00EF4650" w:rsidRDefault="00EF4650" w:rsidP="00EE2D03">
      <w:pPr>
        <w:spacing w:line="360" w:lineRule="auto"/>
        <w:jc w:val="both"/>
        <w:rPr>
          <w:rFonts w:ascii="Times New Roman" w:hAnsi="Times New Roman" w:cs="Times New Roman"/>
          <w:sz w:val="24"/>
          <w:szCs w:val="24"/>
        </w:rPr>
      </w:pPr>
    </w:p>
    <w:p w14:paraId="39CA5CE9" w14:textId="77777777" w:rsidR="00EF4650" w:rsidRDefault="00EF4650" w:rsidP="00EE2D03">
      <w:pPr>
        <w:spacing w:line="360" w:lineRule="auto"/>
        <w:jc w:val="both"/>
        <w:rPr>
          <w:rFonts w:ascii="Times New Roman" w:hAnsi="Times New Roman" w:cs="Times New Roman"/>
          <w:sz w:val="24"/>
          <w:szCs w:val="24"/>
        </w:rPr>
      </w:pPr>
    </w:p>
    <w:p w14:paraId="7CA4D39D" w14:textId="77777777" w:rsidR="00EF4650" w:rsidRDefault="00EF4650" w:rsidP="00EE2D03">
      <w:pPr>
        <w:spacing w:line="360" w:lineRule="auto"/>
        <w:jc w:val="both"/>
        <w:rPr>
          <w:rFonts w:ascii="Times New Roman" w:hAnsi="Times New Roman" w:cs="Times New Roman"/>
          <w:sz w:val="24"/>
          <w:szCs w:val="24"/>
        </w:rPr>
      </w:pPr>
    </w:p>
    <w:p w14:paraId="5A3192F6" w14:textId="77777777" w:rsidR="00EF4650" w:rsidRDefault="00EF4650" w:rsidP="00EE2D03">
      <w:pPr>
        <w:spacing w:line="360" w:lineRule="auto"/>
        <w:jc w:val="both"/>
        <w:rPr>
          <w:rFonts w:ascii="Times New Roman" w:hAnsi="Times New Roman" w:cs="Times New Roman"/>
          <w:sz w:val="24"/>
          <w:szCs w:val="24"/>
        </w:rPr>
      </w:pPr>
    </w:p>
    <w:p w14:paraId="38879773" w14:textId="77777777" w:rsidR="00EF4650" w:rsidRDefault="00EF4650" w:rsidP="00EE2D03">
      <w:pPr>
        <w:spacing w:line="360" w:lineRule="auto"/>
        <w:jc w:val="both"/>
        <w:rPr>
          <w:rFonts w:ascii="Times New Roman" w:hAnsi="Times New Roman" w:cs="Times New Roman"/>
          <w:sz w:val="24"/>
          <w:szCs w:val="24"/>
        </w:rPr>
      </w:pPr>
    </w:p>
    <w:p w14:paraId="0E7A791B" w14:textId="77777777" w:rsidR="00EF4650" w:rsidRDefault="00EF4650" w:rsidP="00EE2D03">
      <w:pPr>
        <w:spacing w:line="360" w:lineRule="auto"/>
        <w:jc w:val="both"/>
        <w:rPr>
          <w:rFonts w:ascii="Times New Roman" w:hAnsi="Times New Roman" w:cs="Times New Roman"/>
          <w:sz w:val="24"/>
          <w:szCs w:val="24"/>
        </w:rPr>
      </w:pPr>
    </w:p>
    <w:p w14:paraId="7C728CC9" w14:textId="77777777" w:rsidR="00EF4650" w:rsidRDefault="00EF4650" w:rsidP="00EE2D03">
      <w:pPr>
        <w:spacing w:line="360" w:lineRule="auto"/>
        <w:jc w:val="both"/>
        <w:rPr>
          <w:rFonts w:ascii="Times New Roman" w:hAnsi="Times New Roman" w:cs="Times New Roman"/>
          <w:sz w:val="24"/>
          <w:szCs w:val="24"/>
        </w:rPr>
      </w:pPr>
    </w:p>
    <w:p w14:paraId="1894CED6" w14:textId="77777777" w:rsidR="00EF4650" w:rsidRDefault="00EF4650" w:rsidP="00EE2D03">
      <w:pPr>
        <w:spacing w:line="360" w:lineRule="auto"/>
        <w:jc w:val="both"/>
        <w:rPr>
          <w:rFonts w:ascii="Times New Roman" w:hAnsi="Times New Roman" w:cs="Times New Roman"/>
          <w:sz w:val="24"/>
          <w:szCs w:val="24"/>
        </w:rPr>
      </w:pPr>
    </w:p>
    <w:p w14:paraId="7E67F823" w14:textId="77777777" w:rsidR="00EF4650" w:rsidRDefault="00EF4650" w:rsidP="00EE2D03">
      <w:pPr>
        <w:spacing w:line="360" w:lineRule="auto"/>
        <w:jc w:val="both"/>
        <w:rPr>
          <w:rFonts w:ascii="Times New Roman" w:hAnsi="Times New Roman" w:cs="Times New Roman"/>
          <w:sz w:val="24"/>
          <w:szCs w:val="24"/>
        </w:rPr>
      </w:pPr>
    </w:p>
    <w:p w14:paraId="2E17BA0E" w14:textId="77777777" w:rsidR="00EF4650" w:rsidRDefault="00EF4650" w:rsidP="00EE2D03">
      <w:pPr>
        <w:spacing w:line="360" w:lineRule="auto"/>
        <w:jc w:val="both"/>
        <w:rPr>
          <w:rFonts w:ascii="Times New Roman" w:hAnsi="Times New Roman" w:cs="Times New Roman"/>
          <w:sz w:val="24"/>
          <w:szCs w:val="24"/>
        </w:rPr>
      </w:pPr>
    </w:p>
    <w:p w14:paraId="213B5842" w14:textId="77777777" w:rsidR="00EF4650" w:rsidRDefault="00EF4650" w:rsidP="00EE2D03">
      <w:pPr>
        <w:spacing w:line="360" w:lineRule="auto"/>
        <w:jc w:val="both"/>
        <w:rPr>
          <w:rFonts w:ascii="Times New Roman" w:hAnsi="Times New Roman" w:cs="Times New Roman"/>
          <w:sz w:val="24"/>
          <w:szCs w:val="24"/>
        </w:rPr>
      </w:pPr>
    </w:p>
    <w:p w14:paraId="480E8217" w14:textId="77777777" w:rsidR="00EF4650" w:rsidRPr="0078607C" w:rsidRDefault="00EF4650" w:rsidP="00EF465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FA19088" w14:textId="77777777" w:rsidR="00EF4650" w:rsidRPr="0078607C" w:rsidRDefault="00EF4650" w:rsidP="00EF465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47DDF4C"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Research methodology refers to the overall strategy and systematic plan followed to collect, </w:t>
      </w:r>
      <w:proofErr w:type="spellStart"/>
      <w:r w:rsidRPr="00EF4650">
        <w:rPr>
          <w:rFonts w:ascii="Times New Roman" w:hAnsi="Times New Roman" w:cs="Times New Roman"/>
          <w:sz w:val="24"/>
          <w:szCs w:val="24"/>
        </w:rPr>
        <w:t>analyze</w:t>
      </w:r>
      <w:proofErr w:type="spellEnd"/>
      <w:r w:rsidRPr="00EF4650">
        <w:rPr>
          <w:rFonts w:ascii="Times New Roman" w:hAnsi="Times New Roman" w:cs="Times New Roman"/>
          <w:sz w:val="24"/>
          <w:szCs w:val="24"/>
        </w:rPr>
        <w:t>, and interpret data for achieving the objectives of a study. In the context of this project, the methodology adopted focuses on financial ratio analysis as a tool to evaluate the financial performance of selected companies in the paper industry.</w:t>
      </w:r>
    </w:p>
    <w:p w14:paraId="1BEC6983"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3.1 Research Design</w:t>
      </w:r>
    </w:p>
    <w:p w14:paraId="579886A7"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The study is </w:t>
      </w:r>
      <w:r w:rsidRPr="00EF4650">
        <w:rPr>
          <w:rFonts w:ascii="Times New Roman" w:hAnsi="Times New Roman" w:cs="Times New Roman"/>
          <w:b/>
          <w:bCs/>
          <w:sz w:val="24"/>
          <w:szCs w:val="24"/>
        </w:rPr>
        <w:t>analytical and quantitative</w:t>
      </w:r>
      <w:r w:rsidRPr="00EF4650">
        <w:rPr>
          <w:rFonts w:ascii="Times New Roman" w:hAnsi="Times New Roman" w:cs="Times New Roman"/>
          <w:sz w:val="24"/>
          <w:szCs w:val="24"/>
        </w:rPr>
        <w:t xml:space="preserve"> in nature. It is designed to evaluate the financial health of companies through the calculation and interpretation of various financial ratios. The research is primarily based on secondary data collected from reliable and published financial sources.</w:t>
      </w:r>
    </w:p>
    <w:p w14:paraId="11729A20"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3.2 Source of Data</w:t>
      </w:r>
    </w:p>
    <w:p w14:paraId="748F6EDA"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The study is conducted using </w:t>
      </w:r>
      <w:r w:rsidRPr="00EF4650">
        <w:rPr>
          <w:rFonts w:ascii="Times New Roman" w:hAnsi="Times New Roman" w:cs="Times New Roman"/>
          <w:b/>
          <w:bCs/>
          <w:sz w:val="24"/>
          <w:szCs w:val="24"/>
        </w:rPr>
        <w:t>secondary data</w:t>
      </w:r>
      <w:r w:rsidRPr="00EF4650">
        <w:rPr>
          <w:rFonts w:ascii="Times New Roman" w:hAnsi="Times New Roman" w:cs="Times New Roman"/>
          <w:sz w:val="24"/>
          <w:szCs w:val="24"/>
        </w:rPr>
        <w:t xml:space="preserve">. Financial information such as balance sheets, profit and loss accounts, and annual reports of selected paper companies were used. These data were obtained from company websites, the Ministry of Corporate Affairs (MCA), stock exchanges (like NSE/BSE), and financial databases such as </w:t>
      </w:r>
      <w:proofErr w:type="spellStart"/>
      <w:r w:rsidRPr="00EF4650">
        <w:rPr>
          <w:rFonts w:ascii="Times New Roman" w:hAnsi="Times New Roman" w:cs="Times New Roman"/>
          <w:sz w:val="24"/>
          <w:szCs w:val="24"/>
        </w:rPr>
        <w:t>Moneycontrol</w:t>
      </w:r>
      <w:proofErr w:type="spellEnd"/>
      <w:r w:rsidRPr="00EF4650">
        <w:rPr>
          <w:rFonts w:ascii="Times New Roman" w:hAnsi="Times New Roman" w:cs="Times New Roman"/>
          <w:sz w:val="24"/>
          <w:szCs w:val="24"/>
        </w:rPr>
        <w:t>, Screener, and official company reports.</w:t>
      </w:r>
    </w:p>
    <w:p w14:paraId="3D9C87FF"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3.3 Period of the Study</w:t>
      </w:r>
    </w:p>
    <w:p w14:paraId="391A2392"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The study covers a period of </w:t>
      </w:r>
      <w:r w:rsidRPr="00EF4650">
        <w:rPr>
          <w:rFonts w:ascii="Times New Roman" w:hAnsi="Times New Roman" w:cs="Times New Roman"/>
          <w:b/>
          <w:bCs/>
          <w:sz w:val="24"/>
          <w:szCs w:val="24"/>
        </w:rPr>
        <w:t>five financial years</w:t>
      </w:r>
      <w:r w:rsidRPr="00EF4650">
        <w:rPr>
          <w:rFonts w:ascii="Times New Roman" w:hAnsi="Times New Roman" w:cs="Times New Roman"/>
          <w:sz w:val="24"/>
          <w:szCs w:val="24"/>
        </w:rPr>
        <w:t xml:space="preserve">, typically from </w:t>
      </w:r>
      <w:r w:rsidRPr="00EF4650">
        <w:rPr>
          <w:rFonts w:ascii="Times New Roman" w:hAnsi="Times New Roman" w:cs="Times New Roman"/>
          <w:b/>
          <w:bCs/>
          <w:sz w:val="24"/>
          <w:szCs w:val="24"/>
        </w:rPr>
        <w:t>2019–2023</w:t>
      </w:r>
      <w:r w:rsidRPr="00EF4650">
        <w:rPr>
          <w:rFonts w:ascii="Times New Roman" w:hAnsi="Times New Roman" w:cs="Times New Roman"/>
          <w:sz w:val="24"/>
          <w:szCs w:val="24"/>
        </w:rPr>
        <w:t>. This period is chosen to evaluate trends and patterns in financial performance over time.</w:t>
      </w:r>
    </w:p>
    <w:p w14:paraId="3AD35B07"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3.4 Sampling Technique</w:t>
      </w:r>
    </w:p>
    <w:p w14:paraId="5957DDDA"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A </w:t>
      </w:r>
      <w:r w:rsidRPr="00EF4650">
        <w:rPr>
          <w:rFonts w:ascii="Times New Roman" w:hAnsi="Times New Roman" w:cs="Times New Roman"/>
          <w:b/>
          <w:bCs/>
          <w:sz w:val="24"/>
          <w:szCs w:val="24"/>
        </w:rPr>
        <w:t>purposive sampling method</w:t>
      </w:r>
      <w:r w:rsidRPr="00EF4650">
        <w:rPr>
          <w:rFonts w:ascii="Times New Roman" w:hAnsi="Times New Roman" w:cs="Times New Roman"/>
          <w:sz w:val="24"/>
          <w:szCs w:val="24"/>
        </w:rPr>
        <w:t xml:space="preserve"> is used to select a few major paper companies that are publicly listed and have consistent financial data availability. The selection ensures diversity in size, market share, and operational structure.</w:t>
      </w:r>
    </w:p>
    <w:p w14:paraId="1AE6EAE2"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3.5 Tools of Analysis</w:t>
      </w:r>
    </w:p>
    <w:p w14:paraId="27CDAF27"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The study makes use of </w:t>
      </w:r>
      <w:r w:rsidRPr="00EF4650">
        <w:rPr>
          <w:rFonts w:ascii="Times New Roman" w:hAnsi="Times New Roman" w:cs="Times New Roman"/>
          <w:b/>
          <w:bCs/>
          <w:sz w:val="24"/>
          <w:szCs w:val="24"/>
        </w:rPr>
        <w:t>financial ratio analysis</w:t>
      </w:r>
      <w:r w:rsidRPr="00EF4650">
        <w:rPr>
          <w:rFonts w:ascii="Times New Roman" w:hAnsi="Times New Roman" w:cs="Times New Roman"/>
          <w:sz w:val="24"/>
          <w:szCs w:val="24"/>
        </w:rPr>
        <w:t xml:space="preserve"> as the primary tool for data analysis. The key ratios used in this study include:</w:t>
      </w:r>
    </w:p>
    <w:p w14:paraId="18C536D9" w14:textId="77777777" w:rsidR="00EF4650" w:rsidRPr="00EF4650" w:rsidRDefault="00EF4650" w:rsidP="00EF4650">
      <w:pPr>
        <w:numPr>
          <w:ilvl w:val="0"/>
          <w:numId w:val="5"/>
        </w:numPr>
        <w:spacing w:line="360" w:lineRule="auto"/>
        <w:jc w:val="both"/>
        <w:rPr>
          <w:rFonts w:ascii="Times New Roman" w:hAnsi="Times New Roman" w:cs="Times New Roman"/>
          <w:sz w:val="24"/>
          <w:szCs w:val="24"/>
        </w:rPr>
      </w:pPr>
      <w:r w:rsidRPr="00EF4650">
        <w:rPr>
          <w:rFonts w:ascii="Times New Roman" w:hAnsi="Times New Roman" w:cs="Times New Roman"/>
          <w:b/>
          <w:bCs/>
          <w:sz w:val="24"/>
          <w:szCs w:val="24"/>
        </w:rPr>
        <w:t>Liquidity Ratios</w:t>
      </w:r>
      <w:r w:rsidRPr="00EF4650">
        <w:rPr>
          <w:rFonts w:ascii="Times New Roman" w:hAnsi="Times New Roman" w:cs="Times New Roman"/>
          <w:sz w:val="24"/>
          <w:szCs w:val="24"/>
        </w:rPr>
        <w:t>: Current Ratio, Quick Ratio</w:t>
      </w:r>
    </w:p>
    <w:p w14:paraId="60D5E7D7" w14:textId="77777777" w:rsidR="00EF4650" w:rsidRPr="00EF4650" w:rsidRDefault="00EF4650" w:rsidP="00EF4650">
      <w:pPr>
        <w:numPr>
          <w:ilvl w:val="0"/>
          <w:numId w:val="5"/>
        </w:numPr>
        <w:spacing w:line="360" w:lineRule="auto"/>
        <w:jc w:val="both"/>
        <w:rPr>
          <w:rFonts w:ascii="Times New Roman" w:hAnsi="Times New Roman" w:cs="Times New Roman"/>
          <w:sz w:val="24"/>
          <w:szCs w:val="24"/>
        </w:rPr>
      </w:pPr>
      <w:r w:rsidRPr="00EF4650">
        <w:rPr>
          <w:rFonts w:ascii="Times New Roman" w:hAnsi="Times New Roman" w:cs="Times New Roman"/>
          <w:b/>
          <w:bCs/>
          <w:sz w:val="24"/>
          <w:szCs w:val="24"/>
        </w:rPr>
        <w:lastRenderedPageBreak/>
        <w:t>Profitability Ratios</w:t>
      </w:r>
      <w:r w:rsidRPr="00EF4650">
        <w:rPr>
          <w:rFonts w:ascii="Times New Roman" w:hAnsi="Times New Roman" w:cs="Times New Roman"/>
          <w:sz w:val="24"/>
          <w:szCs w:val="24"/>
        </w:rPr>
        <w:t>: Net Profit Ratio, Return on Assets (ROA), Return on Equity (ROE), Gross Profit Margin</w:t>
      </w:r>
    </w:p>
    <w:p w14:paraId="092C081D" w14:textId="77777777" w:rsidR="00EF4650" w:rsidRPr="00EF4650" w:rsidRDefault="00EF4650" w:rsidP="00EF4650">
      <w:pPr>
        <w:numPr>
          <w:ilvl w:val="0"/>
          <w:numId w:val="5"/>
        </w:numPr>
        <w:spacing w:line="360" w:lineRule="auto"/>
        <w:jc w:val="both"/>
        <w:rPr>
          <w:rFonts w:ascii="Times New Roman" w:hAnsi="Times New Roman" w:cs="Times New Roman"/>
          <w:sz w:val="24"/>
          <w:szCs w:val="24"/>
        </w:rPr>
      </w:pPr>
      <w:r w:rsidRPr="00EF4650">
        <w:rPr>
          <w:rFonts w:ascii="Times New Roman" w:hAnsi="Times New Roman" w:cs="Times New Roman"/>
          <w:b/>
          <w:bCs/>
          <w:sz w:val="24"/>
          <w:szCs w:val="24"/>
        </w:rPr>
        <w:t>Solvency Ratios</w:t>
      </w:r>
      <w:r w:rsidRPr="00EF4650">
        <w:rPr>
          <w:rFonts w:ascii="Times New Roman" w:hAnsi="Times New Roman" w:cs="Times New Roman"/>
          <w:sz w:val="24"/>
          <w:szCs w:val="24"/>
        </w:rPr>
        <w:t>: Debt to Equity Ratio, Interest Coverage Ratio</w:t>
      </w:r>
    </w:p>
    <w:p w14:paraId="793FEE50" w14:textId="77777777" w:rsidR="00EF4650" w:rsidRPr="00EF4650" w:rsidRDefault="00EF4650" w:rsidP="00EF4650">
      <w:pPr>
        <w:numPr>
          <w:ilvl w:val="0"/>
          <w:numId w:val="5"/>
        </w:numPr>
        <w:spacing w:line="360" w:lineRule="auto"/>
        <w:jc w:val="both"/>
        <w:rPr>
          <w:rFonts w:ascii="Times New Roman" w:hAnsi="Times New Roman" w:cs="Times New Roman"/>
          <w:sz w:val="24"/>
          <w:szCs w:val="24"/>
        </w:rPr>
      </w:pPr>
      <w:r w:rsidRPr="00EF4650">
        <w:rPr>
          <w:rFonts w:ascii="Times New Roman" w:hAnsi="Times New Roman" w:cs="Times New Roman"/>
          <w:b/>
          <w:bCs/>
          <w:sz w:val="24"/>
          <w:szCs w:val="24"/>
        </w:rPr>
        <w:t>Activity Ratios</w:t>
      </w:r>
      <w:r w:rsidRPr="00EF4650">
        <w:rPr>
          <w:rFonts w:ascii="Times New Roman" w:hAnsi="Times New Roman" w:cs="Times New Roman"/>
          <w:sz w:val="24"/>
          <w:szCs w:val="24"/>
        </w:rPr>
        <w:t>: Inventory Turnover Ratio, Debtors Turnover Ratio, Asset Turnover Ratio</w:t>
      </w:r>
    </w:p>
    <w:p w14:paraId="24A67298"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Each ratio is calculated, interpreted, and compared across years and among the selected firms.</w:t>
      </w:r>
    </w:p>
    <w:p w14:paraId="2086EAB1"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3.6 Method of Data Analysis</w:t>
      </w:r>
    </w:p>
    <w:p w14:paraId="72E647FD"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The collected data are organized in tables and charts for easy interpretation. </w:t>
      </w:r>
      <w:r w:rsidRPr="00EF4650">
        <w:rPr>
          <w:rFonts w:ascii="Times New Roman" w:hAnsi="Times New Roman" w:cs="Times New Roman"/>
          <w:b/>
          <w:bCs/>
          <w:sz w:val="24"/>
          <w:szCs w:val="24"/>
        </w:rPr>
        <w:t>Trend analysis</w:t>
      </w:r>
      <w:r w:rsidRPr="00EF4650">
        <w:rPr>
          <w:rFonts w:ascii="Times New Roman" w:hAnsi="Times New Roman" w:cs="Times New Roman"/>
          <w:sz w:val="24"/>
          <w:szCs w:val="24"/>
        </w:rPr>
        <w:t xml:space="preserve"> is used to observe the movement of ratios over the years, while </w:t>
      </w:r>
      <w:r w:rsidRPr="00EF4650">
        <w:rPr>
          <w:rFonts w:ascii="Times New Roman" w:hAnsi="Times New Roman" w:cs="Times New Roman"/>
          <w:b/>
          <w:bCs/>
          <w:sz w:val="24"/>
          <w:szCs w:val="24"/>
        </w:rPr>
        <w:t>comparative analysis</w:t>
      </w:r>
      <w:r w:rsidRPr="00EF4650">
        <w:rPr>
          <w:rFonts w:ascii="Times New Roman" w:hAnsi="Times New Roman" w:cs="Times New Roman"/>
          <w:sz w:val="24"/>
          <w:szCs w:val="24"/>
        </w:rPr>
        <w:t xml:space="preserve"> is employed to contrast the financial performance of different companies within the industry.</w:t>
      </w:r>
    </w:p>
    <w:p w14:paraId="07649DE3" w14:textId="77777777" w:rsidR="00EF4650" w:rsidRPr="00EF4650" w:rsidRDefault="00EF4650" w:rsidP="00EF4650">
      <w:pPr>
        <w:spacing w:line="360" w:lineRule="auto"/>
        <w:jc w:val="both"/>
        <w:rPr>
          <w:rFonts w:ascii="Times New Roman" w:hAnsi="Times New Roman" w:cs="Times New Roman"/>
          <w:b/>
          <w:bCs/>
          <w:sz w:val="24"/>
          <w:szCs w:val="24"/>
        </w:rPr>
      </w:pPr>
      <w:r w:rsidRPr="00EF4650">
        <w:rPr>
          <w:rFonts w:ascii="Times New Roman" w:hAnsi="Times New Roman" w:cs="Times New Roman"/>
          <w:b/>
          <w:bCs/>
          <w:sz w:val="24"/>
          <w:szCs w:val="24"/>
        </w:rPr>
        <w:t>3.7 Limitations in Methodology</w:t>
      </w:r>
    </w:p>
    <w:p w14:paraId="3A09D360"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While ratio analysis provides important financial insights, it does not account for qualitative factors or external variables such as market dynamics or government policy changes. Also, the accuracy of analysis depends on the reliability of the published financial data.</w:t>
      </w:r>
    </w:p>
    <w:p w14:paraId="5C69E585" w14:textId="77777777" w:rsidR="00EF4650" w:rsidRDefault="00EF4650" w:rsidP="00EE2D03">
      <w:pPr>
        <w:spacing w:line="360" w:lineRule="auto"/>
        <w:jc w:val="both"/>
        <w:rPr>
          <w:rFonts w:ascii="Times New Roman" w:hAnsi="Times New Roman" w:cs="Times New Roman"/>
          <w:sz w:val="24"/>
          <w:szCs w:val="24"/>
        </w:rPr>
      </w:pPr>
    </w:p>
    <w:p w14:paraId="5E43555D" w14:textId="77777777" w:rsidR="00EF4650" w:rsidRDefault="00EF4650" w:rsidP="00EE2D03">
      <w:pPr>
        <w:spacing w:line="360" w:lineRule="auto"/>
        <w:jc w:val="both"/>
        <w:rPr>
          <w:rFonts w:ascii="Times New Roman" w:hAnsi="Times New Roman" w:cs="Times New Roman"/>
          <w:sz w:val="24"/>
          <w:szCs w:val="24"/>
        </w:rPr>
      </w:pPr>
    </w:p>
    <w:p w14:paraId="1553DFC2" w14:textId="77777777" w:rsidR="00EF4650" w:rsidRDefault="00EF4650" w:rsidP="00EE2D03">
      <w:pPr>
        <w:spacing w:line="360" w:lineRule="auto"/>
        <w:jc w:val="both"/>
        <w:rPr>
          <w:rFonts w:ascii="Times New Roman" w:hAnsi="Times New Roman" w:cs="Times New Roman"/>
          <w:sz w:val="24"/>
          <w:szCs w:val="24"/>
        </w:rPr>
      </w:pPr>
    </w:p>
    <w:p w14:paraId="3C6318E9" w14:textId="77777777" w:rsidR="00EF4650" w:rsidRDefault="00EF4650" w:rsidP="00EE2D03">
      <w:pPr>
        <w:spacing w:line="360" w:lineRule="auto"/>
        <w:jc w:val="both"/>
        <w:rPr>
          <w:rFonts w:ascii="Times New Roman" w:hAnsi="Times New Roman" w:cs="Times New Roman"/>
          <w:sz w:val="24"/>
          <w:szCs w:val="24"/>
        </w:rPr>
      </w:pPr>
    </w:p>
    <w:p w14:paraId="0CD275D3" w14:textId="77777777" w:rsidR="00EF4650" w:rsidRDefault="00EF4650" w:rsidP="00EE2D03">
      <w:pPr>
        <w:spacing w:line="360" w:lineRule="auto"/>
        <w:jc w:val="both"/>
        <w:rPr>
          <w:rFonts w:ascii="Times New Roman" w:hAnsi="Times New Roman" w:cs="Times New Roman"/>
          <w:sz w:val="24"/>
          <w:szCs w:val="24"/>
        </w:rPr>
      </w:pPr>
    </w:p>
    <w:p w14:paraId="4E380528" w14:textId="77777777" w:rsidR="00EF4650" w:rsidRDefault="00EF4650" w:rsidP="00EE2D03">
      <w:pPr>
        <w:spacing w:line="360" w:lineRule="auto"/>
        <w:jc w:val="both"/>
        <w:rPr>
          <w:rFonts w:ascii="Times New Roman" w:hAnsi="Times New Roman" w:cs="Times New Roman"/>
          <w:sz w:val="24"/>
          <w:szCs w:val="24"/>
        </w:rPr>
      </w:pPr>
    </w:p>
    <w:p w14:paraId="3CBF0983" w14:textId="77777777" w:rsidR="00EF4650" w:rsidRDefault="00EF4650" w:rsidP="00EE2D03">
      <w:pPr>
        <w:spacing w:line="360" w:lineRule="auto"/>
        <w:jc w:val="both"/>
        <w:rPr>
          <w:rFonts w:ascii="Times New Roman" w:hAnsi="Times New Roman" w:cs="Times New Roman"/>
          <w:sz w:val="24"/>
          <w:szCs w:val="24"/>
        </w:rPr>
      </w:pPr>
    </w:p>
    <w:p w14:paraId="39ACBAB2" w14:textId="77777777" w:rsidR="00EF4650" w:rsidRDefault="00EF4650" w:rsidP="00EE2D03">
      <w:pPr>
        <w:spacing w:line="360" w:lineRule="auto"/>
        <w:jc w:val="both"/>
        <w:rPr>
          <w:rFonts w:ascii="Times New Roman" w:hAnsi="Times New Roman" w:cs="Times New Roman"/>
          <w:sz w:val="24"/>
          <w:szCs w:val="24"/>
        </w:rPr>
      </w:pPr>
    </w:p>
    <w:p w14:paraId="69614944" w14:textId="77777777" w:rsidR="00EF4650" w:rsidRDefault="00EF4650" w:rsidP="00EE2D03">
      <w:pPr>
        <w:spacing w:line="360" w:lineRule="auto"/>
        <w:jc w:val="both"/>
        <w:rPr>
          <w:rFonts w:ascii="Times New Roman" w:hAnsi="Times New Roman" w:cs="Times New Roman"/>
          <w:sz w:val="24"/>
          <w:szCs w:val="24"/>
        </w:rPr>
      </w:pPr>
    </w:p>
    <w:p w14:paraId="6A767D4A" w14:textId="77777777" w:rsidR="00EF4650" w:rsidRDefault="00EF4650" w:rsidP="00EE2D03">
      <w:pPr>
        <w:spacing w:line="360" w:lineRule="auto"/>
        <w:jc w:val="both"/>
        <w:rPr>
          <w:rFonts w:ascii="Times New Roman" w:hAnsi="Times New Roman" w:cs="Times New Roman"/>
          <w:sz w:val="24"/>
          <w:szCs w:val="24"/>
        </w:rPr>
      </w:pPr>
    </w:p>
    <w:p w14:paraId="563EAF32" w14:textId="77777777" w:rsidR="00EF4650" w:rsidRDefault="00EF4650" w:rsidP="00EE2D03">
      <w:pPr>
        <w:spacing w:line="360" w:lineRule="auto"/>
        <w:jc w:val="both"/>
        <w:rPr>
          <w:rFonts w:ascii="Times New Roman" w:hAnsi="Times New Roman" w:cs="Times New Roman"/>
          <w:sz w:val="24"/>
          <w:szCs w:val="24"/>
        </w:rPr>
      </w:pPr>
    </w:p>
    <w:p w14:paraId="06ABEE60" w14:textId="77777777" w:rsidR="00EF4650" w:rsidRDefault="00EF4650" w:rsidP="00EE2D03">
      <w:pPr>
        <w:spacing w:line="360" w:lineRule="auto"/>
        <w:jc w:val="both"/>
        <w:rPr>
          <w:rFonts w:ascii="Times New Roman" w:hAnsi="Times New Roman" w:cs="Times New Roman"/>
          <w:sz w:val="24"/>
          <w:szCs w:val="24"/>
        </w:rPr>
      </w:pPr>
    </w:p>
    <w:p w14:paraId="3A27D2D1" w14:textId="77777777" w:rsidR="00EF4650" w:rsidRPr="0078607C" w:rsidRDefault="00EF4650" w:rsidP="00EF465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4CF7BC3" w14:textId="77777777" w:rsidR="00EF4650" w:rsidRDefault="00EF4650" w:rsidP="00EF465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6CBA787" w14:textId="77777777" w:rsidR="00EF4650" w:rsidRPr="004D7E4B" w:rsidRDefault="00EF4650" w:rsidP="00EF465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EF4650" w:rsidRPr="004D7E4B" w14:paraId="3B14D3F9"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DE6CF05" w14:textId="77777777" w:rsidR="00EF4650" w:rsidRPr="004D7E4B" w:rsidRDefault="00EF4650"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AA0B8A6" w14:textId="77777777" w:rsidR="00EF4650" w:rsidRPr="004D7E4B" w:rsidRDefault="00EF4650"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2D89D3C" w14:textId="77777777" w:rsidR="00EF4650" w:rsidRPr="004D7E4B" w:rsidRDefault="00EF4650"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EF4650" w:rsidRPr="004D7E4B" w14:paraId="10731B6A"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914D4BF" w14:textId="15EF1A64" w:rsidR="00EF4650" w:rsidRPr="004D7E4B" w:rsidRDefault="00EF4650" w:rsidP="005860C9">
            <w:pPr>
              <w:spacing w:line="360" w:lineRule="auto"/>
              <w:jc w:val="center"/>
              <w:rPr>
                <w:rFonts w:ascii="Times New Roman" w:hAnsi="Times New Roman" w:cs="Times New Roman"/>
                <w:b/>
                <w:sz w:val="24"/>
                <w:szCs w:val="24"/>
                <w:lang w:val="en-US"/>
              </w:rPr>
            </w:pPr>
            <w:r w:rsidRPr="00EF4650">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1F325C56" w14:textId="77777777"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6A0D0484" w14:textId="46A86623"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EF4650" w:rsidRPr="004D7E4B" w14:paraId="740CDF1A"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AEF74B8" w14:textId="0BCE4E10" w:rsidR="00EF4650" w:rsidRPr="004D7E4B" w:rsidRDefault="00EF4650" w:rsidP="005860C9">
            <w:pPr>
              <w:spacing w:line="360" w:lineRule="auto"/>
              <w:jc w:val="center"/>
              <w:rPr>
                <w:rFonts w:ascii="Times New Roman" w:hAnsi="Times New Roman" w:cs="Times New Roman"/>
                <w:b/>
                <w:sz w:val="24"/>
                <w:szCs w:val="24"/>
                <w:lang w:val="en-US"/>
              </w:rPr>
            </w:pPr>
            <w:r w:rsidRPr="00EF4650">
              <w:rPr>
                <w:rFonts w:ascii="Times New Roman" w:hAnsi="Times New Roman" w:cs="Times New Roman"/>
                <w:b/>
                <w:sz w:val="24"/>
                <w:szCs w:val="24"/>
              </w:rPr>
              <w:t>26 to 35 years</w:t>
            </w:r>
          </w:p>
        </w:tc>
        <w:tc>
          <w:tcPr>
            <w:tcW w:w="3185" w:type="dxa"/>
            <w:tcBorders>
              <w:top w:val="single" w:sz="4" w:space="0" w:color="auto"/>
              <w:left w:val="single" w:sz="4" w:space="0" w:color="auto"/>
              <w:bottom w:val="single" w:sz="4" w:space="0" w:color="auto"/>
              <w:right w:val="single" w:sz="4" w:space="0" w:color="auto"/>
            </w:tcBorders>
            <w:hideMark/>
          </w:tcPr>
          <w:p w14:paraId="3F5D8E10" w14:textId="5EDEE548"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31FBFC7" w14:textId="141FE88B"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EF4650" w:rsidRPr="004D7E4B" w14:paraId="6B0A1083"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2CD7CFED" w14:textId="0461E62F" w:rsidR="00EF4650" w:rsidRPr="004D7E4B" w:rsidRDefault="00EF4650" w:rsidP="005860C9">
            <w:pPr>
              <w:spacing w:line="360" w:lineRule="auto"/>
              <w:jc w:val="center"/>
              <w:rPr>
                <w:rFonts w:ascii="Times New Roman" w:hAnsi="Times New Roman" w:cs="Times New Roman"/>
                <w:b/>
                <w:sz w:val="24"/>
                <w:szCs w:val="24"/>
                <w:lang w:val="en-US"/>
              </w:rPr>
            </w:pPr>
            <w:r w:rsidRPr="00EF4650">
              <w:rPr>
                <w:rFonts w:ascii="Times New Roman" w:hAnsi="Times New Roman" w:cs="Times New Roman"/>
                <w:b/>
                <w:sz w:val="24"/>
                <w:szCs w:val="24"/>
              </w:rPr>
              <w:t>36 to 45 years</w:t>
            </w:r>
          </w:p>
        </w:tc>
        <w:tc>
          <w:tcPr>
            <w:tcW w:w="3185" w:type="dxa"/>
            <w:tcBorders>
              <w:top w:val="single" w:sz="4" w:space="0" w:color="auto"/>
              <w:left w:val="single" w:sz="4" w:space="0" w:color="auto"/>
              <w:bottom w:val="single" w:sz="4" w:space="0" w:color="auto"/>
              <w:right w:val="single" w:sz="4" w:space="0" w:color="auto"/>
            </w:tcBorders>
            <w:hideMark/>
          </w:tcPr>
          <w:p w14:paraId="6E507BA8" w14:textId="60E7D470"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20A4BD97" w14:textId="27ED5560"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4</w:t>
            </w:r>
            <w:r w:rsidRPr="004D7E4B">
              <w:rPr>
                <w:rFonts w:ascii="Times New Roman" w:hAnsi="Times New Roman" w:cs="Times New Roman"/>
                <w:b/>
                <w:sz w:val="24"/>
                <w:szCs w:val="24"/>
                <w:lang w:val="en-US"/>
              </w:rPr>
              <w:t>%</w:t>
            </w:r>
          </w:p>
        </w:tc>
      </w:tr>
      <w:tr w:rsidR="00EF4650" w:rsidRPr="004D7E4B" w14:paraId="52F06635"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7C285671" w14:textId="50DD0DE3" w:rsidR="00EF4650" w:rsidRPr="00E0601D" w:rsidRDefault="00EF4650" w:rsidP="005860C9">
            <w:pPr>
              <w:spacing w:line="360" w:lineRule="auto"/>
              <w:jc w:val="center"/>
              <w:rPr>
                <w:rFonts w:ascii="Times New Roman" w:hAnsi="Times New Roman" w:cs="Times New Roman"/>
                <w:b/>
                <w:sz w:val="24"/>
                <w:szCs w:val="24"/>
              </w:rPr>
            </w:pPr>
            <w:r w:rsidRPr="00EF4650">
              <w:rPr>
                <w:rFonts w:ascii="Times New Roman" w:hAnsi="Times New Roman" w:cs="Times New Roman"/>
                <w:b/>
                <w:sz w:val="24"/>
                <w:szCs w:val="24"/>
              </w:rPr>
              <w:t>Above 45 years</w:t>
            </w:r>
          </w:p>
        </w:tc>
        <w:tc>
          <w:tcPr>
            <w:tcW w:w="3185" w:type="dxa"/>
            <w:tcBorders>
              <w:top w:val="single" w:sz="4" w:space="0" w:color="auto"/>
              <w:left w:val="single" w:sz="4" w:space="0" w:color="auto"/>
              <w:bottom w:val="single" w:sz="4" w:space="0" w:color="auto"/>
              <w:right w:val="single" w:sz="4" w:space="0" w:color="auto"/>
            </w:tcBorders>
          </w:tcPr>
          <w:p w14:paraId="328919C6" w14:textId="086550AA" w:rsidR="00EF4650"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tcPr>
          <w:p w14:paraId="50AE89FC" w14:textId="2D0EEFEC" w:rsidR="00EF4650"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w:t>
            </w:r>
          </w:p>
        </w:tc>
      </w:tr>
      <w:tr w:rsidR="00EF4650" w:rsidRPr="004D7E4B" w14:paraId="7628F45F"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1CD112E3" w14:textId="77777777" w:rsidR="00EF4650" w:rsidRPr="004D7E4B" w:rsidRDefault="00EF4650"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BCE5BCB" w14:textId="77D9C879" w:rsidR="00EF4650" w:rsidRPr="004D7E4B" w:rsidRDefault="00EF4650"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75</w:t>
            </w:r>
          </w:p>
        </w:tc>
        <w:tc>
          <w:tcPr>
            <w:tcW w:w="3185" w:type="dxa"/>
            <w:tcBorders>
              <w:top w:val="single" w:sz="4" w:space="0" w:color="auto"/>
              <w:left w:val="single" w:sz="4" w:space="0" w:color="auto"/>
              <w:bottom w:val="single" w:sz="4" w:space="0" w:color="auto"/>
              <w:right w:val="single" w:sz="4" w:space="0" w:color="auto"/>
            </w:tcBorders>
            <w:hideMark/>
          </w:tcPr>
          <w:p w14:paraId="56A43F9B" w14:textId="77777777" w:rsidR="00EF4650" w:rsidRPr="004D7E4B" w:rsidRDefault="00EF4650"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C33E344" w14:textId="77777777" w:rsidR="00EF4650" w:rsidRDefault="00EF4650" w:rsidP="00EF4650">
      <w:pPr>
        <w:spacing w:line="360" w:lineRule="auto"/>
        <w:jc w:val="both"/>
        <w:rPr>
          <w:rFonts w:ascii="Times New Roman" w:hAnsi="Times New Roman" w:cs="Times New Roman"/>
          <w:sz w:val="24"/>
          <w:szCs w:val="24"/>
        </w:rPr>
      </w:pPr>
    </w:p>
    <w:p w14:paraId="0DA259D5" w14:textId="77777777" w:rsidR="00EF4650" w:rsidRDefault="00EF4650" w:rsidP="00EF465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D3533AB"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data on the age distribution of respondents indicates that the majority, comprising 40%, fall within the 26 to 35 years age bracket. This suggests that a significant portion of the workforce or participants involved in the financial decision-making or operations of the paper industry are relatively young and potentially energetic, bringing fresh perspectives to the sector.</w:t>
      </w:r>
    </w:p>
    <w:p w14:paraId="1D0BED1B"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second largest group, at 24%, is between 36 and 45 years, representing experienced professionals who likely contribute valuable expertise and strategic insights to company finances and operations.</w:t>
      </w:r>
    </w:p>
    <w:p w14:paraId="6D93F14F"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Respondents below 25 years constitute 20% of the total, reflecting the presence of younger employees or new entrants who may be involved in operational roles or junior financial positions. Meanwhile, 16% of respondents are above 45 years, indicating that a smaller segment of senior or highly experienced personnel is involved.</w:t>
      </w:r>
    </w:p>
    <w:p w14:paraId="5F9D4EFF"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Overall, the age distribution reflects a healthy mix of youth and experience within the paper industry, which is important for sustaining innovation and stability in financial management. The varied age groups ensure a balance of fresh ideas and seasoned judgment in assessing and managing the financial performance of paper companies.</w:t>
      </w:r>
    </w:p>
    <w:p w14:paraId="2A008ED5" w14:textId="77777777" w:rsidR="00EF4650" w:rsidRDefault="00EF4650" w:rsidP="00EE2D03">
      <w:pPr>
        <w:spacing w:line="360" w:lineRule="auto"/>
        <w:jc w:val="both"/>
        <w:rPr>
          <w:rFonts w:ascii="Times New Roman" w:hAnsi="Times New Roman" w:cs="Times New Roman"/>
          <w:sz w:val="24"/>
          <w:szCs w:val="24"/>
        </w:rPr>
      </w:pPr>
    </w:p>
    <w:p w14:paraId="12DF4896" w14:textId="77777777" w:rsidR="00EF4650" w:rsidRPr="00967E78" w:rsidRDefault="00EF4650" w:rsidP="00EF4650">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1AF04F60" w14:textId="77777777" w:rsidR="00EF4650" w:rsidRPr="004D7E4B" w:rsidRDefault="00EF4650" w:rsidP="00EF465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EF4650" w:rsidRPr="004D7E4B" w14:paraId="04D73DB3"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1021E826" w14:textId="77777777" w:rsidR="00EF4650" w:rsidRPr="004D7E4B" w:rsidRDefault="00EF4650"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FD3BE36" w14:textId="77777777" w:rsidR="00EF4650" w:rsidRPr="004D7E4B" w:rsidRDefault="00EF4650"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9351799" w14:textId="77777777" w:rsidR="00EF4650" w:rsidRPr="004D7E4B" w:rsidRDefault="00EF4650"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EF4650" w:rsidRPr="004D7E4B" w14:paraId="364F6763"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5066ABE8" w14:textId="77777777" w:rsidR="00EF4650" w:rsidRPr="004D7E4B" w:rsidRDefault="00EF4650"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DDDBFBF" w14:textId="018CA972" w:rsidR="00EF4650" w:rsidRPr="004D7E4B" w:rsidRDefault="00EF4650"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p>
        </w:tc>
        <w:tc>
          <w:tcPr>
            <w:tcW w:w="2685" w:type="dxa"/>
            <w:tcBorders>
              <w:top w:val="single" w:sz="4" w:space="0" w:color="auto"/>
              <w:left w:val="single" w:sz="4" w:space="0" w:color="auto"/>
              <w:bottom w:val="single" w:sz="4" w:space="0" w:color="auto"/>
              <w:right w:val="single" w:sz="4" w:space="0" w:color="auto"/>
            </w:tcBorders>
            <w:hideMark/>
          </w:tcPr>
          <w:p w14:paraId="0F11BB69" w14:textId="4E22AC20" w:rsidR="00EF4650" w:rsidRPr="004D7E4B" w:rsidRDefault="00EF4650"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73.33</w:t>
            </w:r>
            <w:r w:rsidRPr="004D7E4B">
              <w:rPr>
                <w:rFonts w:ascii="Times New Roman" w:hAnsi="Times New Roman" w:cs="Times New Roman"/>
                <w:bCs/>
                <w:sz w:val="24"/>
                <w:szCs w:val="24"/>
                <w:lang w:val="en-US"/>
              </w:rPr>
              <w:t>%</w:t>
            </w:r>
          </w:p>
        </w:tc>
      </w:tr>
      <w:tr w:rsidR="00EF4650" w:rsidRPr="004D7E4B" w14:paraId="7914F5AD"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1F3E1C4E" w14:textId="77777777" w:rsidR="00EF4650" w:rsidRPr="004D7E4B" w:rsidRDefault="00EF4650"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CD09FEC" w14:textId="6CFE36A8" w:rsidR="00EF4650" w:rsidRPr="004D7E4B" w:rsidRDefault="00EF4650"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5A93F46E" w14:textId="7C5D795B" w:rsidR="00EF4650" w:rsidRPr="004D7E4B" w:rsidRDefault="00EF4650"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26.67</w:t>
            </w:r>
            <w:r>
              <w:rPr>
                <w:rFonts w:ascii="Times New Roman" w:hAnsi="Times New Roman" w:cs="Times New Roman"/>
                <w:bCs/>
                <w:sz w:val="24"/>
                <w:szCs w:val="24"/>
                <w:lang w:val="en-US"/>
              </w:rPr>
              <w:t>%</w:t>
            </w:r>
          </w:p>
        </w:tc>
      </w:tr>
      <w:tr w:rsidR="00EF4650" w:rsidRPr="004D7E4B" w14:paraId="44CDDEA8"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3421E642" w14:textId="77777777" w:rsidR="00EF4650" w:rsidRPr="004D7E4B" w:rsidRDefault="00EF4650"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38B47EC" w14:textId="6EEFBEE7" w:rsidR="00EF4650" w:rsidRPr="004D7E4B" w:rsidRDefault="00EF4650"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6152E952" w14:textId="77777777" w:rsidR="00EF4650" w:rsidRPr="004D7E4B" w:rsidRDefault="00EF4650"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8E3B424" w14:textId="77777777" w:rsidR="00EF4650" w:rsidRDefault="00EF4650" w:rsidP="00EF4650">
      <w:pPr>
        <w:spacing w:line="360" w:lineRule="auto"/>
        <w:jc w:val="both"/>
        <w:rPr>
          <w:rFonts w:ascii="Times New Roman" w:hAnsi="Times New Roman" w:cs="Times New Roman"/>
          <w:bCs/>
          <w:sz w:val="24"/>
          <w:szCs w:val="24"/>
        </w:rPr>
      </w:pPr>
    </w:p>
    <w:p w14:paraId="42828C24" w14:textId="77777777" w:rsidR="00EF4650" w:rsidRDefault="00EF4650" w:rsidP="00EF465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208BBE7D"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data on the gender distribution of respondents reveals that males constitute the majority, accounting for approximately 73.33% of the total respondents. This suggests that the paper industry, especially in financial or managerial roles related to ratio analysis and decision-making, is predominantly male-driven.</w:t>
      </w:r>
    </w:p>
    <w:p w14:paraId="2C178419"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Females represent 26.67% of the respondents, indicating a lower but significant participation of women in the sector. This reflects the ongoing trend in many industrial sectors where female involvement, while growing, is still limited compared to males.</w:t>
      </w:r>
    </w:p>
    <w:p w14:paraId="1D337FE3"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The gender disparity may be influenced by traditional industry norms, the nature of roles within paper manufacturing companies, or wider societal factors affecting employment patterns. Nonetheless, the presence of female respondents shows positive movement towards gender diversity.</w:t>
      </w:r>
    </w:p>
    <w:p w14:paraId="5BBDE1E8" w14:textId="77777777" w:rsidR="00EF4650" w:rsidRPr="00EF4650" w:rsidRDefault="00EF4650" w:rsidP="00EF4650">
      <w:p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Overall, the gender distribution provides insight into the workforce composition and highlights the potential for encouraging more inclusive participation across all levels in the paper industry, which can contribute to broader perspectives in financial analysis and strategic planning.</w:t>
      </w:r>
    </w:p>
    <w:p w14:paraId="5827A338" w14:textId="77777777" w:rsidR="00EF4650" w:rsidRPr="00EF4650" w:rsidRDefault="00EF4650" w:rsidP="00EF4650">
      <w:pPr>
        <w:spacing w:line="360" w:lineRule="auto"/>
        <w:jc w:val="both"/>
        <w:rPr>
          <w:rFonts w:ascii="Times New Roman" w:hAnsi="Times New Roman" w:cs="Times New Roman"/>
          <w:sz w:val="24"/>
          <w:szCs w:val="24"/>
          <w:lang w:val="en-US"/>
        </w:rPr>
      </w:pPr>
    </w:p>
    <w:p w14:paraId="708996CE" w14:textId="77777777" w:rsidR="00EF4650" w:rsidRDefault="00EF4650" w:rsidP="00EE2D03">
      <w:pPr>
        <w:spacing w:line="360" w:lineRule="auto"/>
        <w:jc w:val="both"/>
        <w:rPr>
          <w:rFonts w:ascii="Times New Roman" w:hAnsi="Times New Roman" w:cs="Times New Roman"/>
          <w:sz w:val="24"/>
          <w:szCs w:val="24"/>
        </w:rPr>
      </w:pPr>
    </w:p>
    <w:p w14:paraId="61D2E6EB" w14:textId="77777777" w:rsidR="00EF4650" w:rsidRDefault="00EF4650" w:rsidP="00EE2D03">
      <w:pPr>
        <w:spacing w:line="360" w:lineRule="auto"/>
        <w:jc w:val="both"/>
        <w:rPr>
          <w:rFonts w:ascii="Times New Roman" w:hAnsi="Times New Roman" w:cs="Times New Roman"/>
          <w:sz w:val="24"/>
          <w:szCs w:val="24"/>
        </w:rPr>
      </w:pPr>
    </w:p>
    <w:p w14:paraId="3B64418E" w14:textId="77777777" w:rsidR="00EF4650" w:rsidRDefault="00EF4650" w:rsidP="00EE2D03">
      <w:pPr>
        <w:spacing w:line="360" w:lineRule="auto"/>
        <w:jc w:val="both"/>
        <w:rPr>
          <w:rFonts w:ascii="Times New Roman" w:hAnsi="Times New Roman" w:cs="Times New Roman"/>
          <w:sz w:val="24"/>
          <w:szCs w:val="24"/>
        </w:rPr>
      </w:pPr>
    </w:p>
    <w:p w14:paraId="375F3A5C" w14:textId="77777777" w:rsidR="00EF4650" w:rsidRDefault="00EF4650" w:rsidP="00EE2D03">
      <w:pPr>
        <w:spacing w:line="360" w:lineRule="auto"/>
        <w:jc w:val="both"/>
        <w:rPr>
          <w:rFonts w:ascii="Times New Roman" w:hAnsi="Times New Roman" w:cs="Times New Roman"/>
          <w:sz w:val="24"/>
          <w:szCs w:val="24"/>
        </w:rPr>
      </w:pPr>
    </w:p>
    <w:p w14:paraId="68826209" w14:textId="77777777" w:rsidR="00EF4650" w:rsidRDefault="00EF4650" w:rsidP="00EF4650">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2E4134B2" w14:textId="0A0013D9"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This study on ratio analysis of the paper industry provides valuable insights into the financial health and performance of selected paper manufacturing companies. By examining key financial ratios such as liquidity, profitability, solvency, and activity ratios over a period of five years, the research has highlighted both strengths and weaknesses inherent within the industry.</w:t>
      </w:r>
    </w:p>
    <w:p w14:paraId="168F669C" w14:textId="439FA2F1"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The analysis revealed that while many paper companies maintain adequate liquidity to meet their short-term obligations, profitability ratios tend to fluctuate due to volatile raw material prices and operational costs. Solvency ratios indicate that several firms rely heavily on debt financing, which could pose risks in times of economic uncertainty. Efficiency ratios such as inventory turnover also suggest opportunities for improvement in asset management.</w:t>
      </w:r>
    </w:p>
    <w:p w14:paraId="16602F43" w14:textId="285A898E"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The study underscores the importance of continuous financial monitoring through ratio analysis, which enables management, investors, and other stakeholders to make informed decisions. Benchmarking these ratios against industry standards further aids in identifying areas requiring strategic attention, such as cost control, capital structure optimization, and working capital management.</w:t>
      </w:r>
    </w:p>
    <w:p w14:paraId="0301E6D9" w14:textId="2307DE29"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Despite certain limitations, including reliance on secondary data and exclusion of qualitative factors, the findings provide a solid foundation for understanding the financial dynamics of the paper industry. It is recommended that companies regularly conduct ratio analysis as part of their financial planning and adopt proactive measures to enhance profitability and sustainability.</w:t>
      </w:r>
    </w:p>
    <w:p w14:paraId="7B01CD93" w14:textId="5DDC3D28" w:rsidR="00EF4650" w:rsidRPr="00EF4650" w:rsidRDefault="00EF4650" w:rsidP="00EF4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F4650">
        <w:rPr>
          <w:rFonts w:ascii="Times New Roman" w:hAnsi="Times New Roman" w:cs="Times New Roman"/>
          <w:sz w:val="24"/>
          <w:szCs w:val="24"/>
        </w:rPr>
        <w:t>In conclusion, ratio analysis proves to be an indispensable tool for evaluating the financial performance of paper industry firms. With informed and strategic use of financial ratios, paper companies can strengthen their market position and achieve long-term growth in a competitive and evolving environment.</w:t>
      </w:r>
    </w:p>
    <w:p w14:paraId="75C61A6C" w14:textId="77777777" w:rsidR="00EF4650" w:rsidRDefault="00EF4650" w:rsidP="00EE2D03">
      <w:pPr>
        <w:spacing w:line="360" w:lineRule="auto"/>
        <w:jc w:val="both"/>
        <w:rPr>
          <w:rFonts w:ascii="Times New Roman" w:hAnsi="Times New Roman" w:cs="Times New Roman"/>
          <w:sz w:val="24"/>
          <w:szCs w:val="24"/>
        </w:rPr>
      </w:pPr>
    </w:p>
    <w:p w14:paraId="47A69774" w14:textId="77777777" w:rsidR="00EF4650" w:rsidRDefault="00EF4650" w:rsidP="00EE2D03">
      <w:pPr>
        <w:spacing w:line="360" w:lineRule="auto"/>
        <w:jc w:val="both"/>
        <w:rPr>
          <w:rFonts w:ascii="Times New Roman" w:hAnsi="Times New Roman" w:cs="Times New Roman"/>
          <w:sz w:val="24"/>
          <w:szCs w:val="24"/>
        </w:rPr>
      </w:pPr>
    </w:p>
    <w:p w14:paraId="5CC6CF5E" w14:textId="77777777" w:rsidR="00EF4650" w:rsidRDefault="00EF4650" w:rsidP="00EE2D03">
      <w:pPr>
        <w:spacing w:line="360" w:lineRule="auto"/>
        <w:jc w:val="both"/>
        <w:rPr>
          <w:rFonts w:ascii="Times New Roman" w:hAnsi="Times New Roman" w:cs="Times New Roman"/>
          <w:sz w:val="24"/>
          <w:szCs w:val="24"/>
        </w:rPr>
      </w:pPr>
    </w:p>
    <w:p w14:paraId="063B34BD" w14:textId="77777777" w:rsidR="00EF4650" w:rsidRDefault="00EF4650" w:rsidP="00EE2D03">
      <w:pPr>
        <w:spacing w:line="360" w:lineRule="auto"/>
        <w:jc w:val="both"/>
        <w:rPr>
          <w:rFonts w:ascii="Times New Roman" w:hAnsi="Times New Roman" w:cs="Times New Roman"/>
          <w:sz w:val="24"/>
          <w:szCs w:val="24"/>
        </w:rPr>
      </w:pPr>
    </w:p>
    <w:p w14:paraId="7408260B" w14:textId="77777777" w:rsidR="00EF4650" w:rsidRDefault="00EF4650" w:rsidP="00EE2D03">
      <w:pPr>
        <w:spacing w:line="360" w:lineRule="auto"/>
        <w:jc w:val="both"/>
        <w:rPr>
          <w:rFonts w:ascii="Times New Roman" w:hAnsi="Times New Roman" w:cs="Times New Roman"/>
          <w:sz w:val="24"/>
          <w:szCs w:val="24"/>
        </w:rPr>
      </w:pPr>
    </w:p>
    <w:p w14:paraId="6127F847" w14:textId="77777777" w:rsidR="00EF4650" w:rsidRPr="007B042D" w:rsidRDefault="00EF4650" w:rsidP="00EF4650">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601B518" w14:textId="0F44D9F4"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Gupta, R. (2014). Financial Ratio Analysis of Indian Manufacturing Firms. Journal of Finance and Accounting, 8(2), 45-59.</w:t>
      </w:r>
    </w:p>
    <w:p w14:paraId="5A8D0699" w14:textId="4403E74C"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Sharma, N., &amp; Jain, M. (2016). An Analytical Study on Financial Performance of Paper Industry in India. International Journal of Business and Management, 11(4), 112-120.</w:t>
      </w:r>
    </w:p>
    <w:p w14:paraId="6F431437" w14:textId="1E0B86B2"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Mohan, K. (2017). Comparative Study of Financial Ratios in Indian Paper Industry. Journal of Financial Analysis, 5(1), 77-85.</w:t>
      </w:r>
    </w:p>
    <w:p w14:paraId="7B6B6CC0" w14:textId="4D7B0F4B"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Patel, D. (2018). Liquidity and Solvency Analysis in Paper Mills. Indian Journal of Commerce &amp; Management Studies, 9(3), 98-104.</w:t>
      </w:r>
    </w:p>
    <w:p w14:paraId="6337FBCE" w14:textId="04B47E59"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Joshi, R. (2019). Financial Statement Analysis of Paper Mills in Gujarat. International Research Journal of Finance and Economics, 32(6), 64-72.</w:t>
      </w:r>
    </w:p>
    <w:p w14:paraId="75C409FD" w14:textId="7A8C99BB"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Kumar, A., &amp; Srivastava, P. (2020). Impact of Environmental Regulations on Financial Performance of Paper Industry. Journal of Environmental Economics, 15(2), 34-41.</w:t>
      </w:r>
    </w:p>
    <w:p w14:paraId="7CC02E49" w14:textId="5E95C5E9"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Rajasekar, V. (2021). Role of Financial Ratios in Investment Decision-Making. Finance and Investment Journal, 10(1), 20-28.</w:t>
      </w:r>
    </w:p>
    <w:p w14:paraId="73BC9EA0" w14:textId="749E61D0"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Thomas, S. (2022). Long-term Financial Trends in the Indian Paper Industry. Asian Journal of Finance and Accounting, 14(3), 55-65.</w:t>
      </w:r>
    </w:p>
    <w:p w14:paraId="261E66EC" w14:textId="75C1E8D6"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Ministry of Corporate Affairs, Government of India. (2023). Annual Reports of Paper Industry Companies. Retrieved from </w:t>
      </w:r>
      <w:hyperlink r:id="rId5" w:tgtFrame="_new" w:history="1">
        <w:r w:rsidRPr="00EF4650">
          <w:rPr>
            <w:rStyle w:val="Hyperlink"/>
            <w:rFonts w:ascii="Times New Roman" w:hAnsi="Times New Roman" w:cs="Times New Roman"/>
            <w:sz w:val="24"/>
            <w:szCs w:val="24"/>
          </w:rPr>
          <w:t>https://www.mca.gov.in</w:t>
        </w:r>
      </w:hyperlink>
    </w:p>
    <w:p w14:paraId="775F3CE1" w14:textId="0BE0FD24" w:rsidR="00EF4650" w:rsidRPr="00EF4650" w:rsidRDefault="00EF4650" w:rsidP="00EF4650">
      <w:pPr>
        <w:pStyle w:val="ListParagraph"/>
        <w:numPr>
          <w:ilvl w:val="0"/>
          <w:numId w:val="6"/>
        </w:numPr>
        <w:spacing w:line="360" w:lineRule="auto"/>
        <w:jc w:val="both"/>
        <w:rPr>
          <w:rFonts w:ascii="Times New Roman" w:hAnsi="Times New Roman" w:cs="Times New Roman"/>
          <w:sz w:val="24"/>
          <w:szCs w:val="24"/>
        </w:rPr>
      </w:pPr>
      <w:r w:rsidRPr="00EF4650">
        <w:rPr>
          <w:rFonts w:ascii="Times New Roman" w:hAnsi="Times New Roman" w:cs="Times New Roman"/>
          <w:sz w:val="24"/>
          <w:szCs w:val="24"/>
        </w:rPr>
        <w:t xml:space="preserve">Moneycontrol.com. (2023). Financial Data of Paper Industry Firms. Retrieved from </w:t>
      </w:r>
      <w:hyperlink r:id="rId6" w:tgtFrame="_new" w:history="1">
        <w:r w:rsidRPr="00EF4650">
          <w:rPr>
            <w:rStyle w:val="Hyperlink"/>
            <w:rFonts w:ascii="Times New Roman" w:hAnsi="Times New Roman" w:cs="Times New Roman"/>
            <w:sz w:val="24"/>
            <w:szCs w:val="24"/>
          </w:rPr>
          <w:t>https://www.moneycontrol.com</w:t>
        </w:r>
      </w:hyperlink>
    </w:p>
    <w:p w14:paraId="1090878B" w14:textId="77777777" w:rsidR="00EF4650" w:rsidRPr="00EE2D03" w:rsidRDefault="00EF4650" w:rsidP="00EE2D03">
      <w:pPr>
        <w:spacing w:line="360" w:lineRule="auto"/>
        <w:jc w:val="both"/>
        <w:rPr>
          <w:rFonts w:ascii="Times New Roman" w:hAnsi="Times New Roman" w:cs="Times New Roman"/>
          <w:sz w:val="24"/>
          <w:szCs w:val="24"/>
        </w:rPr>
      </w:pPr>
    </w:p>
    <w:sectPr w:rsidR="00EF4650" w:rsidRPr="00EE2D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361C3"/>
    <w:multiLevelType w:val="multilevel"/>
    <w:tmpl w:val="73E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5979AE"/>
    <w:multiLevelType w:val="hybridMultilevel"/>
    <w:tmpl w:val="A8928F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BD175CE"/>
    <w:multiLevelType w:val="hybridMultilevel"/>
    <w:tmpl w:val="4DB6C72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53CD2A7E"/>
    <w:multiLevelType w:val="hybridMultilevel"/>
    <w:tmpl w:val="C3B0EE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C685CF7"/>
    <w:multiLevelType w:val="hybridMultilevel"/>
    <w:tmpl w:val="982A2F0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31B5DAC"/>
    <w:multiLevelType w:val="hybridMultilevel"/>
    <w:tmpl w:val="91D668C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664427198">
    <w:abstractNumId w:val="3"/>
  </w:num>
  <w:num w:numId="2" w16cid:durableId="323820257">
    <w:abstractNumId w:val="5"/>
  </w:num>
  <w:num w:numId="3" w16cid:durableId="309019092">
    <w:abstractNumId w:val="1"/>
  </w:num>
  <w:num w:numId="4" w16cid:durableId="1515874456">
    <w:abstractNumId w:val="4"/>
  </w:num>
  <w:num w:numId="5" w16cid:durableId="667025413">
    <w:abstractNumId w:val="0"/>
  </w:num>
  <w:num w:numId="6" w16cid:durableId="2061632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221"/>
    <w:rsid w:val="0020187E"/>
    <w:rsid w:val="005720D2"/>
    <w:rsid w:val="007A2221"/>
    <w:rsid w:val="008F7F7B"/>
    <w:rsid w:val="00E75FD5"/>
    <w:rsid w:val="00EE2D03"/>
    <w:rsid w:val="00EF46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0128"/>
  <w15:chartTrackingRefBased/>
  <w15:docId w15:val="{4114A6C3-54C9-474B-944E-54ED2E08F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D03"/>
  </w:style>
  <w:style w:type="paragraph" w:styleId="Heading1">
    <w:name w:val="heading 1"/>
    <w:basedOn w:val="Normal"/>
    <w:next w:val="Normal"/>
    <w:link w:val="Heading1Char"/>
    <w:uiPriority w:val="9"/>
    <w:qFormat/>
    <w:rsid w:val="007A22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22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22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22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22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2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2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22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22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22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22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2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221"/>
    <w:rPr>
      <w:rFonts w:eastAsiaTheme="majorEastAsia" w:cstheme="majorBidi"/>
      <w:color w:val="272727" w:themeColor="text1" w:themeTint="D8"/>
    </w:rPr>
  </w:style>
  <w:style w:type="paragraph" w:styleId="Title">
    <w:name w:val="Title"/>
    <w:basedOn w:val="Normal"/>
    <w:next w:val="Normal"/>
    <w:link w:val="TitleChar"/>
    <w:uiPriority w:val="10"/>
    <w:qFormat/>
    <w:rsid w:val="007A2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221"/>
    <w:pPr>
      <w:spacing w:before="160"/>
      <w:jc w:val="center"/>
    </w:pPr>
    <w:rPr>
      <w:i/>
      <w:iCs/>
      <w:color w:val="404040" w:themeColor="text1" w:themeTint="BF"/>
    </w:rPr>
  </w:style>
  <w:style w:type="character" w:customStyle="1" w:styleId="QuoteChar">
    <w:name w:val="Quote Char"/>
    <w:basedOn w:val="DefaultParagraphFont"/>
    <w:link w:val="Quote"/>
    <w:uiPriority w:val="29"/>
    <w:rsid w:val="007A2221"/>
    <w:rPr>
      <w:i/>
      <w:iCs/>
      <w:color w:val="404040" w:themeColor="text1" w:themeTint="BF"/>
    </w:rPr>
  </w:style>
  <w:style w:type="paragraph" w:styleId="ListParagraph">
    <w:name w:val="List Paragraph"/>
    <w:basedOn w:val="Normal"/>
    <w:uiPriority w:val="34"/>
    <w:qFormat/>
    <w:rsid w:val="007A2221"/>
    <w:pPr>
      <w:ind w:left="720"/>
      <w:contextualSpacing/>
    </w:pPr>
  </w:style>
  <w:style w:type="character" w:styleId="IntenseEmphasis">
    <w:name w:val="Intense Emphasis"/>
    <w:basedOn w:val="DefaultParagraphFont"/>
    <w:uiPriority w:val="21"/>
    <w:qFormat/>
    <w:rsid w:val="007A2221"/>
    <w:rPr>
      <w:i/>
      <w:iCs/>
      <w:color w:val="2F5496" w:themeColor="accent1" w:themeShade="BF"/>
    </w:rPr>
  </w:style>
  <w:style w:type="paragraph" w:styleId="IntenseQuote">
    <w:name w:val="Intense Quote"/>
    <w:basedOn w:val="Normal"/>
    <w:next w:val="Normal"/>
    <w:link w:val="IntenseQuoteChar"/>
    <w:uiPriority w:val="30"/>
    <w:qFormat/>
    <w:rsid w:val="007A22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2221"/>
    <w:rPr>
      <w:i/>
      <w:iCs/>
      <w:color w:val="2F5496" w:themeColor="accent1" w:themeShade="BF"/>
    </w:rPr>
  </w:style>
  <w:style w:type="character" w:styleId="IntenseReference">
    <w:name w:val="Intense Reference"/>
    <w:basedOn w:val="DefaultParagraphFont"/>
    <w:uiPriority w:val="32"/>
    <w:qFormat/>
    <w:rsid w:val="007A2221"/>
    <w:rPr>
      <w:b/>
      <w:bCs/>
      <w:smallCaps/>
      <w:color w:val="2F5496" w:themeColor="accent1" w:themeShade="BF"/>
      <w:spacing w:val="5"/>
    </w:rPr>
  </w:style>
  <w:style w:type="character" w:styleId="Hyperlink">
    <w:name w:val="Hyperlink"/>
    <w:basedOn w:val="DefaultParagraphFont"/>
    <w:uiPriority w:val="99"/>
    <w:unhideWhenUsed/>
    <w:rsid w:val="00EF4650"/>
    <w:rPr>
      <w:color w:val="0563C1" w:themeColor="hyperlink"/>
      <w:u w:val="single"/>
    </w:rPr>
  </w:style>
  <w:style w:type="character" w:styleId="UnresolvedMention">
    <w:name w:val="Unresolved Mention"/>
    <w:basedOn w:val="DefaultParagraphFont"/>
    <w:uiPriority w:val="99"/>
    <w:semiHidden/>
    <w:unhideWhenUsed/>
    <w:rsid w:val="00EF4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59122">
      <w:bodyDiv w:val="1"/>
      <w:marLeft w:val="0"/>
      <w:marRight w:val="0"/>
      <w:marTop w:val="0"/>
      <w:marBottom w:val="0"/>
      <w:divBdr>
        <w:top w:val="none" w:sz="0" w:space="0" w:color="auto"/>
        <w:left w:val="none" w:sz="0" w:space="0" w:color="auto"/>
        <w:bottom w:val="none" w:sz="0" w:space="0" w:color="auto"/>
        <w:right w:val="none" w:sz="0" w:space="0" w:color="auto"/>
      </w:divBdr>
    </w:div>
    <w:div w:id="180165248">
      <w:bodyDiv w:val="1"/>
      <w:marLeft w:val="0"/>
      <w:marRight w:val="0"/>
      <w:marTop w:val="0"/>
      <w:marBottom w:val="0"/>
      <w:divBdr>
        <w:top w:val="none" w:sz="0" w:space="0" w:color="auto"/>
        <w:left w:val="none" w:sz="0" w:space="0" w:color="auto"/>
        <w:bottom w:val="none" w:sz="0" w:space="0" w:color="auto"/>
        <w:right w:val="none" w:sz="0" w:space="0" w:color="auto"/>
      </w:divBdr>
    </w:div>
    <w:div w:id="182788357">
      <w:bodyDiv w:val="1"/>
      <w:marLeft w:val="0"/>
      <w:marRight w:val="0"/>
      <w:marTop w:val="0"/>
      <w:marBottom w:val="0"/>
      <w:divBdr>
        <w:top w:val="none" w:sz="0" w:space="0" w:color="auto"/>
        <w:left w:val="none" w:sz="0" w:space="0" w:color="auto"/>
        <w:bottom w:val="none" w:sz="0" w:space="0" w:color="auto"/>
        <w:right w:val="none" w:sz="0" w:space="0" w:color="auto"/>
      </w:divBdr>
    </w:div>
    <w:div w:id="191307535">
      <w:bodyDiv w:val="1"/>
      <w:marLeft w:val="0"/>
      <w:marRight w:val="0"/>
      <w:marTop w:val="0"/>
      <w:marBottom w:val="0"/>
      <w:divBdr>
        <w:top w:val="none" w:sz="0" w:space="0" w:color="auto"/>
        <w:left w:val="none" w:sz="0" w:space="0" w:color="auto"/>
        <w:bottom w:val="none" w:sz="0" w:space="0" w:color="auto"/>
        <w:right w:val="none" w:sz="0" w:space="0" w:color="auto"/>
      </w:divBdr>
    </w:div>
    <w:div w:id="297422891">
      <w:bodyDiv w:val="1"/>
      <w:marLeft w:val="0"/>
      <w:marRight w:val="0"/>
      <w:marTop w:val="0"/>
      <w:marBottom w:val="0"/>
      <w:divBdr>
        <w:top w:val="none" w:sz="0" w:space="0" w:color="auto"/>
        <w:left w:val="none" w:sz="0" w:space="0" w:color="auto"/>
        <w:bottom w:val="none" w:sz="0" w:space="0" w:color="auto"/>
        <w:right w:val="none" w:sz="0" w:space="0" w:color="auto"/>
      </w:divBdr>
    </w:div>
    <w:div w:id="457992228">
      <w:bodyDiv w:val="1"/>
      <w:marLeft w:val="0"/>
      <w:marRight w:val="0"/>
      <w:marTop w:val="0"/>
      <w:marBottom w:val="0"/>
      <w:divBdr>
        <w:top w:val="none" w:sz="0" w:space="0" w:color="auto"/>
        <w:left w:val="none" w:sz="0" w:space="0" w:color="auto"/>
        <w:bottom w:val="none" w:sz="0" w:space="0" w:color="auto"/>
        <w:right w:val="none" w:sz="0" w:space="0" w:color="auto"/>
      </w:divBdr>
    </w:div>
    <w:div w:id="489373403">
      <w:bodyDiv w:val="1"/>
      <w:marLeft w:val="0"/>
      <w:marRight w:val="0"/>
      <w:marTop w:val="0"/>
      <w:marBottom w:val="0"/>
      <w:divBdr>
        <w:top w:val="none" w:sz="0" w:space="0" w:color="auto"/>
        <w:left w:val="none" w:sz="0" w:space="0" w:color="auto"/>
        <w:bottom w:val="none" w:sz="0" w:space="0" w:color="auto"/>
        <w:right w:val="none" w:sz="0" w:space="0" w:color="auto"/>
      </w:divBdr>
    </w:div>
    <w:div w:id="571744746">
      <w:bodyDiv w:val="1"/>
      <w:marLeft w:val="0"/>
      <w:marRight w:val="0"/>
      <w:marTop w:val="0"/>
      <w:marBottom w:val="0"/>
      <w:divBdr>
        <w:top w:val="none" w:sz="0" w:space="0" w:color="auto"/>
        <w:left w:val="none" w:sz="0" w:space="0" w:color="auto"/>
        <w:bottom w:val="none" w:sz="0" w:space="0" w:color="auto"/>
        <w:right w:val="none" w:sz="0" w:space="0" w:color="auto"/>
      </w:divBdr>
    </w:div>
    <w:div w:id="575212469">
      <w:bodyDiv w:val="1"/>
      <w:marLeft w:val="0"/>
      <w:marRight w:val="0"/>
      <w:marTop w:val="0"/>
      <w:marBottom w:val="0"/>
      <w:divBdr>
        <w:top w:val="none" w:sz="0" w:space="0" w:color="auto"/>
        <w:left w:val="none" w:sz="0" w:space="0" w:color="auto"/>
        <w:bottom w:val="none" w:sz="0" w:space="0" w:color="auto"/>
        <w:right w:val="none" w:sz="0" w:space="0" w:color="auto"/>
      </w:divBdr>
    </w:div>
    <w:div w:id="637996687">
      <w:bodyDiv w:val="1"/>
      <w:marLeft w:val="0"/>
      <w:marRight w:val="0"/>
      <w:marTop w:val="0"/>
      <w:marBottom w:val="0"/>
      <w:divBdr>
        <w:top w:val="none" w:sz="0" w:space="0" w:color="auto"/>
        <w:left w:val="none" w:sz="0" w:space="0" w:color="auto"/>
        <w:bottom w:val="none" w:sz="0" w:space="0" w:color="auto"/>
        <w:right w:val="none" w:sz="0" w:space="0" w:color="auto"/>
      </w:divBdr>
    </w:div>
    <w:div w:id="729814729">
      <w:bodyDiv w:val="1"/>
      <w:marLeft w:val="0"/>
      <w:marRight w:val="0"/>
      <w:marTop w:val="0"/>
      <w:marBottom w:val="0"/>
      <w:divBdr>
        <w:top w:val="none" w:sz="0" w:space="0" w:color="auto"/>
        <w:left w:val="none" w:sz="0" w:space="0" w:color="auto"/>
        <w:bottom w:val="none" w:sz="0" w:space="0" w:color="auto"/>
        <w:right w:val="none" w:sz="0" w:space="0" w:color="auto"/>
      </w:divBdr>
    </w:div>
    <w:div w:id="846749061">
      <w:bodyDiv w:val="1"/>
      <w:marLeft w:val="0"/>
      <w:marRight w:val="0"/>
      <w:marTop w:val="0"/>
      <w:marBottom w:val="0"/>
      <w:divBdr>
        <w:top w:val="none" w:sz="0" w:space="0" w:color="auto"/>
        <w:left w:val="none" w:sz="0" w:space="0" w:color="auto"/>
        <w:bottom w:val="none" w:sz="0" w:space="0" w:color="auto"/>
        <w:right w:val="none" w:sz="0" w:space="0" w:color="auto"/>
      </w:divBdr>
    </w:div>
    <w:div w:id="928276171">
      <w:bodyDiv w:val="1"/>
      <w:marLeft w:val="0"/>
      <w:marRight w:val="0"/>
      <w:marTop w:val="0"/>
      <w:marBottom w:val="0"/>
      <w:divBdr>
        <w:top w:val="none" w:sz="0" w:space="0" w:color="auto"/>
        <w:left w:val="none" w:sz="0" w:space="0" w:color="auto"/>
        <w:bottom w:val="none" w:sz="0" w:space="0" w:color="auto"/>
        <w:right w:val="none" w:sz="0" w:space="0" w:color="auto"/>
      </w:divBdr>
    </w:div>
    <w:div w:id="954408615">
      <w:bodyDiv w:val="1"/>
      <w:marLeft w:val="0"/>
      <w:marRight w:val="0"/>
      <w:marTop w:val="0"/>
      <w:marBottom w:val="0"/>
      <w:divBdr>
        <w:top w:val="none" w:sz="0" w:space="0" w:color="auto"/>
        <w:left w:val="none" w:sz="0" w:space="0" w:color="auto"/>
        <w:bottom w:val="none" w:sz="0" w:space="0" w:color="auto"/>
        <w:right w:val="none" w:sz="0" w:space="0" w:color="auto"/>
      </w:divBdr>
    </w:div>
    <w:div w:id="988679547">
      <w:bodyDiv w:val="1"/>
      <w:marLeft w:val="0"/>
      <w:marRight w:val="0"/>
      <w:marTop w:val="0"/>
      <w:marBottom w:val="0"/>
      <w:divBdr>
        <w:top w:val="none" w:sz="0" w:space="0" w:color="auto"/>
        <w:left w:val="none" w:sz="0" w:space="0" w:color="auto"/>
        <w:bottom w:val="none" w:sz="0" w:space="0" w:color="auto"/>
        <w:right w:val="none" w:sz="0" w:space="0" w:color="auto"/>
      </w:divBdr>
    </w:div>
    <w:div w:id="989137903">
      <w:bodyDiv w:val="1"/>
      <w:marLeft w:val="0"/>
      <w:marRight w:val="0"/>
      <w:marTop w:val="0"/>
      <w:marBottom w:val="0"/>
      <w:divBdr>
        <w:top w:val="none" w:sz="0" w:space="0" w:color="auto"/>
        <w:left w:val="none" w:sz="0" w:space="0" w:color="auto"/>
        <w:bottom w:val="none" w:sz="0" w:space="0" w:color="auto"/>
        <w:right w:val="none" w:sz="0" w:space="0" w:color="auto"/>
      </w:divBdr>
    </w:div>
    <w:div w:id="1242520923">
      <w:bodyDiv w:val="1"/>
      <w:marLeft w:val="0"/>
      <w:marRight w:val="0"/>
      <w:marTop w:val="0"/>
      <w:marBottom w:val="0"/>
      <w:divBdr>
        <w:top w:val="none" w:sz="0" w:space="0" w:color="auto"/>
        <w:left w:val="none" w:sz="0" w:space="0" w:color="auto"/>
        <w:bottom w:val="none" w:sz="0" w:space="0" w:color="auto"/>
        <w:right w:val="none" w:sz="0" w:space="0" w:color="auto"/>
      </w:divBdr>
    </w:div>
    <w:div w:id="1275554751">
      <w:bodyDiv w:val="1"/>
      <w:marLeft w:val="0"/>
      <w:marRight w:val="0"/>
      <w:marTop w:val="0"/>
      <w:marBottom w:val="0"/>
      <w:divBdr>
        <w:top w:val="none" w:sz="0" w:space="0" w:color="auto"/>
        <w:left w:val="none" w:sz="0" w:space="0" w:color="auto"/>
        <w:bottom w:val="none" w:sz="0" w:space="0" w:color="auto"/>
        <w:right w:val="none" w:sz="0" w:space="0" w:color="auto"/>
      </w:divBdr>
    </w:div>
    <w:div w:id="1459759472">
      <w:bodyDiv w:val="1"/>
      <w:marLeft w:val="0"/>
      <w:marRight w:val="0"/>
      <w:marTop w:val="0"/>
      <w:marBottom w:val="0"/>
      <w:divBdr>
        <w:top w:val="none" w:sz="0" w:space="0" w:color="auto"/>
        <w:left w:val="none" w:sz="0" w:space="0" w:color="auto"/>
        <w:bottom w:val="none" w:sz="0" w:space="0" w:color="auto"/>
        <w:right w:val="none" w:sz="0" w:space="0" w:color="auto"/>
      </w:divBdr>
    </w:div>
    <w:div w:id="1680428481">
      <w:bodyDiv w:val="1"/>
      <w:marLeft w:val="0"/>
      <w:marRight w:val="0"/>
      <w:marTop w:val="0"/>
      <w:marBottom w:val="0"/>
      <w:divBdr>
        <w:top w:val="none" w:sz="0" w:space="0" w:color="auto"/>
        <w:left w:val="none" w:sz="0" w:space="0" w:color="auto"/>
        <w:bottom w:val="none" w:sz="0" w:space="0" w:color="auto"/>
        <w:right w:val="none" w:sz="0" w:space="0" w:color="auto"/>
      </w:divBdr>
    </w:div>
    <w:div w:id="1725106203">
      <w:bodyDiv w:val="1"/>
      <w:marLeft w:val="0"/>
      <w:marRight w:val="0"/>
      <w:marTop w:val="0"/>
      <w:marBottom w:val="0"/>
      <w:divBdr>
        <w:top w:val="none" w:sz="0" w:space="0" w:color="auto"/>
        <w:left w:val="none" w:sz="0" w:space="0" w:color="auto"/>
        <w:bottom w:val="none" w:sz="0" w:space="0" w:color="auto"/>
        <w:right w:val="none" w:sz="0" w:space="0" w:color="auto"/>
      </w:divBdr>
    </w:div>
    <w:div w:id="1775588245">
      <w:bodyDiv w:val="1"/>
      <w:marLeft w:val="0"/>
      <w:marRight w:val="0"/>
      <w:marTop w:val="0"/>
      <w:marBottom w:val="0"/>
      <w:divBdr>
        <w:top w:val="none" w:sz="0" w:space="0" w:color="auto"/>
        <w:left w:val="none" w:sz="0" w:space="0" w:color="auto"/>
        <w:bottom w:val="none" w:sz="0" w:space="0" w:color="auto"/>
        <w:right w:val="none" w:sz="0" w:space="0" w:color="auto"/>
      </w:divBdr>
    </w:div>
    <w:div w:id="1815247229">
      <w:bodyDiv w:val="1"/>
      <w:marLeft w:val="0"/>
      <w:marRight w:val="0"/>
      <w:marTop w:val="0"/>
      <w:marBottom w:val="0"/>
      <w:divBdr>
        <w:top w:val="none" w:sz="0" w:space="0" w:color="auto"/>
        <w:left w:val="none" w:sz="0" w:space="0" w:color="auto"/>
        <w:bottom w:val="none" w:sz="0" w:space="0" w:color="auto"/>
        <w:right w:val="none" w:sz="0" w:space="0" w:color="auto"/>
      </w:divBdr>
    </w:div>
    <w:div w:id="1960647570">
      <w:bodyDiv w:val="1"/>
      <w:marLeft w:val="0"/>
      <w:marRight w:val="0"/>
      <w:marTop w:val="0"/>
      <w:marBottom w:val="0"/>
      <w:divBdr>
        <w:top w:val="none" w:sz="0" w:space="0" w:color="auto"/>
        <w:left w:val="none" w:sz="0" w:space="0" w:color="auto"/>
        <w:bottom w:val="none" w:sz="0" w:space="0" w:color="auto"/>
        <w:right w:val="none" w:sz="0" w:space="0" w:color="auto"/>
      </w:divBdr>
    </w:div>
    <w:div w:id="2036686620">
      <w:bodyDiv w:val="1"/>
      <w:marLeft w:val="0"/>
      <w:marRight w:val="0"/>
      <w:marTop w:val="0"/>
      <w:marBottom w:val="0"/>
      <w:divBdr>
        <w:top w:val="none" w:sz="0" w:space="0" w:color="auto"/>
        <w:left w:val="none" w:sz="0" w:space="0" w:color="auto"/>
        <w:bottom w:val="none" w:sz="0" w:space="0" w:color="auto"/>
        <w:right w:val="none" w:sz="0" w:space="0" w:color="auto"/>
      </w:divBdr>
    </w:div>
    <w:div w:id="2050641381">
      <w:bodyDiv w:val="1"/>
      <w:marLeft w:val="0"/>
      <w:marRight w:val="0"/>
      <w:marTop w:val="0"/>
      <w:marBottom w:val="0"/>
      <w:divBdr>
        <w:top w:val="none" w:sz="0" w:space="0" w:color="auto"/>
        <w:left w:val="none" w:sz="0" w:space="0" w:color="auto"/>
        <w:bottom w:val="none" w:sz="0" w:space="0" w:color="auto"/>
        <w:right w:val="none" w:sz="0" w:space="0" w:color="auto"/>
      </w:divBdr>
    </w:div>
    <w:div w:id="2060665120">
      <w:bodyDiv w:val="1"/>
      <w:marLeft w:val="0"/>
      <w:marRight w:val="0"/>
      <w:marTop w:val="0"/>
      <w:marBottom w:val="0"/>
      <w:divBdr>
        <w:top w:val="none" w:sz="0" w:space="0" w:color="auto"/>
        <w:left w:val="none" w:sz="0" w:space="0" w:color="auto"/>
        <w:bottom w:val="none" w:sz="0" w:space="0" w:color="auto"/>
        <w:right w:val="none" w:sz="0" w:space="0" w:color="auto"/>
      </w:divBdr>
    </w:div>
    <w:div w:id="2113932560">
      <w:bodyDiv w:val="1"/>
      <w:marLeft w:val="0"/>
      <w:marRight w:val="0"/>
      <w:marTop w:val="0"/>
      <w:marBottom w:val="0"/>
      <w:divBdr>
        <w:top w:val="none" w:sz="0" w:space="0" w:color="auto"/>
        <w:left w:val="none" w:sz="0" w:space="0" w:color="auto"/>
        <w:bottom w:val="none" w:sz="0" w:space="0" w:color="auto"/>
        <w:right w:val="none" w:sz="0" w:space="0" w:color="auto"/>
      </w:divBdr>
    </w:div>
    <w:div w:id="2114591221">
      <w:bodyDiv w:val="1"/>
      <w:marLeft w:val="0"/>
      <w:marRight w:val="0"/>
      <w:marTop w:val="0"/>
      <w:marBottom w:val="0"/>
      <w:divBdr>
        <w:top w:val="none" w:sz="0" w:space="0" w:color="auto"/>
        <w:left w:val="none" w:sz="0" w:space="0" w:color="auto"/>
        <w:bottom w:val="none" w:sz="0" w:space="0" w:color="auto"/>
        <w:right w:val="none" w:sz="0" w:space="0" w:color="auto"/>
      </w:divBdr>
    </w:div>
    <w:div w:id="214180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neycontrol.com" TargetMode="External"/><Relationship Id="rId5" Type="http://schemas.openxmlformats.org/officeDocument/2006/relationships/hyperlink" Target="https://www.mca.gov.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4120</Words>
  <Characters>23486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2025-06-14T10:58:00Z</dcterms:created>
  <dcterms:modified xsi:type="dcterms:W3CDTF">2025-06-14T11:18:00Z</dcterms:modified>
</cp:coreProperties>
</file>