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2680" w14:textId="77777777" w:rsidR="008C7B82" w:rsidRPr="00DA2E13" w:rsidRDefault="008C7B82" w:rsidP="008C7B82">
      <w:pPr>
        <w:jc w:val="center"/>
        <w:rPr>
          <w:rFonts w:ascii="Times New Roman" w:hAnsi="Times New Roman" w:cs="Times New Roman"/>
          <w:b/>
          <w:sz w:val="24"/>
          <w:szCs w:val="24"/>
          <w:lang w:val="en-US"/>
        </w:rPr>
      </w:pPr>
      <w:bookmarkStart w:id="0" w:name="_Hlk200882942"/>
      <w:r w:rsidRPr="00DA2E13">
        <w:rPr>
          <w:rFonts w:ascii="Times New Roman" w:hAnsi="Times New Roman" w:cs="Times New Roman"/>
          <w:b/>
          <w:sz w:val="24"/>
          <w:szCs w:val="24"/>
          <w:lang w:val="en-US"/>
        </w:rPr>
        <w:t>CHAPTER - I</w:t>
      </w:r>
    </w:p>
    <w:p w14:paraId="0DCED585" w14:textId="77777777" w:rsidR="008C7B82" w:rsidRPr="00DA2E13" w:rsidRDefault="008C7B82" w:rsidP="008C7B8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7AD94B4" w14:textId="1E0F160B" w:rsidR="008C7B82" w:rsidRPr="008C7B82" w:rsidRDefault="008C7B82" w:rsidP="008C7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The solar energy sector has emerged as a cornerstone in the global transition toward sustainable energy solutions. With mounting environmental concerns, escalating energy demands, and the imperative to reduce greenhouse gas emissions, solar power presents a viable alternative to traditional fossil fuels. In this dynamic landscape, the concept of brand image has gained prominence, </w:t>
      </w:r>
      <w:proofErr w:type="gramStart"/>
      <w:r w:rsidRPr="008C7B82">
        <w:rPr>
          <w:rFonts w:ascii="Times New Roman" w:hAnsi="Times New Roman" w:cs="Times New Roman"/>
          <w:sz w:val="24"/>
          <w:szCs w:val="24"/>
        </w:rPr>
        <w:t>influencing</w:t>
      </w:r>
      <w:proofErr w:type="gramEnd"/>
      <w:r w:rsidRPr="008C7B82">
        <w:rPr>
          <w:rFonts w:ascii="Times New Roman" w:hAnsi="Times New Roman" w:cs="Times New Roman"/>
          <w:sz w:val="24"/>
          <w:szCs w:val="24"/>
        </w:rPr>
        <w:t xml:space="preserve"> consumer perceptions and shaping market dynamics.</w:t>
      </w:r>
    </w:p>
    <w:p w14:paraId="792E8026" w14:textId="42E1828D" w:rsidR="008C7B82" w:rsidRPr="008C7B82" w:rsidRDefault="008C7B82" w:rsidP="008C7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7B82">
        <w:rPr>
          <w:rFonts w:ascii="Times New Roman" w:hAnsi="Times New Roman" w:cs="Times New Roman"/>
          <w:sz w:val="24"/>
          <w:szCs w:val="24"/>
        </w:rPr>
        <w:t>Brand image encompasses the perceptions and associations that consumers form about a company and its products. In the context of the solar industry, a robust brand image can significantly impact consumer trust, purchasing decisions, and overall satisfaction. Factors such as product quality, customer service, innovation, and environmental responsibility contribute to the formation of a company's brand image. Understanding these elements is crucial for companies aiming to establish a competitive edge in the rapidly evolving solar market.</w:t>
      </w:r>
    </w:p>
    <w:p w14:paraId="07F72BF1" w14:textId="6CE4C59A" w:rsidR="008C7B82" w:rsidRPr="008C7B82" w:rsidRDefault="008C7B82" w:rsidP="008C7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7B82">
        <w:rPr>
          <w:rFonts w:ascii="Times New Roman" w:hAnsi="Times New Roman" w:cs="Times New Roman"/>
          <w:sz w:val="24"/>
          <w:szCs w:val="24"/>
        </w:rPr>
        <w:t>This study aims to explore the various components that constitute brand image within the solar energy sector and assess their impact on consumer perceptions and preferences. By examining the interplay between brand attributes and consumer attitudes, the research seeks to provide insights into how companies can enhance their brand image to foster consumer loyalty and drive market growth.</w:t>
      </w:r>
    </w:p>
    <w:p w14:paraId="305D7306" w14:textId="4151905B" w:rsidR="008C7B82" w:rsidRPr="008C7B82" w:rsidRDefault="008C7B82" w:rsidP="008C7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The research will focus on </w:t>
      </w:r>
      <w:proofErr w:type="spellStart"/>
      <w:r w:rsidRPr="008C7B82">
        <w:rPr>
          <w:rFonts w:ascii="Times New Roman" w:hAnsi="Times New Roman" w:cs="Times New Roman"/>
          <w:sz w:val="24"/>
          <w:szCs w:val="24"/>
        </w:rPr>
        <w:t>analyzing</w:t>
      </w:r>
      <w:proofErr w:type="spellEnd"/>
      <w:r w:rsidRPr="008C7B82">
        <w:rPr>
          <w:rFonts w:ascii="Times New Roman" w:hAnsi="Times New Roman" w:cs="Times New Roman"/>
          <w:sz w:val="24"/>
          <w:szCs w:val="24"/>
        </w:rPr>
        <w:t xml:space="preserve"> consumer attitudes toward solar brands, examining the role of sustainability and corporate social responsibility in brand perception, and identifying the attributes that consumers prioritize when selecting solar products and services. Through this comprehensive analysis, the study seeks to provide valuable insights for solar companies looking to build and maintain a reputable brand image in an evolving industry landscape.</w:t>
      </w:r>
    </w:p>
    <w:p w14:paraId="0C12890C" w14:textId="524CF319" w:rsidR="008C7B82" w:rsidRDefault="008C7B82" w:rsidP="008C7B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C7B82">
        <w:rPr>
          <w:rFonts w:ascii="Times New Roman" w:hAnsi="Times New Roman" w:cs="Times New Roman"/>
          <w:sz w:val="24"/>
          <w:szCs w:val="24"/>
        </w:rPr>
        <w:t>In conclusion, as the solar energy market continues to expand, understanding and cultivating a positive brand image will be essential for companies aiming to thrive in this dynamic sector. By aligning their brand image with consumer values and expectations, solar companies can not only enhance their competitiveness but also contribute to the broader adoption of sustainable energy solutions.</w:t>
      </w:r>
    </w:p>
    <w:p w14:paraId="258D04E3" w14:textId="77777777" w:rsidR="008C7B82" w:rsidRDefault="008C7B82" w:rsidP="008C7B82">
      <w:pPr>
        <w:spacing w:line="360" w:lineRule="auto"/>
        <w:jc w:val="both"/>
        <w:rPr>
          <w:rFonts w:ascii="Times New Roman" w:hAnsi="Times New Roman" w:cs="Times New Roman"/>
          <w:sz w:val="24"/>
          <w:szCs w:val="24"/>
        </w:rPr>
      </w:pPr>
    </w:p>
    <w:p w14:paraId="528DF445" w14:textId="77777777" w:rsidR="008C7B82" w:rsidRDefault="008C7B82" w:rsidP="008C7B82">
      <w:pPr>
        <w:spacing w:line="360" w:lineRule="auto"/>
        <w:jc w:val="both"/>
        <w:rPr>
          <w:rFonts w:ascii="Times New Roman" w:hAnsi="Times New Roman" w:cs="Times New Roman"/>
          <w:sz w:val="24"/>
          <w:szCs w:val="24"/>
        </w:rPr>
      </w:pPr>
    </w:p>
    <w:p w14:paraId="7E5B6026" w14:textId="69D13B0C" w:rsidR="008C7B82" w:rsidRDefault="008C7B82" w:rsidP="008C7B82">
      <w:pPr>
        <w:rPr>
          <w:rFonts w:ascii="Times New Roman" w:hAnsi="Times New Roman" w:cs="Times New Roman"/>
          <w:b/>
          <w:sz w:val="24"/>
          <w:szCs w:val="24"/>
        </w:rPr>
      </w:pPr>
      <w:bookmarkStart w:id="1" w:name="_Hlk200883002"/>
      <w:r w:rsidRPr="00DA2E13">
        <w:rPr>
          <w:rFonts w:ascii="Times New Roman" w:hAnsi="Times New Roman" w:cs="Times New Roman"/>
          <w:b/>
          <w:sz w:val="24"/>
          <w:szCs w:val="24"/>
          <w:lang w:val="en-US"/>
        </w:rPr>
        <w:lastRenderedPageBreak/>
        <w:t>What are the benefits of</w:t>
      </w:r>
      <w:r>
        <w:rPr>
          <w:rFonts w:ascii="Times New Roman" w:hAnsi="Times New Roman" w:cs="Times New Roman"/>
          <w:b/>
          <w:sz w:val="24"/>
          <w:szCs w:val="24"/>
        </w:rPr>
        <w:t xml:space="preserve"> </w:t>
      </w:r>
      <w:r w:rsidRPr="009A52BB">
        <w:rPr>
          <w:rFonts w:ascii="Times New Roman" w:hAnsi="Times New Roman" w:cs="Times New Roman"/>
          <w:b/>
          <w:sz w:val="24"/>
          <w:szCs w:val="24"/>
        </w:rPr>
        <w:t>a</w:t>
      </w:r>
      <w:r w:rsidRPr="008C7B82">
        <w:rPr>
          <w:rFonts w:ascii="Times New Roman" w:hAnsi="Times New Roman" w:cs="Times New Roman"/>
          <w:b/>
          <w:sz w:val="24"/>
          <w:szCs w:val="24"/>
        </w:rPr>
        <w:t xml:space="preserve"> study on brand image</w:t>
      </w:r>
      <w:r>
        <w:rPr>
          <w:rFonts w:ascii="Times New Roman" w:hAnsi="Times New Roman" w:cs="Times New Roman"/>
          <w:b/>
          <w:sz w:val="24"/>
          <w:szCs w:val="24"/>
        </w:rPr>
        <w:t xml:space="preserve">? </w:t>
      </w:r>
    </w:p>
    <w:p w14:paraId="5F59A1F3" w14:textId="4307C6C3"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1.</w:t>
      </w:r>
      <w:r w:rsidRPr="008C7B82">
        <w:rPr>
          <w:rFonts w:ascii="Times New Roman" w:hAnsi="Times New Roman" w:cs="Times New Roman"/>
          <w:sz w:val="24"/>
          <w:szCs w:val="24"/>
        </w:rPr>
        <w:t xml:space="preserve"> </w:t>
      </w:r>
      <w:r w:rsidRPr="008C7B82">
        <w:rPr>
          <w:rFonts w:ascii="Times New Roman" w:hAnsi="Times New Roman" w:cs="Times New Roman"/>
          <w:b/>
          <w:bCs/>
          <w:sz w:val="24"/>
          <w:szCs w:val="24"/>
        </w:rPr>
        <w:t>Enhanced Consumer Trust and Loyalty</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 xml:space="preserve">A strong brand image fosters trust among consumers, assuring them of the quality and reliability of solar products. Trust leads to increased customer loyalty, encouraging repeat business and positive word-of-mouth referrals. </w:t>
      </w:r>
    </w:p>
    <w:p w14:paraId="749BE9F2" w14:textId="1C60EC13"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2. Differentiation in a Competitive Market</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 xml:space="preserve">In a market with numerous solar energy providers, a distinctive brand image helps a company stand out. Effective branding highlights unique selling propositions, such as innovative technology or exceptional customer service. </w:t>
      </w:r>
    </w:p>
    <w:p w14:paraId="4C6136F0" w14:textId="590A073D"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3. Attraction of Eco-Conscious Consumers</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A brand that emphasizes sustainability and environmental responsibility appeals to eco-conscious consumers. These consumers prefer to support companies that align with their values, leading to increased sales and market share. Promoting green initiatives can enhance a brand's reputation and attract a dedicated customer base</w:t>
      </w:r>
      <w:r>
        <w:rPr>
          <w:rFonts w:ascii="Times New Roman" w:hAnsi="Times New Roman" w:cs="Times New Roman"/>
          <w:sz w:val="24"/>
          <w:szCs w:val="24"/>
        </w:rPr>
        <w:t>.</w:t>
      </w:r>
      <w:r w:rsidRPr="008C7B82">
        <w:rPr>
          <w:rFonts w:ascii="Times New Roman" w:hAnsi="Times New Roman" w:cs="Times New Roman"/>
          <w:sz w:val="24"/>
          <w:szCs w:val="24"/>
        </w:rPr>
        <w:t xml:space="preserve"> </w:t>
      </w:r>
    </w:p>
    <w:p w14:paraId="4368810D" w14:textId="28F04D59"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4. Improved Market Perception and Reputation</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Consistent branding that reflects quality and reliability improves a company's market perception. A positive reputation attracts not only customers but also potential investors and partners. Companies with strong brand images are often viewed as leaders in their industry.</w:t>
      </w:r>
    </w:p>
    <w:p w14:paraId="728E0814" w14:textId="3E137ED2"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5. Increased Brand Recognition and Recall</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Effective branding strategies, including memorable logos and consistent messaging, enhance brand recognition. Consumers are more likely to recall and choose brands they recognize when making purchasing decisions</w:t>
      </w:r>
      <w:r>
        <w:rPr>
          <w:rFonts w:ascii="Times New Roman" w:hAnsi="Times New Roman" w:cs="Times New Roman"/>
          <w:sz w:val="24"/>
          <w:szCs w:val="24"/>
        </w:rPr>
        <w:t>.</w:t>
      </w:r>
    </w:p>
    <w:p w14:paraId="161D8DCB" w14:textId="536FD667"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6. Enhanced Marketing and Advertising Effectiveness</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A well-established brand image provides a solid foundation for marketing and advertising campaigns. Clear brand messaging ensures that promotional efforts resonate with the target audience. Effective marketing leads to higher engagement and conversion rates.</w:t>
      </w:r>
    </w:p>
    <w:p w14:paraId="434CE15E" w14:textId="2A5B67D1"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7. Attraction of Strategic Partnerships and Collaborations</w:t>
      </w:r>
      <w:r w:rsidRPr="008C7B82">
        <w:rPr>
          <w:rFonts w:ascii="Times New Roman" w:hAnsi="Times New Roman" w:cs="Times New Roman"/>
          <w:b/>
          <w:bCs/>
          <w:sz w:val="24"/>
          <w:szCs w:val="24"/>
        </w:rPr>
        <w:t xml:space="preserve">: </w:t>
      </w:r>
      <w:r w:rsidRPr="008C7B82">
        <w:rPr>
          <w:rFonts w:ascii="Times New Roman" w:hAnsi="Times New Roman" w:cs="Times New Roman"/>
          <w:sz w:val="24"/>
          <w:szCs w:val="24"/>
        </w:rPr>
        <w:t>Companies with strong brand images are more likely to attract strategic partnerships and collaborations. Partnerships with reputable organizations can enhance credibility and expand market reach. Collaborations often lead to shared resources and mutual growth opportunities.</w:t>
      </w:r>
    </w:p>
    <w:p w14:paraId="6D118A85" w14:textId="675C58CC"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8. Increased Employee Morale and Retention</w:t>
      </w:r>
      <w:r w:rsidRPr="008C7B82">
        <w:rPr>
          <w:rFonts w:ascii="Times New Roman" w:hAnsi="Times New Roman" w:cs="Times New Roman"/>
          <w:b/>
          <w:bCs/>
          <w:sz w:val="24"/>
          <w:szCs w:val="24"/>
        </w:rPr>
        <w:t>:</w:t>
      </w:r>
      <w:r w:rsidRPr="008C7B82">
        <w:rPr>
          <w:rFonts w:ascii="Times New Roman" w:hAnsi="Times New Roman" w:cs="Times New Roman"/>
          <w:sz w:val="24"/>
          <w:szCs w:val="24"/>
        </w:rPr>
        <w:t xml:space="preserve"> </w:t>
      </w:r>
      <w:r w:rsidRPr="008C7B82">
        <w:rPr>
          <w:rFonts w:ascii="Times New Roman" w:hAnsi="Times New Roman" w:cs="Times New Roman"/>
          <w:sz w:val="24"/>
          <w:szCs w:val="24"/>
        </w:rPr>
        <w:t>Employees take pride in working for a company with a strong, positive brand image. A reputable brand can boost employee morale and job satisfaction. Satisfied employees are more likely to remain with the company, reducing turnover and associated costs.</w:t>
      </w:r>
    </w:p>
    <w:p w14:paraId="30470BB3" w14:textId="77777777" w:rsidR="008C7B82" w:rsidRDefault="008C7B82" w:rsidP="008C7B82">
      <w:pPr>
        <w:spacing w:line="360" w:lineRule="auto"/>
        <w:jc w:val="both"/>
        <w:rPr>
          <w:rFonts w:ascii="Times New Roman" w:hAnsi="Times New Roman" w:cs="Times New Roman"/>
          <w:b/>
          <w:sz w:val="24"/>
          <w:szCs w:val="24"/>
        </w:rPr>
      </w:pPr>
      <w:bookmarkStart w:id="2" w:name="_Hlk200883186"/>
      <w:r w:rsidRPr="009A52BB">
        <w:rPr>
          <w:rFonts w:ascii="Times New Roman" w:hAnsi="Times New Roman" w:cs="Times New Roman"/>
          <w:b/>
          <w:sz w:val="24"/>
          <w:szCs w:val="24"/>
        </w:rPr>
        <w:lastRenderedPageBreak/>
        <w:t>A study on employee grievances advantages</w:t>
      </w:r>
    </w:p>
    <w:bookmarkEnd w:id="2"/>
    <w:p w14:paraId="5F40BBCA" w14:textId="4DAFEE57"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 xml:space="preserve">1. </w:t>
      </w:r>
      <w:r w:rsidRPr="008C7B82">
        <w:rPr>
          <w:rFonts w:ascii="Times New Roman" w:hAnsi="Times New Roman" w:cs="Times New Roman"/>
          <w:b/>
          <w:bCs/>
          <w:sz w:val="24"/>
          <w:szCs w:val="24"/>
        </w:rPr>
        <w:t>Enhanced Consumer Trust and Loyalty</w:t>
      </w:r>
      <w:r w:rsidRPr="008C7B82">
        <w:rPr>
          <w:rFonts w:ascii="Times New Roman" w:hAnsi="Times New Roman" w:cs="Times New Roman"/>
          <w:b/>
          <w:bCs/>
          <w:sz w:val="24"/>
          <w:szCs w:val="24"/>
        </w:rPr>
        <w:t xml:space="preserve">: </w:t>
      </w:r>
      <w:r w:rsidRPr="008C7B82">
        <w:rPr>
          <w:rFonts w:ascii="Times New Roman" w:hAnsi="Times New Roman" w:cs="Times New Roman"/>
          <w:sz w:val="24"/>
          <w:szCs w:val="24"/>
        </w:rPr>
        <w:t xml:space="preserve">A strong brand image fosters trust among consumers, assuring them of the quality and reliability of solar products. Trust leads to increased customer loyalty, encouraging repeat business and positive word-of-mouth referrals. </w:t>
      </w:r>
    </w:p>
    <w:p w14:paraId="7B1B7CC7" w14:textId="715765BB"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2. Differentiation in a Competitive Market</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In a market with numerous solar energy providers, a distinctive brand image helps a company stand out. Effective branding highlights unique selling propositions, such as innovative technology or exceptional customer service. </w:t>
      </w:r>
    </w:p>
    <w:p w14:paraId="4C425C93" w14:textId="40E6A6E0"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3. Attraction of Eco-Conscious Consumers</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A brand that emphasizes sustainability and environmental responsibility appeals to eco-conscious consumers. These consumers prefer to support companies that align with their values, leading to increased sales and market share. </w:t>
      </w:r>
    </w:p>
    <w:p w14:paraId="27EBA127" w14:textId="6B9CC799"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4. Improved Market Perception and Reputation</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Consistent branding that reflects quality and reliability improves a company's market perception. A positive reputation attracts not only customers but also potential investors and partners. </w:t>
      </w:r>
    </w:p>
    <w:p w14:paraId="2053BD3E" w14:textId="78A22BD2"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5. Increased Brand Recognition and Recall</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 xml:space="preserve">Effective branding strategies, including memorable logos and consistent messaging, enhance brand recognition. Consumers are more likely to recall and choose brands they recognize when making purchasing decisions. </w:t>
      </w:r>
    </w:p>
    <w:p w14:paraId="6F5981E6" w14:textId="403845B8"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6. Enhanced Marketing and Advertising Effectiveness</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A well-established brand image provides a solid foundation for marketing and advertising campaigns. Clear brand messaging ensures that promotional efforts resonate with the target audience. Effective marketing leads to higher engagement and conversion rates.</w:t>
      </w:r>
    </w:p>
    <w:p w14:paraId="46285893" w14:textId="1A29353C"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7. Attraction of Strategic Partnerships and Collaborations</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Companies with strong brand images are more likely to attract strategic partnerships and collaborations. Partnerships with reputable organizations can enhance credibility and expand market reach. Collaborations often lead to shared resources and mutual growth opportunities.</w:t>
      </w:r>
    </w:p>
    <w:p w14:paraId="28ADA9A4" w14:textId="42FF0D59" w:rsidR="008C7B82" w:rsidRPr="008C7B82" w:rsidRDefault="008C7B82" w:rsidP="008C7B82">
      <w:pPr>
        <w:spacing w:line="360" w:lineRule="auto"/>
        <w:jc w:val="both"/>
        <w:rPr>
          <w:rFonts w:ascii="Times New Roman" w:hAnsi="Times New Roman" w:cs="Times New Roman"/>
          <w:sz w:val="24"/>
          <w:szCs w:val="24"/>
        </w:rPr>
      </w:pPr>
      <w:r w:rsidRPr="008C7B82">
        <w:rPr>
          <w:rFonts w:ascii="Times New Roman" w:hAnsi="Times New Roman" w:cs="Times New Roman"/>
          <w:b/>
          <w:bCs/>
          <w:sz w:val="24"/>
          <w:szCs w:val="24"/>
        </w:rPr>
        <w:t>8. Increased Employee Morale and Retention</w:t>
      </w:r>
      <w:r w:rsidRPr="008C7B82">
        <w:rPr>
          <w:rFonts w:ascii="Times New Roman" w:hAnsi="Times New Roman" w:cs="Times New Roman"/>
          <w:b/>
          <w:bCs/>
          <w:sz w:val="24"/>
          <w:szCs w:val="24"/>
        </w:rPr>
        <w:t>:</w:t>
      </w:r>
      <w:r>
        <w:rPr>
          <w:rFonts w:ascii="Times New Roman" w:hAnsi="Times New Roman" w:cs="Times New Roman"/>
          <w:sz w:val="24"/>
          <w:szCs w:val="24"/>
        </w:rPr>
        <w:t xml:space="preserve"> </w:t>
      </w:r>
      <w:r w:rsidRPr="008C7B82">
        <w:rPr>
          <w:rFonts w:ascii="Times New Roman" w:hAnsi="Times New Roman" w:cs="Times New Roman"/>
          <w:sz w:val="24"/>
          <w:szCs w:val="24"/>
        </w:rPr>
        <w:t>Employees take pride in working for a company with a strong, positive brand image. A reputable brand can boost employee morale and job satisfaction. Satisfied employees are more likely to remain with the company, reducing turnover and associated costs</w:t>
      </w:r>
    </w:p>
    <w:p w14:paraId="32B26B3B" w14:textId="77777777" w:rsidR="008C7B82" w:rsidRDefault="008C7B82" w:rsidP="008C7B82">
      <w:pPr>
        <w:rPr>
          <w:rFonts w:ascii="Times New Roman" w:hAnsi="Times New Roman" w:cs="Times New Roman"/>
          <w:b/>
          <w:sz w:val="24"/>
          <w:szCs w:val="24"/>
        </w:rPr>
      </w:pPr>
    </w:p>
    <w:bookmarkEnd w:id="1"/>
    <w:p w14:paraId="11A773AD" w14:textId="77777777" w:rsidR="008C7B82" w:rsidRPr="008C7B82" w:rsidRDefault="008C7B82" w:rsidP="008C7B82">
      <w:pPr>
        <w:spacing w:line="360" w:lineRule="auto"/>
        <w:jc w:val="both"/>
        <w:rPr>
          <w:rFonts w:ascii="Times New Roman" w:hAnsi="Times New Roman" w:cs="Times New Roman"/>
          <w:sz w:val="24"/>
          <w:szCs w:val="24"/>
        </w:rPr>
      </w:pPr>
    </w:p>
    <w:p w14:paraId="1686B86D" w14:textId="77777777" w:rsidR="008C7B82" w:rsidRDefault="008C7B82" w:rsidP="008C7B82">
      <w:pPr>
        <w:spacing w:line="360" w:lineRule="auto"/>
        <w:jc w:val="both"/>
        <w:rPr>
          <w:rFonts w:ascii="Times New Roman" w:hAnsi="Times New Roman" w:cs="Times New Roman"/>
          <w:b/>
          <w:sz w:val="24"/>
          <w:szCs w:val="24"/>
        </w:rPr>
      </w:pPr>
      <w:bookmarkStart w:id="3" w:name="_Hlk200875538"/>
      <w:r w:rsidRPr="00AD7255">
        <w:rPr>
          <w:rFonts w:ascii="Times New Roman" w:hAnsi="Times New Roman" w:cs="Times New Roman"/>
          <w:b/>
          <w:sz w:val="24"/>
          <w:szCs w:val="24"/>
        </w:rPr>
        <w:lastRenderedPageBreak/>
        <w:t>INDUSTRY PROFILE</w:t>
      </w:r>
    </w:p>
    <w:bookmarkEnd w:id="3"/>
    <w:p w14:paraId="432A6A56"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The solar energy industry has emerged as a pivotal component in the global transition toward sustainable energy solutions. This sector encompasses the generation, distribution, and utilization of solar power, primarily through photovoltaic (PV) systems and concentrated solar power (CSP) technologies. The industry's growth is driven by several factors, including technological advancements, supportive government policies, and increasing environmental awareness among consumers.</w:t>
      </w:r>
    </w:p>
    <w:p w14:paraId="4D3E4766"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Global Market Overview</w:t>
      </w:r>
    </w:p>
    <w:p w14:paraId="6945EBF2"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 xml:space="preserve">The global solar energy market has experienced significant expansion over the past decade. Asia Pacific dominates the market, accounting for over 63% of the global share in 2023, with China, India, and Japan leading in installations. The rapid adoption in these regions is attributed to </w:t>
      </w:r>
      <w:proofErr w:type="spellStart"/>
      <w:r w:rsidRPr="00C4415B">
        <w:rPr>
          <w:rFonts w:ascii="Times New Roman" w:hAnsi="Times New Roman" w:cs="Times New Roman"/>
          <w:sz w:val="24"/>
          <w:szCs w:val="24"/>
        </w:rPr>
        <w:t>favorable</w:t>
      </w:r>
      <w:proofErr w:type="spellEnd"/>
      <w:r w:rsidRPr="00C4415B">
        <w:rPr>
          <w:rFonts w:ascii="Times New Roman" w:hAnsi="Times New Roman" w:cs="Times New Roman"/>
          <w:sz w:val="24"/>
          <w:szCs w:val="24"/>
        </w:rPr>
        <w:t xml:space="preserve"> government incentives, declining technology costs, and a growing emphasis on renewable energy sources to combat climate change.</w:t>
      </w:r>
    </w:p>
    <w:p w14:paraId="3A797F3A"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 xml:space="preserve">In 2025, India has seen a notable deceleration in fossil fuel power generation, driven by a significant surge in solar energy production. From January to April, solar power generation increased by 32.4% year-over-year, reaching a record 57.8 terawatt hours (TWh), largely due to a 30% rise in installed solar capacity. </w:t>
      </w:r>
    </w:p>
    <w:p w14:paraId="6212A584"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Technological Advancements</w:t>
      </w:r>
    </w:p>
    <w:p w14:paraId="0064A3CE"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Technological innovation plays a crucial role in the solar energy industry's growth. Advances in PV materials, such as bifacial and perovskite solar cells, have enhanced efficiency and reduced costs. Additionally, developments in energy storage solutions, like lithium-ion batteries, have addressed intermittency issues, enabling more reliable solar power supply.</w:t>
      </w:r>
    </w:p>
    <w:p w14:paraId="2FECCA10"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Government Policies and Incentives</w:t>
      </w:r>
    </w:p>
    <w:p w14:paraId="2A109272"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Government policies are instrumental in fostering the growth of the solar energy sector. In India, initiatives like the National Solar Mission aim to achieve 100 GW of solar capacity by 2022, with a revised target of 280 GW by 2030. Similarly, the United States has implemented tax credits and grants to encourage solar adoption, despite potential policy shifts.</w:t>
      </w:r>
    </w:p>
    <w:p w14:paraId="05D9294C" w14:textId="77777777" w:rsidR="00C4415B" w:rsidRDefault="00C4415B">
      <w:pPr>
        <w:rPr>
          <w:rFonts w:ascii="Times New Roman" w:hAnsi="Times New Roman" w:cs="Times New Roman"/>
          <w:b/>
          <w:bCs/>
          <w:sz w:val="24"/>
          <w:szCs w:val="24"/>
        </w:rPr>
      </w:pPr>
    </w:p>
    <w:p w14:paraId="521BF3EC" w14:textId="77777777" w:rsidR="00C4415B" w:rsidRDefault="00C4415B">
      <w:pPr>
        <w:rPr>
          <w:rFonts w:ascii="Times New Roman" w:hAnsi="Times New Roman" w:cs="Times New Roman"/>
          <w:b/>
          <w:bCs/>
          <w:sz w:val="24"/>
          <w:szCs w:val="24"/>
        </w:rPr>
      </w:pPr>
    </w:p>
    <w:p w14:paraId="0C828F8F" w14:textId="77777777" w:rsidR="00C4415B" w:rsidRDefault="00C4415B">
      <w:pPr>
        <w:rPr>
          <w:rFonts w:ascii="Times New Roman" w:hAnsi="Times New Roman" w:cs="Times New Roman"/>
          <w:b/>
          <w:bCs/>
          <w:sz w:val="24"/>
          <w:szCs w:val="24"/>
        </w:rPr>
      </w:pPr>
    </w:p>
    <w:p w14:paraId="1213C702" w14:textId="77777777" w:rsidR="00C4415B" w:rsidRDefault="00C4415B" w:rsidP="00C4415B">
      <w:pPr>
        <w:rPr>
          <w:rFonts w:ascii="Times New Roman" w:hAnsi="Times New Roman" w:cs="Times New Roman"/>
          <w:b/>
          <w:sz w:val="24"/>
          <w:szCs w:val="24"/>
          <w:lang w:val="en-US"/>
        </w:rPr>
      </w:pPr>
      <w:bookmarkStart w:id="4" w:name="_Hlk200875629"/>
      <w:r w:rsidRPr="00AD7255">
        <w:rPr>
          <w:rFonts w:ascii="Times New Roman" w:hAnsi="Times New Roman" w:cs="Times New Roman"/>
          <w:b/>
          <w:sz w:val="24"/>
          <w:szCs w:val="24"/>
          <w:lang w:val="en-US"/>
        </w:rPr>
        <w:lastRenderedPageBreak/>
        <w:t>1.4 STATEMENT OF THE PROBLEM</w:t>
      </w:r>
    </w:p>
    <w:bookmarkEnd w:id="4"/>
    <w:p w14:paraId="35ED69F9" w14:textId="3D01112C" w:rsidR="00C4415B" w:rsidRPr="00C4415B" w:rsidRDefault="00C4415B"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15B">
        <w:rPr>
          <w:rFonts w:ascii="Times New Roman" w:hAnsi="Times New Roman" w:cs="Times New Roman"/>
          <w:sz w:val="24"/>
          <w:szCs w:val="24"/>
        </w:rPr>
        <w:t>The solar energy industry, despite its significant potential, faces challenges in consumer adoption, particularly concerning the brand image of solar system providers. In regions like Puducherry, where the adoption of solar energy is still in its nascent stages, understanding the factors influencing consumer perceptions is crucial.</w:t>
      </w:r>
    </w:p>
    <w:p w14:paraId="7007524A" w14:textId="6A3D68B4" w:rsidR="00C4415B" w:rsidRPr="00C4415B" w:rsidRDefault="00C4415B"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15B">
        <w:rPr>
          <w:rFonts w:ascii="Times New Roman" w:hAnsi="Times New Roman" w:cs="Times New Roman"/>
          <w:sz w:val="24"/>
          <w:szCs w:val="24"/>
        </w:rPr>
        <w:t xml:space="preserve">While solar energy is recognized for its environmental benefits and long-term cost savings, the initial investment and perceived reliability often deter potential consumers. Moreover, the market is fragmented, with numerous players offering varying quality and service standards, leading to confusion and </w:t>
      </w:r>
      <w:proofErr w:type="spellStart"/>
      <w:r w:rsidRPr="00C4415B">
        <w:rPr>
          <w:rFonts w:ascii="Times New Roman" w:hAnsi="Times New Roman" w:cs="Times New Roman"/>
          <w:sz w:val="24"/>
          <w:szCs w:val="24"/>
        </w:rPr>
        <w:t>skepticism</w:t>
      </w:r>
      <w:proofErr w:type="spellEnd"/>
      <w:r w:rsidRPr="00C4415B">
        <w:rPr>
          <w:rFonts w:ascii="Times New Roman" w:hAnsi="Times New Roman" w:cs="Times New Roman"/>
          <w:sz w:val="24"/>
          <w:szCs w:val="24"/>
        </w:rPr>
        <w:t xml:space="preserve"> among consumers. This situation is exacerbated by instances of greenwashing, where companies make misleading claims about their environmental practices to attract eco-conscious consumers .</w:t>
      </w:r>
      <w:hyperlink r:id="rId5" w:tgtFrame="_blank" w:history="1">
        <w:r w:rsidRPr="00C4415B">
          <w:rPr>
            <w:rStyle w:val="Hyperlink"/>
            <w:rFonts w:ascii="Times New Roman" w:hAnsi="Times New Roman" w:cs="Times New Roman"/>
            <w:sz w:val="24"/>
            <w:szCs w:val="24"/>
          </w:rPr>
          <w:t>en.wikipedia.org</w:t>
        </w:r>
      </w:hyperlink>
    </w:p>
    <w:p w14:paraId="63ECE31B" w14:textId="589535DC" w:rsidR="00C4415B" w:rsidRPr="00C4415B" w:rsidRDefault="00C4415B"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15B">
        <w:rPr>
          <w:rFonts w:ascii="Times New Roman" w:hAnsi="Times New Roman" w:cs="Times New Roman"/>
          <w:sz w:val="24"/>
          <w:szCs w:val="24"/>
        </w:rPr>
        <w:t>Furthermore, the lack of comprehensive studies focusing on the brand image of solar system providers in specific locales like Puducherry has resulted in a gap in understanding the unique challenges and opportunities present in this market. Without this knowledge, companies may struggle to tailor their marketing strategies effectively, leading to suboptimal consumer engagement and adoption rates.</w:t>
      </w:r>
    </w:p>
    <w:p w14:paraId="0B8C2CF1" w14:textId="77777777" w:rsidR="00C4415B" w:rsidRDefault="00C4415B" w:rsidP="00C4415B">
      <w:pPr>
        <w:spacing w:line="360" w:lineRule="auto"/>
        <w:jc w:val="both"/>
        <w:rPr>
          <w:rFonts w:ascii="Times New Roman" w:hAnsi="Times New Roman" w:cs="Times New Roman"/>
          <w:b/>
          <w:bCs/>
          <w:sz w:val="24"/>
          <w:szCs w:val="24"/>
        </w:rPr>
      </w:pPr>
      <w:bookmarkStart w:id="5" w:name="_Hlk200875682"/>
      <w:bookmarkStart w:id="6" w:name="_Hlk200883479"/>
      <w:r w:rsidRPr="00AD7255">
        <w:rPr>
          <w:rFonts w:ascii="Times New Roman" w:hAnsi="Times New Roman" w:cs="Times New Roman"/>
          <w:b/>
          <w:bCs/>
          <w:sz w:val="24"/>
          <w:szCs w:val="24"/>
        </w:rPr>
        <w:t>1.5 OBJECTIVES OF THE STUDY</w:t>
      </w:r>
      <w:bookmarkEnd w:id="6"/>
    </w:p>
    <w:bookmarkEnd w:id="5"/>
    <w:p w14:paraId="1F0A93BB" w14:textId="516FB3B9"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Assess consumer awareness of solar energy systems and their benefits.</w:t>
      </w:r>
    </w:p>
    <w:p w14:paraId="73D22953" w14:textId="080D7B2C"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Identify key factors influencing consumer perceptions of solar brands.</w:t>
      </w:r>
    </w:p>
    <w:p w14:paraId="60883E6D" w14:textId="3D41502D"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Evaluate the impact of sustainability initiatives on brand image.</w:t>
      </w:r>
    </w:p>
    <w:p w14:paraId="65CFBD61" w14:textId="40D448DC"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proofErr w:type="spellStart"/>
      <w:r w:rsidRPr="00C4415B">
        <w:rPr>
          <w:rFonts w:ascii="Times New Roman" w:hAnsi="Times New Roman" w:cs="Times New Roman"/>
          <w:sz w:val="24"/>
          <w:szCs w:val="24"/>
        </w:rPr>
        <w:t>Analyze</w:t>
      </w:r>
      <w:proofErr w:type="spellEnd"/>
      <w:r w:rsidRPr="00C4415B">
        <w:rPr>
          <w:rFonts w:ascii="Times New Roman" w:hAnsi="Times New Roman" w:cs="Times New Roman"/>
          <w:sz w:val="24"/>
          <w:szCs w:val="24"/>
        </w:rPr>
        <w:t xml:space="preserve"> the role of customer service and support in brand perception.</w:t>
      </w:r>
    </w:p>
    <w:p w14:paraId="6DA10DA6" w14:textId="2B3E40CC"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Examine the effectiveness of marketing and communication strategies.</w:t>
      </w:r>
    </w:p>
    <w:p w14:paraId="56958A38" w14:textId="68A3604C"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Investigate the influence of pricing and financial incentives on brand image.</w:t>
      </w:r>
    </w:p>
    <w:p w14:paraId="41E47C5B" w14:textId="0289D1D4" w:rsidR="00C4415B" w:rsidRPr="00C4415B" w:rsidRDefault="00C4415B" w:rsidP="00C4415B">
      <w:pPr>
        <w:pStyle w:val="ListParagraph"/>
        <w:numPr>
          <w:ilvl w:val="0"/>
          <w:numId w:val="3"/>
        </w:num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Provide recommendations for enhancing brand image to boost adoption rates.</w:t>
      </w:r>
    </w:p>
    <w:p w14:paraId="6F0E24CD" w14:textId="77777777" w:rsidR="00C4415B" w:rsidRDefault="00C4415B" w:rsidP="00C4415B">
      <w:pPr>
        <w:spacing w:line="360" w:lineRule="auto"/>
        <w:jc w:val="both"/>
        <w:rPr>
          <w:rFonts w:ascii="Times New Roman" w:hAnsi="Times New Roman" w:cs="Times New Roman"/>
          <w:sz w:val="24"/>
          <w:szCs w:val="24"/>
        </w:rPr>
      </w:pPr>
    </w:p>
    <w:p w14:paraId="1E89FC43" w14:textId="77777777" w:rsidR="00C4415B" w:rsidRDefault="00C4415B" w:rsidP="00C4415B">
      <w:pPr>
        <w:spacing w:line="360" w:lineRule="auto"/>
        <w:jc w:val="both"/>
        <w:rPr>
          <w:rFonts w:ascii="Times New Roman" w:hAnsi="Times New Roman" w:cs="Times New Roman"/>
          <w:sz w:val="24"/>
          <w:szCs w:val="24"/>
        </w:rPr>
      </w:pPr>
    </w:p>
    <w:p w14:paraId="33801ED4" w14:textId="77777777" w:rsidR="00C4415B" w:rsidRDefault="00C4415B" w:rsidP="00C4415B">
      <w:pPr>
        <w:spacing w:line="360" w:lineRule="auto"/>
        <w:jc w:val="both"/>
        <w:rPr>
          <w:rFonts w:ascii="Times New Roman" w:hAnsi="Times New Roman" w:cs="Times New Roman"/>
          <w:sz w:val="24"/>
          <w:szCs w:val="24"/>
        </w:rPr>
      </w:pPr>
    </w:p>
    <w:p w14:paraId="7D81262C" w14:textId="77777777" w:rsidR="00C4415B" w:rsidRDefault="00C4415B" w:rsidP="00C4415B">
      <w:pPr>
        <w:spacing w:line="360" w:lineRule="auto"/>
        <w:jc w:val="both"/>
        <w:rPr>
          <w:rFonts w:ascii="Times New Roman" w:hAnsi="Times New Roman" w:cs="Times New Roman"/>
          <w:sz w:val="24"/>
          <w:szCs w:val="24"/>
        </w:rPr>
      </w:pPr>
    </w:p>
    <w:p w14:paraId="171D326D" w14:textId="77777777" w:rsidR="00C4415B" w:rsidRDefault="00C4415B" w:rsidP="00C4415B">
      <w:pPr>
        <w:spacing w:line="360" w:lineRule="auto"/>
        <w:jc w:val="both"/>
        <w:rPr>
          <w:rFonts w:ascii="Times New Roman" w:hAnsi="Times New Roman" w:cs="Times New Roman"/>
          <w:sz w:val="24"/>
          <w:szCs w:val="24"/>
        </w:rPr>
      </w:pPr>
    </w:p>
    <w:p w14:paraId="63092405" w14:textId="77777777" w:rsidR="00C4415B" w:rsidRDefault="00C4415B" w:rsidP="00C4415B">
      <w:pPr>
        <w:spacing w:line="360" w:lineRule="auto"/>
        <w:jc w:val="both"/>
        <w:rPr>
          <w:rFonts w:ascii="Times New Roman" w:hAnsi="Times New Roman" w:cs="Times New Roman"/>
          <w:b/>
          <w:bCs/>
          <w:sz w:val="24"/>
          <w:szCs w:val="24"/>
          <w:lang w:val="en-US"/>
        </w:rPr>
      </w:pPr>
      <w:bookmarkStart w:id="7" w:name="_Hlk200875733"/>
      <w:r w:rsidRPr="009A52BB">
        <w:rPr>
          <w:rFonts w:ascii="Times New Roman" w:hAnsi="Times New Roman" w:cs="Times New Roman"/>
          <w:b/>
          <w:bCs/>
          <w:sz w:val="24"/>
          <w:szCs w:val="24"/>
          <w:lang w:val="en-US"/>
        </w:rPr>
        <w:lastRenderedPageBreak/>
        <w:t>1.6 SCOPE OF THE STUDY</w:t>
      </w:r>
    </w:p>
    <w:bookmarkEnd w:id="7"/>
    <w:p w14:paraId="43EE9B18" w14:textId="233337CA" w:rsidR="00C4415B" w:rsidRPr="00C4415B" w:rsidRDefault="00C4415B"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4415B">
        <w:rPr>
          <w:rFonts w:ascii="Times New Roman" w:hAnsi="Times New Roman" w:cs="Times New Roman"/>
          <w:sz w:val="24"/>
          <w:szCs w:val="24"/>
        </w:rPr>
        <w:t xml:space="preserve">This study aims to explore the brand image of solar energy systems and its influence on consumer perceptions and adoption in Puducherry, India. The scope of this research encompasses various dimensions, including geographical focus, consumer </w:t>
      </w:r>
      <w:proofErr w:type="spellStart"/>
      <w:r w:rsidRPr="00C4415B">
        <w:rPr>
          <w:rFonts w:ascii="Times New Roman" w:hAnsi="Times New Roman" w:cs="Times New Roman"/>
          <w:sz w:val="24"/>
          <w:szCs w:val="24"/>
        </w:rPr>
        <w:t>behavior</w:t>
      </w:r>
      <w:proofErr w:type="spellEnd"/>
      <w:r w:rsidRPr="00C4415B">
        <w:rPr>
          <w:rFonts w:ascii="Times New Roman" w:hAnsi="Times New Roman" w:cs="Times New Roman"/>
          <w:sz w:val="24"/>
          <w:szCs w:val="24"/>
        </w:rPr>
        <w:t xml:space="preserve"> analysis, technological advancements, policy impact, and market dynamics, all within the context of the solar energy sector in Puducherry.</w:t>
      </w:r>
    </w:p>
    <w:p w14:paraId="33C0BAAA"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Geographical Focus</w:t>
      </w:r>
    </w:p>
    <w:p w14:paraId="03C5E886"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Puducherry, a Union Territory in southern India, is witnessing a gradual shift towards renewable energy sources, with solar energy emerging as a viable alternative. The study focuses on this region to understand the unique challenges and opportunities present in promoting solar energy adoption. Factors such as local climate conditions, infrastructure, and socio-economic aspects play a crucial role in shaping consumer attitudes towards solar energy systems.</w:t>
      </w:r>
    </w:p>
    <w:p w14:paraId="5A760B35"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 xml:space="preserve">Consumer </w:t>
      </w:r>
      <w:proofErr w:type="spellStart"/>
      <w:r w:rsidRPr="00C4415B">
        <w:rPr>
          <w:rFonts w:ascii="Times New Roman" w:hAnsi="Times New Roman" w:cs="Times New Roman"/>
          <w:b/>
          <w:bCs/>
          <w:sz w:val="24"/>
          <w:szCs w:val="24"/>
        </w:rPr>
        <w:t>Behavior</w:t>
      </w:r>
      <w:proofErr w:type="spellEnd"/>
      <w:r w:rsidRPr="00C4415B">
        <w:rPr>
          <w:rFonts w:ascii="Times New Roman" w:hAnsi="Times New Roman" w:cs="Times New Roman"/>
          <w:b/>
          <w:bCs/>
          <w:sz w:val="24"/>
          <w:szCs w:val="24"/>
        </w:rPr>
        <w:t xml:space="preserve"> Analysis</w:t>
      </w:r>
    </w:p>
    <w:p w14:paraId="7D98E8BC"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 xml:space="preserve">Understanding consumer </w:t>
      </w:r>
      <w:proofErr w:type="spellStart"/>
      <w:r w:rsidRPr="00C4415B">
        <w:rPr>
          <w:rFonts w:ascii="Times New Roman" w:hAnsi="Times New Roman" w:cs="Times New Roman"/>
          <w:sz w:val="24"/>
          <w:szCs w:val="24"/>
        </w:rPr>
        <w:t>behavior</w:t>
      </w:r>
      <w:proofErr w:type="spellEnd"/>
      <w:r w:rsidRPr="00C4415B">
        <w:rPr>
          <w:rFonts w:ascii="Times New Roman" w:hAnsi="Times New Roman" w:cs="Times New Roman"/>
          <w:sz w:val="24"/>
          <w:szCs w:val="24"/>
        </w:rPr>
        <w:t xml:space="preserve"> is pivotal in assessing the brand image of solar energy systems. This study examines factors influencing consumer perceptions, including awareness, trust, perceived benefits, and barriers to adoption. By </w:t>
      </w:r>
      <w:proofErr w:type="spellStart"/>
      <w:r w:rsidRPr="00C4415B">
        <w:rPr>
          <w:rFonts w:ascii="Times New Roman" w:hAnsi="Times New Roman" w:cs="Times New Roman"/>
          <w:sz w:val="24"/>
          <w:szCs w:val="24"/>
        </w:rPr>
        <w:t>analyzing</w:t>
      </w:r>
      <w:proofErr w:type="spellEnd"/>
      <w:r w:rsidRPr="00C4415B">
        <w:rPr>
          <w:rFonts w:ascii="Times New Roman" w:hAnsi="Times New Roman" w:cs="Times New Roman"/>
          <w:sz w:val="24"/>
          <w:szCs w:val="24"/>
        </w:rPr>
        <w:t xml:space="preserve"> these elements, the research aims to identify the key drivers that shape consumer decisions regarding solar energy systems in Puducherry.</w:t>
      </w:r>
    </w:p>
    <w:p w14:paraId="6E25777E"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Technological Advancements</w:t>
      </w:r>
    </w:p>
    <w:p w14:paraId="2E661F13"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The solar energy sector is characterized by rapid technological advancements that influence product offerings and consumer perceptions. This study investigates the impact of innovations such as improved photovoltaic technologies, energy storage solutions, and smart grid integrations on the brand image of solar energy systems. Understanding these technological trends helps in assessing how they contribute to consumer trust and adoption rates.</w:t>
      </w:r>
    </w:p>
    <w:p w14:paraId="1EC2F0F3"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b/>
          <w:bCs/>
          <w:sz w:val="24"/>
          <w:szCs w:val="24"/>
        </w:rPr>
        <w:t>Policy Impact</w:t>
      </w:r>
    </w:p>
    <w:p w14:paraId="37A253F9" w14:textId="77777777" w:rsidR="00C4415B" w:rsidRPr="00C4415B" w:rsidRDefault="00C4415B" w:rsidP="00C4415B">
      <w:pPr>
        <w:spacing w:line="360" w:lineRule="auto"/>
        <w:jc w:val="both"/>
        <w:rPr>
          <w:rFonts w:ascii="Times New Roman" w:hAnsi="Times New Roman" w:cs="Times New Roman"/>
          <w:sz w:val="24"/>
          <w:szCs w:val="24"/>
        </w:rPr>
      </w:pPr>
      <w:r w:rsidRPr="00C4415B">
        <w:rPr>
          <w:rFonts w:ascii="Times New Roman" w:hAnsi="Times New Roman" w:cs="Times New Roman"/>
          <w:sz w:val="24"/>
          <w:szCs w:val="24"/>
        </w:rPr>
        <w:t>Government policies and incentives play a significant role in promoting solar energy adoption. The study examines the effectiveness of policies such as subsidies, tax benefits, and net metering in enhancing the brand image of solar energy systems. Additionally, the research assesses how policy support influences consumer perceptions and the overall market dynamics in Puducherry.</w:t>
      </w:r>
    </w:p>
    <w:p w14:paraId="597344AD" w14:textId="77777777" w:rsidR="00C4415B" w:rsidRDefault="00C4415B" w:rsidP="00C4415B">
      <w:pPr>
        <w:spacing w:line="360" w:lineRule="auto"/>
        <w:jc w:val="both"/>
        <w:rPr>
          <w:rFonts w:ascii="Times New Roman" w:hAnsi="Times New Roman" w:cs="Times New Roman"/>
          <w:b/>
          <w:bCs/>
          <w:sz w:val="24"/>
          <w:szCs w:val="24"/>
          <w:lang w:val="en-US"/>
        </w:rPr>
      </w:pPr>
      <w:bookmarkStart w:id="8" w:name="_Hlk200876179"/>
      <w:r w:rsidRPr="001A008C">
        <w:rPr>
          <w:rFonts w:ascii="Times New Roman" w:hAnsi="Times New Roman" w:cs="Times New Roman"/>
          <w:b/>
          <w:bCs/>
          <w:sz w:val="24"/>
          <w:szCs w:val="24"/>
          <w:lang w:val="en-US"/>
        </w:rPr>
        <w:lastRenderedPageBreak/>
        <w:t>1.7 LIMITATIONS OF THE STUDY</w:t>
      </w:r>
    </w:p>
    <w:bookmarkEnd w:id="8"/>
    <w:p w14:paraId="50213850"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Geographical Limitation</w:t>
      </w:r>
      <w:r w:rsidRPr="007C7099">
        <w:rPr>
          <w:rFonts w:ascii="Times New Roman" w:hAnsi="Times New Roman" w:cs="Times New Roman"/>
          <w:sz w:val="24"/>
          <w:szCs w:val="24"/>
        </w:rPr>
        <w:t>: The study focuses exclusively on Puducherry, which may not be representative of other regions with differing socio-economic conditions, infrastructure, and policy environments. Therefore, the findings may not be generalizable to other areas.</w:t>
      </w:r>
    </w:p>
    <w:p w14:paraId="257A3738"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Sample Size and Demographics</w:t>
      </w:r>
      <w:r w:rsidRPr="007C7099">
        <w:rPr>
          <w:rFonts w:ascii="Times New Roman" w:hAnsi="Times New Roman" w:cs="Times New Roman"/>
          <w:sz w:val="24"/>
          <w:szCs w:val="24"/>
        </w:rPr>
        <w:t xml:space="preserve">: The research relies on a limited sample size, which may not capture the full spectrum of consumer opinions and </w:t>
      </w:r>
      <w:proofErr w:type="spellStart"/>
      <w:r w:rsidRPr="007C7099">
        <w:rPr>
          <w:rFonts w:ascii="Times New Roman" w:hAnsi="Times New Roman" w:cs="Times New Roman"/>
          <w:sz w:val="24"/>
          <w:szCs w:val="24"/>
        </w:rPr>
        <w:t>behaviors</w:t>
      </w:r>
      <w:proofErr w:type="spellEnd"/>
      <w:r w:rsidRPr="007C7099">
        <w:rPr>
          <w:rFonts w:ascii="Times New Roman" w:hAnsi="Times New Roman" w:cs="Times New Roman"/>
          <w:sz w:val="24"/>
          <w:szCs w:val="24"/>
        </w:rPr>
        <w:t>. Additionally, demographic factors such as age, income, education level, and occupation may influence perceptions and are not comprehensively addressed in this study.</w:t>
      </w:r>
    </w:p>
    <w:p w14:paraId="5CA5373C"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Data Collection Methods</w:t>
      </w:r>
      <w:r w:rsidRPr="007C7099">
        <w:rPr>
          <w:rFonts w:ascii="Times New Roman" w:hAnsi="Times New Roman" w:cs="Times New Roman"/>
          <w:sz w:val="24"/>
          <w:szCs w:val="24"/>
        </w:rPr>
        <w:t>: The study employs surveys and interviews as primary data collection methods, which are subject to biases such as social desirability bias and response bias. Participants may provide answers they believe are expected or acceptable, rather than their true opinions.</w:t>
      </w:r>
    </w:p>
    <w:p w14:paraId="4944D51C" w14:textId="16C1ED1D"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Temporal Constraints</w:t>
      </w:r>
      <w:r w:rsidRPr="007C7099">
        <w:rPr>
          <w:rFonts w:ascii="Times New Roman" w:hAnsi="Times New Roman" w:cs="Times New Roman"/>
          <w:sz w:val="24"/>
          <w:szCs w:val="24"/>
        </w:rPr>
        <w:t xml:space="preserve">: The research is conducted over a limited timeframe, which may not account for seasonal variations in solar energy adoption or changes in consumer perceptions over time. </w:t>
      </w:r>
    </w:p>
    <w:p w14:paraId="70B0649E"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Technological Variability</w:t>
      </w:r>
      <w:r w:rsidRPr="007C7099">
        <w:rPr>
          <w:rFonts w:ascii="Times New Roman" w:hAnsi="Times New Roman" w:cs="Times New Roman"/>
          <w:sz w:val="24"/>
          <w:szCs w:val="24"/>
        </w:rPr>
        <w:t>: The study examines a wide range of solar energy systems, which vary in technology, efficiency, and cost. This variability can complicate the assessment of brand image, as different technologies may influence consumer perceptions differently.</w:t>
      </w:r>
    </w:p>
    <w:p w14:paraId="3A10EC3F"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Market Fragmentation</w:t>
      </w:r>
      <w:r w:rsidRPr="007C7099">
        <w:rPr>
          <w:rFonts w:ascii="Times New Roman" w:hAnsi="Times New Roman" w:cs="Times New Roman"/>
          <w:sz w:val="24"/>
          <w:szCs w:val="24"/>
        </w:rPr>
        <w:t>: The solar energy market in Puducherry is fragmented, with numerous local and national players offering diverse products and services. This fragmentation makes it challenging to assess the brand image of individual companies and may lead to generalized findings.</w:t>
      </w:r>
    </w:p>
    <w:p w14:paraId="364407A0" w14:textId="77777777" w:rsidR="007C7099" w:rsidRPr="007C7099" w:rsidRDefault="007C7099" w:rsidP="007C7099">
      <w:pPr>
        <w:numPr>
          <w:ilvl w:val="0"/>
          <w:numId w:val="4"/>
        </w:numPr>
        <w:tabs>
          <w:tab w:val="num" w:pos="720"/>
        </w:tabs>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Regulatory and Policy Influence</w:t>
      </w:r>
      <w:r w:rsidRPr="007C7099">
        <w:rPr>
          <w:rFonts w:ascii="Times New Roman" w:hAnsi="Times New Roman" w:cs="Times New Roman"/>
          <w:sz w:val="24"/>
          <w:szCs w:val="24"/>
        </w:rPr>
        <w:t>: Government policies and incentives play a significant role in shaping the solar energy market. However, the study may not fully capture the impact of policy changes or the effectiveness of existing policies on consumer perceptions and adoption rates.</w:t>
      </w:r>
    </w:p>
    <w:p w14:paraId="479CBC7E" w14:textId="77777777" w:rsidR="00C4415B" w:rsidRDefault="00C4415B" w:rsidP="00C4415B">
      <w:pPr>
        <w:spacing w:line="360" w:lineRule="auto"/>
        <w:jc w:val="both"/>
        <w:rPr>
          <w:rFonts w:ascii="Times New Roman" w:hAnsi="Times New Roman" w:cs="Times New Roman"/>
          <w:b/>
          <w:bCs/>
          <w:sz w:val="24"/>
          <w:szCs w:val="24"/>
        </w:rPr>
      </w:pPr>
    </w:p>
    <w:p w14:paraId="607EA3FB" w14:textId="77777777" w:rsidR="007C7099" w:rsidRDefault="007C7099" w:rsidP="00C4415B">
      <w:pPr>
        <w:spacing w:line="360" w:lineRule="auto"/>
        <w:jc w:val="both"/>
        <w:rPr>
          <w:rFonts w:ascii="Times New Roman" w:hAnsi="Times New Roman" w:cs="Times New Roman"/>
          <w:b/>
          <w:bCs/>
          <w:sz w:val="24"/>
          <w:szCs w:val="24"/>
        </w:rPr>
      </w:pPr>
    </w:p>
    <w:p w14:paraId="595627E7" w14:textId="77777777" w:rsidR="007C7099" w:rsidRDefault="007C7099" w:rsidP="00C4415B">
      <w:pPr>
        <w:spacing w:line="360" w:lineRule="auto"/>
        <w:jc w:val="both"/>
        <w:rPr>
          <w:rFonts w:ascii="Times New Roman" w:hAnsi="Times New Roman" w:cs="Times New Roman"/>
          <w:b/>
          <w:bCs/>
          <w:sz w:val="24"/>
          <w:szCs w:val="24"/>
        </w:rPr>
      </w:pPr>
    </w:p>
    <w:p w14:paraId="0EFE6DF1" w14:textId="77777777" w:rsidR="007C7099" w:rsidRPr="00AD7255" w:rsidRDefault="007C7099" w:rsidP="007C7099">
      <w:pPr>
        <w:spacing w:line="360" w:lineRule="auto"/>
        <w:jc w:val="center"/>
        <w:rPr>
          <w:rFonts w:ascii="Times New Roman" w:hAnsi="Times New Roman" w:cs="Times New Roman"/>
          <w:b/>
          <w:bCs/>
          <w:sz w:val="24"/>
          <w:szCs w:val="24"/>
          <w:lang w:val="en-US"/>
        </w:rPr>
      </w:pPr>
      <w:bookmarkStart w:id="9" w:name="_Hlk200876410"/>
      <w:r w:rsidRPr="00AD7255">
        <w:rPr>
          <w:rFonts w:ascii="Times New Roman" w:hAnsi="Times New Roman" w:cs="Times New Roman"/>
          <w:b/>
          <w:bCs/>
          <w:sz w:val="24"/>
          <w:szCs w:val="24"/>
          <w:lang w:val="en-US"/>
        </w:rPr>
        <w:lastRenderedPageBreak/>
        <w:t>CHAPTER – II</w:t>
      </w:r>
    </w:p>
    <w:p w14:paraId="51CC605C" w14:textId="77777777" w:rsidR="007C7099" w:rsidRDefault="007C7099" w:rsidP="007C709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1A8A9C52" w14:textId="4FFB51EB" w:rsidR="007C7099" w:rsidRPr="007C7099" w:rsidRDefault="007C7099" w:rsidP="007C70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7099">
        <w:rPr>
          <w:rFonts w:ascii="Times New Roman" w:hAnsi="Times New Roman" w:cs="Times New Roman"/>
          <w:sz w:val="24"/>
          <w:szCs w:val="24"/>
        </w:rPr>
        <w:t xml:space="preserve">The adoption of solar energy systems is influenced by various factors, including consumer perceptions, brand image, and external motivations. Understanding these elements is crucial for promoting the widespread use of solar technologies. This chapter reviews existing literature to explore the key determinants affecting consumer attitudes and </w:t>
      </w:r>
      <w:proofErr w:type="spellStart"/>
      <w:r w:rsidRPr="007C7099">
        <w:rPr>
          <w:rFonts w:ascii="Times New Roman" w:hAnsi="Times New Roman" w:cs="Times New Roman"/>
          <w:sz w:val="24"/>
          <w:szCs w:val="24"/>
        </w:rPr>
        <w:t>behaviors</w:t>
      </w:r>
      <w:proofErr w:type="spellEnd"/>
      <w:r w:rsidRPr="007C7099">
        <w:rPr>
          <w:rFonts w:ascii="Times New Roman" w:hAnsi="Times New Roman" w:cs="Times New Roman"/>
          <w:sz w:val="24"/>
          <w:szCs w:val="24"/>
        </w:rPr>
        <w:t xml:space="preserve"> toward solar energy systems.</w:t>
      </w:r>
    </w:p>
    <w:p w14:paraId="529BC284"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2.1 Consumer Perception and Brand Image</w:t>
      </w:r>
    </w:p>
    <w:p w14:paraId="3C821BCB"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Consumer perception plays a pivotal role in the adoption of solar energy systems. Studies indicate that consumers' attitudes toward green energy brands are significantly influenced by psychological benefits such as warm glow, self-expressive benefits, and nature experiences. Among these, nature experiences have the strongest impact on brand attitude and purchase </w:t>
      </w:r>
      <w:proofErr w:type="gramStart"/>
      <w:r w:rsidRPr="007C7099">
        <w:rPr>
          <w:rFonts w:ascii="Times New Roman" w:hAnsi="Times New Roman" w:cs="Times New Roman"/>
          <w:sz w:val="24"/>
          <w:szCs w:val="24"/>
        </w:rPr>
        <w:t>intention .</w:t>
      </w:r>
      <w:proofErr w:type="gramEnd"/>
      <w:r w:rsidRPr="007C7099">
        <w:rPr>
          <w:rFonts w:ascii="Times New Roman" w:hAnsi="Times New Roman" w:cs="Times New Roman"/>
          <w:sz w:val="24"/>
          <w:szCs w:val="24"/>
        </w:rPr>
        <w:t xml:space="preserve"> Additionally, brand value perception is a critical factor; research shows that positive brand perception enhances consumer confidence and acceptance of distributed energy systems, with a strong relationship between brand value perception and adoption </w:t>
      </w:r>
      <w:proofErr w:type="spellStart"/>
      <w:r w:rsidRPr="007C7099">
        <w:rPr>
          <w:rFonts w:ascii="Times New Roman" w:hAnsi="Times New Roman" w:cs="Times New Roman"/>
          <w:sz w:val="24"/>
          <w:szCs w:val="24"/>
        </w:rPr>
        <w:t>behavior</w:t>
      </w:r>
      <w:proofErr w:type="spellEnd"/>
      <w:r w:rsidRPr="007C7099">
        <w:rPr>
          <w:rFonts w:ascii="Times New Roman" w:hAnsi="Times New Roman" w:cs="Times New Roman"/>
          <w:sz w:val="24"/>
          <w:szCs w:val="24"/>
        </w:rPr>
        <w:t xml:space="preserve"> .</w:t>
      </w:r>
      <w:hyperlink r:id="rId6" w:tgtFrame="_blank" w:history="1">
        <w:r w:rsidRPr="007C7099">
          <w:rPr>
            <w:rStyle w:val="Hyperlink"/>
            <w:rFonts w:ascii="Times New Roman" w:hAnsi="Times New Roman" w:cs="Times New Roman"/>
            <w:sz w:val="24"/>
            <w:szCs w:val="24"/>
          </w:rPr>
          <w:t>mdpi.com+2sciencedirect.com+2en.wikipedia.org+2</w:t>
        </w:r>
      </w:hyperlink>
      <w:hyperlink r:id="rId7" w:tgtFrame="_blank" w:history="1">
        <w:r w:rsidRPr="007C7099">
          <w:rPr>
            <w:rStyle w:val="Hyperlink"/>
            <w:rFonts w:ascii="Times New Roman" w:hAnsi="Times New Roman" w:cs="Times New Roman"/>
            <w:sz w:val="24"/>
            <w:szCs w:val="24"/>
          </w:rPr>
          <w:t>repqj.com</w:t>
        </w:r>
      </w:hyperlink>
    </w:p>
    <w:p w14:paraId="66710C6A"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2.2 Motivational Factors for Adoption</w:t>
      </w:r>
    </w:p>
    <w:p w14:paraId="19F63E43"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Several motivational factors influence consumers' decisions to adopt solar energy systems. These include environmental concern, perceived benefits, social influence, and </w:t>
      </w:r>
      <w:proofErr w:type="spellStart"/>
      <w:r w:rsidRPr="007C7099">
        <w:rPr>
          <w:rFonts w:ascii="Times New Roman" w:hAnsi="Times New Roman" w:cs="Times New Roman"/>
          <w:sz w:val="24"/>
          <w:szCs w:val="24"/>
        </w:rPr>
        <w:t>behavioral</w:t>
      </w:r>
      <w:proofErr w:type="spellEnd"/>
      <w:r w:rsidRPr="007C7099">
        <w:rPr>
          <w:rFonts w:ascii="Times New Roman" w:hAnsi="Times New Roman" w:cs="Times New Roman"/>
          <w:sz w:val="24"/>
          <w:szCs w:val="24"/>
        </w:rPr>
        <w:t xml:space="preserve"> constraints. Environmental concern positively affects attitudes toward solar energy, as individuals with higher green concern are more likely to adopt sustainable </w:t>
      </w:r>
      <w:proofErr w:type="gramStart"/>
      <w:r w:rsidRPr="007C7099">
        <w:rPr>
          <w:rFonts w:ascii="Times New Roman" w:hAnsi="Times New Roman" w:cs="Times New Roman"/>
          <w:sz w:val="24"/>
          <w:szCs w:val="24"/>
        </w:rPr>
        <w:t>technologies .</w:t>
      </w:r>
      <w:proofErr w:type="gramEnd"/>
      <w:r w:rsidRPr="007C7099">
        <w:rPr>
          <w:rFonts w:ascii="Times New Roman" w:hAnsi="Times New Roman" w:cs="Times New Roman"/>
          <w:sz w:val="24"/>
          <w:szCs w:val="24"/>
        </w:rPr>
        <w:t xml:space="preserve"> Perceived benefits, such as cost savings and environmental impact, also play a significant role in shaping consumer attitudes and purchase </w:t>
      </w:r>
      <w:proofErr w:type="gramStart"/>
      <w:r w:rsidRPr="007C7099">
        <w:rPr>
          <w:rFonts w:ascii="Times New Roman" w:hAnsi="Times New Roman" w:cs="Times New Roman"/>
          <w:sz w:val="24"/>
          <w:szCs w:val="24"/>
        </w:rPr>
        <w:t>intentions .</w:t>
      </w:r>
      <w:proofErr w:type="gramEnd"/>
      <w:r w:rsidRPr="007C7099">
        <w:rPr>
          <w:rFonts w:ascii="Times New Roman" w:hAnsi="Times New Roman" w:cs="Times New Roman"/>
          <w:sz w:val="24"/>
          <w:szCs w:val="24"/>
        </w:rPr>
        <w:t xml:space="preserve"> Social influence, including peer pressure and social acceptability, further impacts adoption </w:t>
      </w:r>
      <w:proofErr w:type="gramStart"/>
      <w:r w:rsidRPr="007C7099">
        <w:rPr>
          <w:rFonts w:ascii="Times New Roman" w:hAnsi="Times New Roman" w:cs="Times New Roman"/>
          <w:sz w:val="24"/>
          <w:szCs w:val="24"/>
        </w:rPr>
        <w:t>decisions .</w:t>
      </w:r>
      <w:proofErr w:type="gramEnd"/>
      <w:r w:rsidRPr="007C7099">
        <w:rPr>
          <w:rFonts w:ascii="Times New Roman" w:hAnsi="Times New Roman" w:cs="Times New Roman"/>
          <w:sz w:val="24"/>
          <w:szCs w:val="24"/>
        </w:rPr>
        <w:t xml:space="preserve"> However, </w:t>
      </w:r>
      <w:proofErr w:type="spellStart"/>
      <w:r w:rsidRPr="007C7099">
        <w:rPr>
          <w:rFonts w:ascii="Times New Roman" w:hAnsi="Times New Roman" w:cs="Times New Roman"/>
          <w:sz w:val="24"/>
          <w:szCs w:val="24"/>
        </w:rPr>
        <w:t>behavioral</w:t>
      </w:r>
      <w:proofErr w:type="spellEnd"/>
      <w:r w:rsidRPr="007C7099">
        <w:rPr>
          <w:rFonts w:ascii="Times New Roman" w:hAnsi="Times New Roman" w:cs="Times New Roman"/>
          <w:sz w:val="24"/>
          <w:szCs w:val="24"/>
        </w:rPr>
        <w:t xml:space="preserve"> constraints like laws and regulations can hinder adoption, indicating the need for supportive policies .</w:t>
      </w:r>
      <w:hyperlink r:id="rId8" w:tgtFrame="_blank" w:history="1">
        <w:r w:rsidRPr="007C7099">
          <w:rPr>
            <w:rStyle w:val="Hyperlink"/>
            <w:rFonts w:ascii="Times New Roman" w:hAnsi="Times New Roman" w:cs="Times New Roman"/>
            <w:sz w:val="24"/>
            <w:szCs w:val="24"/>
          </w:rPr>
          <w:t>pmc.ncbi.nlm.nih.gov+3mdpi.com+3researchgate.net+3</w:t>
        </w:r>
      </w:hyperlink>
      <w:hyperlink r:id="rId9" w:tgtFrame="_blank" w:history="1">
        <w:r w:rsidRPr="007C7099">
          <w:rPr>
            <w:rStyle w:val="Hyperlink"/>
            <w:rFonts w:ascii="Times New Roman" w:hAnsi="Times New Roman" w:cs="Times New Roman"/>
            <w:sz w:val="24"/>
            <w:szCs w:val="24"/>
          </w:rPr>
          <w:t>mdpi.com+1mdpi.com+1</w:t>
        </w:r>
      </w:hyperlink>
    </w:p>
    <w:p w14:paraId="16BF5E91"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2.3 Theoretical Frameworks</w:t>
      </w:r>
    </w:p>
    <w:p w14:paraId="469BAC6E"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The Theory of Planned </w:t>
      </w:r>
      <w:proofErr w:type="spellStart"/>
      <w:r w:rsidRPr="007C7099">
        <w:rPr>
          <w:rFonts w:ascii="Times New Roman" w:hAnsi="Times New Roman" w:cs="Times New Roman"/>
          <w:sz w:val="24"/>
          <w:szCs w:val="24"/>
        </w:rPr>
        <w:t>Behavior</w:t>
      </w:r>
      <w:proofErr w:type="spellEnd"/>
      <w:r w:rsidRPr="007C7099">
        <w:rPr>
          <w:rFonts w:ascii="Times New Roman" w:hAnsi="Times New Roman" w:cs="Times New Roman"/>
          <w:sz w:val="24"/>
          <w:szCs w:val="24"/>
        </w:rPr>
        <w:t xml:space="preserve"> (TPB) and the Technology Acceptance Model (TAM) provide valuable frameworks for understanding consumer adoption of solar energy systems. These models suggest that attitudes, subjective norms, and perceived </w:t>
      </w:r>
      <w:proofErr w:type="spellStart"/>
      <w:r w:rsidRPr="007C7099">
        <w:rPr>
          <w:rFonts w:ascii="Times New Roman" w:hAnsi="Times New Roman" w:cs="Times New Roman"/>
          <w:sz w:val="24"/>
          <w:szCs w:val="24"/>
        </w:rPr>
        <w:t>behavioral</w:t>
      </w:r>
      <w:proofErr w:type="spellEnd"/>
      <w:r w:rsidRPr="007C7099">
        <w:rPr>
          <w:rFonts w:ascii="Times New Roman" w:hAnsi="Times New Roman" w:cs="Times New Roman"/>
          <w:sz w:val="24"/>
          <w:szCs w:val="24"/>
        </w:rPr>
        <w:t xml:space="preserve"> control influence </w:t>
      </w:r>
      <w:proofErr w:type="spellStart"/>
      <w:r w:rsidRPr="007C7099">
        <w:rPr>
          <w:rFonts w:ascii="Times New Roman" w:hAnsi="Times New Roman" w:cs="Times New Roman"/>
          <w:sz w:val="24"/>
          <w:szCs w:val="24"/>
        </w:rPr>
        <w:lastRenderedPageBreak/>
        <w:t>behavioral</w:t>
      </w:r>
      <w:proofErr w:type="spellEnd"/>
      <w:r w:rsidRPr="007C7099">
        <w:rPr>
          <w:rFonts w:ascii="Times New Roman" w:hAnsi="Times New Roman" w:cs="Times New Roman"/>
          <w:sz w:val="24"/>
          <w:szCs w:val="24"/>
        </w:rPr>
        <w:t xml:space="preserve"> intentions, which in turn affect actual </w:t>
      </w:r>
      <w:proofErr w:type="spellStart"/>
      <w:proofErr w:type="gramStart"/>
      <w:r w:rsidRPr="007C7099">
        <w:rPr>
          <w:rFonts w:ascii="Times New Roman" w:hAnsi="Times New Roman" w:cs="Times New Roman"/>
          <w:sz w:val="24"/>
          <w:szCs w:val="24"/>
        </w:rPr>
        <w:t>behavior</w:t>
      </w:r>
      <w:proofErr w:type="spellEnd"/>
      <w:r w:rsidRPr="007C7099">
        <w:rPr>
          <w:rFonts w:ascii="Times New Roman" w:hAnsi="Times New Roman" w:cs="Times New Roman"/>
          <w:sz w:val="24"/>
          <w:szCs w:val="24"/>
        </w:rPr>
        <w:t xml:space="preserve"> .</w:t>
      </w:r>
      <w:proofErr w:type="gramEnd"/>
      <w:r w:rsidRPr="007C7099">
        <w:rPr>
          <w:rFonts w:ascii="Times New Roman" w:hAnsi="Times New Roman" w:cs="Times New Roman"/>
          <w:sz w:val="24"/>
          <w:szCs w:val="24"/>
        </w:rPr>
        <w:t xml:space="preserve"> In the context of solar energy adoption, these frameworks highlight the importance of addressing consumer perceptions and external factors to encourage widespread adoption.</w:t>
      </w:r>
      <w:hyperlink r:id="rId10" w:tgtFrame="_blank" w:history="1">
        <w:r w:rsidRPr="007C7099">
          <w:rPr>
            <w:rStyle w:val="Hyperlink"/>
            <w:rFonts w:ascii="Times New Roman" w:hAnsi="Times New Roman" w:cs="Times New Roman"/>
            <w:sz w:val="24"/>
            <w:szCs w:val="24"/>
          </w:rPr>
          <w:t>mdpi.com</w:t>
        </w:r>
      </w:hyperlink>
    </w:p>
    <w:p w14:paraId="5D32C3F0"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2.4 Peer Influence and Social Networks</w:t>
      </w:r>
    </w:p>
    <w:p w14:paraId="7F93AF11"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Peer influence significantly impacts the adoption of solar energy systems. Studies indicate that the number of peer adopters in a decision-maker's social circle positively affects the decision to adopt photovoltaic systems. Perceived attributes of peers, such as competence and trustworthiness, enhance the strength of this </w:t>
      </w:r>
      <w:proofErr w:type="gramStart"/>
      <w:r w:rsidRPr="007C7099">
        <w:rPr>
          <w:rFonts w:ascii="Times New Roman" w:hAnsi="Times New Roman" w:cs="Times New Roman"/>
          <w:sz w:val="24"/>
          <w:szCs w:val="24"/>
        </w:rPr>
        <w:t>influence .</w:t>
      </w:r>
      <w:proofErr w:type="gramEnd"/>
      <w:r w:rsidRPr="007C7099">
        <w:rPr>
          <w:rFonts w:ascii="Times New Roman" w:hAnsi="Times New Roman" w:cs="Times New Roman"/>
          <w:sz w:val="24"/>
          <w:szCs w:val="24"/>
        </w:rPr>
        <w:t xml:space="preserve"> This underscores the importance of leveraging social networks and community engagement to promote solar energy adoption.</w:t>
      </w:r>
      <w:hyperlink r:id="rId11" w:tgtFrame="_blank" w:history="1">
        <w:r w:rsidRPr="007C7099">
          <w:rPr>
            <w:rStyle w:val="Hyperlink"/>
            <w:rFonts w:ascii="Times New Roman" w:hAnsi="Times New Roman" w:cs="Times New Roman"/>
            <w:sz w:val="24"/>
            <w:szCs w:val="24"/>
          </w:rPr>
          <w:t>mdpi.com+2arxiv.org+2erl.scholasticahq.com+2</w:t>
        </w:r>
      </w:hyperlink>
    </w:p>
    <w:p w14:paraId="5FB01A0E"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2.5 Brand Strategies and Marketing</w:t>
      </w:r>
    </w:p>
    <w:p w14:paraId="01E48719"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Effective branding and marketing strategies are essential for enhancing the brand image of solar energy systems. Green marketing strategies, including green promotions, distribution, and pricing, have a significant positive effect on brand awareness and consumer </w:t>
      </w:r>
      <w:proofErr w:type="gramStart"/>
      <w:r w:rsidRPr="007C7099">
        <w:rPr>
          <w:rFonts w:ascii="Times New Roman" w:hAnsi="Times New Roman" w:cs="Times New Roman"/>
          <w:sz w:val="24"/>
          <w:szCs w:val="24"/>
        </w:rPr>
        <w:t>perceptions .</w:t>
      </w:r>
      <w:proofErr w:type="gramEnd"/>
      <w:r w:rsidRPr="007C7099">
        <w:rPr>
          <w:rFonts w:ascii="Times New Roman" w:hAnsi="Times New Roman" w:cs="Times New Roman"/>
          <w:sz w:val="24"/>
          <w:szCs w:val="24"/>
        </w:rPr>
        <w:t xml:space="preserve"> Additionally, embracing solar energy can boost a brand's perception by demonstrating a commitment to environmental responsibility and community well-being .</w:t>
      </w:r>
      <w:hyperlink r:id="rId12" w:tgtFrame="_blank" w:history="1">
        <w:r w:rsidRPr="007C7099">
          <w:rPr>
            <w:rStyle w:val="Hyperlink"/>
            <w:rFonts w:ascii="Times New Roman" w:hAnsi="Times New Roman" w:cs="Times New Roman"/>
            <w:sz w:val="24"/>
            <w:szCs w:val="24"/>
          </w:rPr>
          <w:t>arxiv.org</w:t>
        </w:r>
      </w:hyperlink>
      <w:hyperlink r:id="rId13" w:tgtFrame="_blank" w:history="1">
        <w:r w:rsidRPr="007C7099">
          <w:rPr>
            <w:rStyle w:val="Hyperlink"/>
            <w:rFonts w:ascii="Times New Roman" w:hAnsi="Times New Roman" w:cs="Times New Roman"/>
            <w:sz w:val="24"/>
            <w:szCs w:val="24"/>
          </w:rPr>
          <w:t>unionenergy.com.sg</w:t>
        </w:r>
      </w:hyperlink>
    </w:p>
    <w:p w14:paraId="65820AF0" w14:textId="66FDB1AF" w:rsidR="007C7099" w:rsidRDefault="007C7099" w:rsidP="00C4415B">
      <w:pPr>
        <w:spacing w:line="360" w:lineRule="auto"/>
        <w:jc w:val="both"/>
        <w:rPr>
          <w:rFonts w:ascii="Times New Roman" w:hAnsi="Times New Roman" w:cs="Times New Roman"/>
          <w:sz w:val="24"/>
          <w:szCs w:val="24"/>
        </w:rPr>
      </w:pPr>
    </w:p>
    <w:p w14:paraId="0167415C" w14:textId="77777777" w:rsidR="007C7099" w:rsidRDefault="007C7099" w:rsidP="00C4415B">
      <w:pPr>
        <w:spacing w:line="360" w:lineRule="auto"/>
        <w:jc w:val="both"/>
        <w:rPr>
          <w:rFonts w:ascii="Times New Roman" w:hAnsi="Times New Roman" w:cs="Times New Roman"/>
          <w:sz w:val="24"/>
          <w:szCs w:val="24"/>
        </w:rPr>
      </w:pPr>
    </w:p>
    <w:p w14:paraId="34F50D5C" w14:textId="77777777" w:rsidR="007C7099" w:rsidRDefault="007C7099" w:rsidP="00C4415B">
      <w:pPr>
        <w:spacing w:line="360" w:lineRule="auto"/>
        <w:jc w:val="both"/>
        <w:rPr>
          <w:rFonts w:ascii="Times New Roman" w:hAnsi="Times New Roman" w:cs="Times New Roman"/>
          <w:sz w:val="24"/>
          <w:szCs w:val="24"/>
        </w:rPr>
      </w:pPr>
    </w:p>
    <w:p w14:paraId="19275153" w14:textId="77777777" w:rsidR="007C7099" w:rsidRDefault="007C7099" w:rsidP="00C4415B">
      <w:pPr>
        <w:spacing w:line="360" w:lineRule="auto"/>
        <w:jc w:val="both"/>
        <w:rPr>
          <w:rFonts w:ascii="Times New Roman" w:hAnsi="Times New Roman" w:cs="Times New Roman"/>
          <w:sz w:val="24"/>
          <w:szCs w:val="24"/>
        </w:rPr>
      </w:pPr>
    </w:p>
    <w:p w14:paraId="684BD24F" w14:textId="77777777" w:rsidR="007C7099" w:rsidRDefault="007C7099" w:rsidP="00C4415B">
      <w:pPr>
        <w:spacing w:line="360" w:lineRule="auto"/>
        <w:jc w:val="both"/>
        <w:rPr>
          <w:rFonts w:ascii="Times New Roman" w:hAnsi="Times New Roman" w:cs="Times New Roman"/>
          <w:sz w:val="24"/>
          <w:szCs w:val="24"/>
        </w:rPr>
      </w:pPr>
    </w:p>
    <w:p w14:paraId="2A2FC1C5" w14:textId="77777777" w:rsidR="007C7099" w:rsidRDefault="007C7099" w:rsidP="00C4415B">
      <w:pPr>
        <w:spacing w:line="360" w:lineRule="auto"/>
        <w:jc w:val="both"/>
        <w:rPr>
          <w:rFonts w:ascii="Times New Roman" w:hAnsi="Times New Roman" w:cs="Times New Roman"/>
          <w:sz w:val="24"/>
          <w:szCs w:val="24"/>
        </w:rPr>
      </w:pPr>
    </w:p>
    <w:p w14:paraId="21ADC971" w14:textId="77777777" w:rsidR="007C7099" w:rsidRDefault="007C7099" w:rsidP="00C4415B">
      <w:pPr>
        <w:spacing w:line="360" w:lineRule="auto"/>
        <w:jc w:val="both"/>
        <w:rPr>
          <w:rFonts w:ascii="Times New Roman" w:hAnsi="Times New Roman" w:cs="Times New Roman"/>
          <w:sz w:val="24"/>
          <w:szCs w:val="24"/>
        </w:rPr>
      </w:pPr>
    </w:p>
    <w:p w14:paraId="1238A72A" w14:textId="77777777" w:rsidR="007C7099" w:rsidRDefault="007C7099" w:rsidP="00C4415B">
      <w:pPr>
        <w:spacing w:line="360" w:lineRule="auto"/>
        <w:jc w:val="both"/>
        <w:rPr>
          <w:rFonts w:ascii="Times New Roman" w:hAnsi="Times New Roman" w:cs="Times New Roman"/>
          <w:sz w:val="24"/>
          <w:szCs w:val="24"/>
        </w:rPr>
      </w:pPr>
    </w:p>
    <w:p w14:paraId="7EE81330" w14:textId="77777777" w:rsidR="007C7099" w:rsidRDefault="007C7099" w:rsidP="00C4415B">
      <w:pPr>
        <w:spacing w:line="360" w:lineRule="auto"/>
        <w:jc w:val="both"/>
        <w:rPr>
          <w:rFonts w:ascii="Times New Roman" w:hAnsi="Times New Roman" w:cs="Times New Roman"/>
          <w:sz w:val="24"/>
          <w:szCs w:val="24"/>
        </w:rPr>
      </w:pPr>
    </w:p>
    <w:p w14:paraId="1752A516" w14:textId="77777777" w:rsidR="007C7099" w:rsidRDefault="007C7099" w:rsidP="00C4415B">
      <w:pPr>
        <w:spacing w:line="360" w:lineRule="auto"/>
        <w:jc w:val="both"/>
        <w:rPr>
          <w:rFonts w:ascii="Times New Roman" w:hAnsi="Times New Roman" w:cs="Times New Roman"/>
          <w:sz w:val="24"/>
          <w:szCs w:val="24"/>
        </w:rPr>
      </w:pPr>
    </w:p>
    <w:p w14:paraId="42067487" w14:textId="77777777" w:rsidR="007C7099" w:rsidRDefault="007C7099" w:rsidP="00C4415B">
      <w:pPr>
        <w:spacing w:line="360" w:lineRule="auto"/>
        <w:jc w:val="both"/>
        <w:rPr>
          <w:rFonts w:ascii="Times New Roman" w:hAnsi="Times New Roman" w:cs="Times New Roman"/>
          <w:sz w:val="24"/>
          <w:szCs w:val="24"/>
        </w:rPr>
      </w:pPr>
    </w:p>
    <w:p w14:paraId="0687749F" w14:textId="77777777" w:rsidR="007C7099" w:rsidRPr="0078607C" w:rsidRDefault="007C7099" w:rsidP="007C7099">
      <w:pPr>
        <w:spacing w:line="360" w:lineRule="auto"/>
        <w:jc w:val="center"/>
        <w:rPr>
          <w:rFonts w:ascii="Times New Roman" w:hAnsi="Times New Roman" w:cs="Times New Roman"/>
          <w:b/>
          <w:bCs/>
          <w:sz w:val="24"/>
          <w:szCs w:val="24"/>
          <w:lang w:val="en-US"/>
        </w:rPr>
      </w:pPr>
      <w:bookmarkStart w:id="10" w:name="_Hlk200876704"/>
      <w:r w:rsidRPr="0078607C">
        <w:rPr>
          <w:rFonts w:ascii="Times New Roman" w:hAnsi="Times New Roman" w:cs="Times New Roman"/>
          <w:b/>
          <w:bCs/>
          <w:sz w:val="24"/>
          <w:szCs w:val="24"/>
          <w:lang w:val="en-US"/>
        </w:rPr>
        <w:lastRenderedPageBreak/>
        <w:t>CHAPTER – III</w:t>
      </w:r>
    </w:p>
    <w:p w14:paraId="1591B608" w14:textId="77777777" w:rsidR="007C7099" w:rsidRPr="0078607C" w:rsidRDefault="007C7099" w:rsidP="007C709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3645329C"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This chapter outlines the research methodology employed to investigate the brand image of solar energy systems and its influence on consumer perceptions and adoption in Puducherry, India. The study adopts a mixed-methods approach, integrating both qualitative and quantitative techniques to provide a comprehensive understanding of the subject matter.</w:t>
      </w:r>
    </w:p>
    <w:p w14:paraId="5463B27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3.1 Research Design</w:t>
      </w:r>
    </w:p>
    <w:p w14:paraId="0FC20740"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The research employs a descriptive research design, aiming to describe the characteristics of the target population and the phenomena under study. This design is suitable for capturing the current state of consumer perceptions and brand image related to solar energy systems in Puducherry.</w:t>
      </w:r>
    </w:p>
    <w:p w14:paraId="1B411568"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3.2 Research Philosophy</w:t>
      </w:r>
    </w:p>
    <w:p w14:paraId="2ADEEB88"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The study adopts an interpretivist research philosophy, which emphasizes understanding the meaning and experiences of individuals. This approach is appropriate for exploring the subjective perceptions and attitudes of consumers towards solar energy brands.</w:t>
      </w:r>
      <w:hyperlink r:id="rId14" w:tgtFrame="_blank" w:history="1">
        <w:r w:rsidRPr="007C7099">
          <w:rPr>
            <w:rStyle w:val="Hyperlink"/>
            <w:rFonts w:ascii="Times New Roman" w:hAnsi="Times New Roman" w:cs="Times New Roman"/>
            <w:sz w:val="24"/>
            <w:szCs w:val="24"/>
          </w:rPr>
          <w:t>desklib.com+1academia.edu+1</w:t>
        </w:r>
      </w:hyperlink>
    </w:p>
    <w:p w14:paraId="75B83CD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3.3 Research Approach</w:t>
      </w:r>
    </w:p>
    <w:p w14:paraId="3802B256"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 xml:space="preserve">An inductive research approach is utilized, wherein data is collected and </w:t>
      </w:r>
      <w:proofErr w:type="spellStart"/>
      <w:r w:rsidRPr="007C7099">
        <w:rPr>
          <w:rFonts w:ascii="Times New Roman" w:hAnsi="Times New Roman" w:cs="Times New Roman"/>
          <w:sz w:val="24"/>
          <w:szCs w:val="24"/>
        </w:rPr>
        <w:t>analyzed</w:t>
      </w:r>
      <w:proofErr w:type="spellEnd"/>
      <w:r w:rsidRPr="007C7099">
        <w:rPr>
          <w:rFonts w:ascii="Times New Roman" w:hAnsi="Times New Roman" w:cs="Times New Roman"/>
          <w:sz w:val="24"/>
          <w:szCs w:val="24"/>
        </w:rPr>
        <w:t xml:space="preserve"> to develop theories and patterns. This approach allows for the generation of insights and hypotheses about the factors influencing brand image and consumer adoption of solar energy systems.</w:t>
      </w:r>
    </w:p>
    <w:p w14:paraId="0B6C9D64"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3.4 Data Collection Methods</w:t>
      </w:r>
    </w:p>
    <w:p w14:paraId="60DEB53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3.4.1 Primary Data</w:t>
      </w:r>
    </w:p>
    <w:p w14:paraId="5ADA8EB7" w14:textId="77777777" w:rsidR="007C7099" w:rsidRPr="007C7099" w:rsidRDefault="007C7099" w:rsidP="007C7099">
      <w:pPr>
        <w:numPr>
          <w:ilvl w:val="0"/>
          <w:numId w:val="5"/>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Surveys</w:t>
      </w:r>
      <w:r w:rsidRPr="007C7099">
        <w:rPr>
          <w:rFonts w:ascii="Times New Roman" w:hAnsi="Times New Roman" w:cs="Times New Roman"/>
          <w:sz w:val="24"/>
          <w:szCs w:val="24"/>
        </w:rPr>
        <w:t xml:space="preserve">: Structured questionnaires are administered to a sample of consumers in Puducherry to gather quantitative data on their perceptions, attitudes, and </w:t>
      </w:r>
      <w:proofErr w:type="spellStart"/>
      <w:r w:rsidRPr="007C7099">
        <w:rPr>
          <w:rFonts w:ascii="Times New Roman" w:hAnsi="Times New Roman" w:cs="Times New Roman"/>
          <w:sz w:val="24"/>
          <w:szCs w:val="24"/>
        </w:rPr>
        <w:t>behaviors</w:t>
      </w:r>
      <w:proofErr w:type="spellEnd"/>
      <w:r w:rsidRPr="007C7099">
        <w:rPr>
          <w:rFonts w:ascii="Times New Roman" w:hAnsi="Times New Roman" w:cs="Times New Roman"/>
          <w:sz w:val="24"/>
          <w:szCs w:val="24"/>
        </w:rPr>
        <w:t xml:space="preserve"> related to solar energy systems.</w:t>
      </w:r>
    </w:p>
    <w:p w14:paraId="0DA1E1DE" w14:textId="77777777" w:rsidR="007C7099" w:rsidRPr="007C7099" w:rsidRDefault="007C7099" w:rsidP="007C7099">
      <w:pPr>
        <w:numPr>
          <w:ilvl w:val="0"/>
          <w:numId w:val="5"/>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Interviews</w:t>
      </w:r>
      <w:r w:rsidRPr="007C7099">
        <w:rPr>
          <w:rFonts w:ascii="Times New Roman" w:hAnsi="Times New Roman" w:cs="Times New Roman"/>
          <w:sz w:val="24"/>
          <w:szCs w:val="24"/>
        </w:rPr>
        <w:t>: Semi-structured interviews are conducted with key stakeholders, including solar energy providers, industry experts, and policymakers, to obtain qualitative insights into the factors shaping brand image and adoption.</w:t>
      </w:r>
    </w:p>
    <w:p w14:paraId="1662BDE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3.4.2 Secondary Data</w:t>
      </w:r>
    </w:p>
    <w:p w14:paraId="651BAF2A"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lastRenderedPageBreak/>
        <w:t>Existing literature, industry reports, and government publications are reviewed to contextualize the findings and identify trends and patterns in the solar energy sector.</w:t>
      </w:r>
    </w:p>
    <w:p w14:paraId="2EDC6CF3"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3.5 Population and Sampling</w:t>
      </w:r>
    </w:p>
    <w:p w14:paraId="594C7C12"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The target population comprises consumers in Puducherry who are potential or current users of solar energy systems. A stratified random sampling technique is employed to ensure representation across different demographic groups, including age, income, education, and occupation. The sample size is determined using Cochran's formula for sample size calculation to achieve a 95% confidence level and a 5% margin of error.</w:t>
      </w:r>
    </w:p>
    <w:p w14:paraId="5702F45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3.6 Data Analysis Techniques</w:t>
      </w:r>
    </w:p>
    <w:p w14:paraId="2764413D" w14:textId="77777777" w:rsidR="007C7099" w:rsidRPr="007C7099" w:rsidRDefault="007C7099" w:rsidP="007C7099">
      <w:pPr>
        <w:numPr>
          <w:ilvl w:val="0"/>
          <w:numId w:val="6"/>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Quantitative Analysis</w:t>
      </w:r>
      <w:r w:rsidRPr="007C7099">
        <w:rPr>
          <w:rFonts w:ascii="Times New Roman" w:hAnsi="Times New Roman" w:cs="Times New Roman"/>
          <w:sz w:val="24"/>
          <w:szCs w:val="24"/>
        </w:rPr>
        <w:t xml:space="preserve">: Statistical techniques, such as descriptive statistics, correlation analysis, and regression analysis, are applied to </w:t>
      </w:r>
      <w:proofErr w:type="spellStart"/>
      <w:r w:rsidRPr="007C7099">
        <w:rPr>
          <w:rFonts w:ascii="Times New Roman" w:hAnsi="Times New Roman" w:cs="Times New Roman"/>
          <w:sz w:val="24"/>
          <w:szCs w:val="24"/>
        </w:rPr>
        <w:t>analyze</w:t>
      </w:r>
      <w:proofErr w:type="spellEnd"/>
      <w:r w:rsidRPr="007C7099">
        <w:rPr>
          <w:rFonts w:ascii="Times New Roman" w:hAnsi="Times New Roman" w:cs="Times New Roman"/>
          <w:sz w:val="24"/>
          <w:szCs w:val="24"/>
        </w:rPr>
        <w:t xml:space="preserve"> survey data and identify relationships between variables.</w:t>
      </w:r>
    </w:p>
    <w:p w14:paraId="4C278B44" w14:textId="77777777" w:rsidR="007C7099" w:rsidRPr="007C7099" w:rsidRDefault="007C7099" w:rsidP="007C7099">
      <w:pPr>
        <w:numPr>
          <w:ilvl w:val="0"/>
          <w:numId w:val="6"/>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Qualitative Analysis</w:t>
      </w:r>
      <w:r w:rsidRPr="007C7099">
        <w:rPr>
          <w:rFonts w:ascii="Times New Roman" w:hAnsi="Times New Roman" w:cs="Times New Roman"/>
          <w:sz w:val="24"/>
          <w:szCs w:val="24"/>
        </w:rPr>
        <w:t xml:space="preserve">: Thematic analysis is used to </w:t>
      </w:r>
      <w:proofErr w:type="spellStart"/>
      <w:r w:rsidRPr="007C7099">
        <w:rPr>
          <w:rFonts w:ascii="Times New Roman" w:hAnsi="Times New Roman" w:cs="Times New Roman"/>
          <w:sz w:val="24"/>
          <w:szCs w:val="24"/>
        </w:rPr>
        <w:t>analyze</w:t>
      </w:r>
      <w:proofErr w:type="spellEnd"/>
      <w:r w:rsidRPr="007C7099">
        <w:rPr>
          <w:rFonts w:ascii="Times New Roman" w:hAnsi="Times New Roman" w:cs="Times New Roman"/>
          <w:sz w:val="24"/>
          <w:szCs w:val="24"/>
        </w:rPr>
        <w:t xml:space="preserve"> interview transcripts and identify recurring themes and patterns related to brand image and consumer perceptions.</w:t>
      </w:r>
    </w:p>
    <w:p w14:paraId="24167BD5" w14:textId="77777777" w:rsidR="007C7099" w:rsidRPr="007C7099" w:rsidRDefault="007C7099" w:rsidP="007C7099">
      <w:pPr>
        <w:numPr>
          <w:ilvl w:val="0"/>
          <w:numId w:val="6"/>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 xml:space="preserve">Structural Equation </w:t>
      </w:r>
      <w:proofErr w:type="spellStart"/>
      <w:r w:rsidRPr="007C7099">
        <w:rPr>
          <w:rFonts w:ascii="Times New Roman" w:hAnsi="Times New Roman" w:cs="Times New Roman"/>
          <w:b/>
          <w:bCs/>
          <w:sz w:val="24"/>
          <w:szCs w:val="24"/>
        </w:rPr>
        <w:t>Modeling</w:t>
      </w:r>
      <w:proofErr w:type="spellEnd"/>
      <w:r w:rsidRPr="007C7099">
        <w:rPr>
          <w:rFonts w:ascii="Times New Roman" w:hAnsi="Times New Roman" w:cs="Times New Roman"/>
          <w:b/>
          <w:bCs/>
          <w:sz w:val="24"/>
          <w:szCs w:val="24"/>
        </w:rPr>
        <w:t xml:space="preserve"> (SEM)</w:t>
      </w:r>
      <w:r w:rsidRPr="007C7099">
        <w:rPr>
          <w:rFonts w:ascii="Times New Roman" w:hAnsi="Times New Roman" w:cs="Times New Roman"/>
          <w:sz w:val="24"/>
          <w:szCs w:val="24"/>
        </w:rPr>
        <w:t>: SEM is employed to test the hypothesized relationships between variables and assess the overall fit of the proposed model. This technique is particularly useful for examining complex relationships and interactions among multiple variables.</w:t>
      </w:r>
    </w:p>
    <w:p w14:paraId="50717805" w14:textId="77777777" w:rsidR="007C7099" w:rsidRPr="007C7099" w:rsidRDefault="007C7099" w:rsidP="007C7099">
      <w:pPr>
        <w:spacing w:line="360" w:lineRule="auto"/>
        <w:jc w:val="both"/>
        <w:rPr>
          <w:rFonts w:ascii="Times New Roman" w:hAnsi="Times New Roman" w:cs="Times New Roman"/>
          <w:b/>
          <w:bCs/>
          <w:sz w:val="24"/>
          <w:szCs w:val="24"/>
        </w:rPr>
      </w:pPr>
      <w:r w:rsidRPr="007C7099">
        <w:rPr>
          <w:rFonts w:ascii="Times New Roman" w:hAnsi="Times New Roman" w:cs="Times New Roman"/>
          <w:b/>
          <w:bCs/>
          <w:sz w:val="24"/>
          <w:szCs w:val="24"/>
        </w:rPr>
        <w:t>3.7 Validity and Reliability</w:t>
      </w:r>
    </w:p>
    <w:p w14:paraId="2C162E36" w14:textId="77777777" w:rsidR="007C7099" w:rsidRPr="007C7099" w:rsidRDefault="007C7099" w:rsidP="007C7099">
      <w:pPr>
        <w:spacing w:line="360" w:lineRule="auto"/>
        <w:jc w:val="both"/>
        <w:rPr>
          <w:rFonts w:ascii="Times New Roman" w:hAnsi="Times New Roman" w:cs="Times New Roman"/>
          <w:sz w:val="24"/>
          <w:szCs w:val="24"/>
        </w:rPr>
      </w:pPr>
      <w:r w:rsidRPr="007C7099">
        <w:rPr>
          <w:rFonts w:ascii="Times New Roman" w:hAnsi="Times New Roman" w:cs="Times New Roman"/>
          <w:sz w:val="24"/>
          <w:szCs w:val="24"/>
        </w:rPr>
        <w:t>To ensure the validity and reliability of the research instruments:</w:t>
      </w:r>
    </w:p>
    <w:p w14:paraId="69F791A6" w14:textId="77777777" w:rsidR="007C7099" w:rsidRPr="007C7099" w:rsidRDefault="007C7099" w:rsidP="007C7099">
      <w:pPr>
        <w:numPr>
          <w:ilvl w:val="0"/>
          <w:numId w:val="7"/>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Pre-testing</w:t>
      </w:r>
      <w:r w:rsidRPr="007C7099">
        <w:rPr>
          <w:rFonts w:ascii="Times New Roman" w:hAnsi="Times New Roman" w:cs="Times New Roman"/>
          <w:sz w:val="24"/>
          <w:szCs w:val="24"/>
        </w:rPr>
        <w:t>: The survey questionnaire and interview guide are pre-tested with a small sample to identify and rectify any ambiguities or issues.</w:t>
      </w:r>
    </w:p>
    <w:p w14:paraId="599B8ACF" w14:textId="77777777" w:rsidR="007C7099" w:rsidRPr="007C7099" w:rsidRDefault="007C7099" w:rsidP="007C7099">
      <w:pPr>
        <w:numPr>
          <w:ilvl w:val="0"/>
          <w:numId w:val="7"/>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Expert Review</w:t>
      </w:r>
      <w:r w:rsidRPr="007C7099">
        <w:rPr>
          <w:rFonts w:ascii="Times New Roman" w:hAnsi="Times New Roman" w:cs="Times New Roman"/>
          <w:sz w:val="24"/>
          <w:szCs w:val="24"/>
        </w:rPr>
        <w:t>: The instruments are reviewed by subject matter experts to ensure content validity.</w:t>
      </w:r>
    </w:p>
    <w:p w14:paraId="3F290A8E" w14:textId="77777777" w:rsidR="007C7099" w:rsidRPr="007C7099" w:rsidRDefault="007C7099" w:rsidP="007C7099">
      <w:pPr>
        <w:numPr>
          <w:ilvl w:val="0"/>
          <w:numId w:val="7"/>
        </w:numPr>
        <w:spacing w:line="360" w:lineRule="auto"/>
        <w:jc w:val="both"/>
        <w:rPr>
          <w:rFonts w:ascii="Times New Roman" w:hAnsi="Times New Roman" w:cs="Times New Roman"/>
          <w:sz w:val="24"/>
          <w:szCs w:val="24"/>
        </w:rPr>
      </w:pPr>
      <w:r w:rsidRPr="007C7099">
        <w:rPr>
          <w:rFonts w:ascii="Times New Roman" w:hAnsi="Times New Roman" w:cs="Times New Roman"/>
          <w:b/>
          <w:bCs/>
          <w:sz w:val="24"/>
          <w:szCs w:val="24"/>
        </w:rPr>
        <w:t>Reliability Testing</w:t>
      </w:r>
      <w:r w:rsidRPr="007C7099">
        <w:rPr>
          <w:rFonts w:ascii="Times New Roman" w:hAnsi="Times New Roman" w:cs="Times New Roman"/>
          <w:sz w:val="24"/>
          <w:szCs w:val="24"/>
        </w:rPr>
        <w:t>: Cronbach's alpha coefficient is calculated to assess the internal consistency of the survey items.</w:t>
      </w:r>
    </w:p>
    <w:p w14:paraId="06BD5DD2" w14:textId="77777777" w:rsidR="007C7099" w:rsidRDefault="007C7099" w:rsidP="00C4415B">
      <w:pPr>
        <w:spacing w:line="360" w:lineRule="auto"/>
        <w:jc w:val="both"/>
        <w:rPr>
          <w:rFonts w:ascii="Times New Roman" w:hAnsi="Times New Roman" w:cs="Times New Roman"/>
          <w:b/>
          <w:bCs/>
          <w:sz w:val="24"/>
          <w:szCs w:val="24"/>
        </w:rPr>
      </w:pPr>
    </w:p>
    <w:p w14:paraId="3E226FCB" w14:textId="77777777" w:rsidR="007C7099" w:rsidRDefault="007C7099" w:rsidP="00C4415B">
      <w:pPr>
        <w:spacing w:line="360" w:lineRule="auto"/>
        <w:jc w:val="both"/>
        <w:rPr>
          <w:rFonts w:ascii="Times New Roman" w:hAnsi="Times New Roman" w:cs="Times New Roman"/>
          <w:b/>
          <w:bCs/>
          <w:sz w:val="24"/>
          <w:szCs w:val="24"/>
        </w:rPr>
      </w:pPr>
    </w:p>
    <w:p w14:paraId="0D575307" w14:textId="77777777" w:rsidR="007C7099" w:rsidRPr="0078607C" w:rsidRDefault="007C7099" w:rsidP="007C7099">
      <w:pPr>
        <w:spacing w:line="360" w:lineRule="auto"/>
        <w:jc w:val="center"/>
        <w:rPr>
          <w:rFonts w:ascii="Times New Roman" w:hAnsi="Times New Roman" w:cs="Times New Roman"/>
          <w:sz w:val="24"/>
          <w:szCs w:val="24"/>
        </w:rPr>
      </w:pPr>
      <w:bookmarkStart w:id="11" w:name="_Hlk200881675"/>
      <w:r w:rsidRPr="0078607C">
        <w:rPr>
          <w:rFonts w:ascii="Times New Roman" w:hAnsi="Times New Roman" w:cs="Times New Roman"/>
          <w:b/>
          <w:sz w:val="24"/>
          <w:szCs w:val="24"/>
          <w:lang w:val="en-US"/>
        </w:rPr>
        <w:lastRenderedPageBreak/>
        <w:t>CHAPTER – IV</w:t>
      </w:r>
    </w:p>
    <w:p w14:paraId="6A18EE36" w14:textId="77777777" w:rsidR="007C7099" w:rsidRDefault="007C7099" w:rsidP="007C709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9777012" w14:textId="77777777" w:rsidR="007C7099" w:rsidRPr="004D7E4B" w:rsidRDefault="007C7099" w:rsidP="007C709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C7099" w:rsidRPr="004D7E4B" w14:paraId="50D097A7"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5613564D"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EE2BA2A"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B0CB035"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C7099" w:rsidRPr="004D7E4B" w14:paraId="05D5C7C3" w14:textId="77777777" w:rsidTr="00BC67FF">
        <w:trPr>
          <w:trHeight w:val="506"/>
        </w:trPr>
        <w:tc>
          <w:tcPr>
            <w:tcW w:w="3077" w:type="dxa"/>
            <w:tcBorders>
              <w:top w:val="single" w:sz="4" w:space="0" w:color="auto"/>
              <w:left w:val="single" w:sz="4" w:space="0" w:color="auto"/>
              <w:bottom w:val="single" w:sz="4" w:space="0" w:color="auto"/>
              <w:right w:val="single" w:sz="4" w:space="0" w:color="auto"/>
            </w:tcBorders>
            <w:hideMark/>
          </w:tcPr>
          <w:p w14:paraId="6D56B68F"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2A6846F" w14:textId="66552E79"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39337329" w14:textId="08C0EA8B"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7C7099" w:rsidRPr="004D7E4B" w14:paraId="4EE01825"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755D2B79"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259C489" w14:textId="712230E1"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55</w:t>
            </w:r>
          </w:p>
        </w:tc>
        <w:tc>
          <w:tcPr>
            <w:tcW w:w="3185" w:type="dxa"/>
            <w:tcBorders>
              <w:top w:val="single" w:sz="4" w:space="0" w:color="auto"/>
              <w:left w:val="single" w:sz="4" w:space="0" w:color="auto"/>
              <w:bottom w:val="single" w:sz="4" w:space="0" w:color="auto"/>
              <w:right w:val="single" w:sz="4" w:space="0" w:color="auto"/>
            </w:tcBorders>
            <w:hideMark/>
          </w:tcPr>
          <w:p w14:paraId="18D56DC0" w14:textId="7CE9319E"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36.7</w:t>
            </w:r>
            <w:r w:rsidRPr="004D7E4B">
              <w:rPr>
                <w:rFonts w:ascii="Times New Roman" w:hAnsi="Times New Roman" w:cs="Times New Roman"/>
                <w:b/>
                <w:sz w:val="24"/>
                <w:szCs w:val="24"/>
                <w:lang w:val="en-US"/>
              </w:rPr>
              <w:t>%</w:t>
            </w:r>
          </w:p>
        </w:tc>
      </w:tr>
      <w:tr w:rsidR="007C7099" w:rsidRPr="004D7E4B" w14:paraId="0C7AFC47"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060B2287" w14:textId="77777777" w:rsidR="007C7099" w:rsidRPr="00E0601D" w:rsidRDefault="007C7099" w:rsidP="00BC67FF">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74385BC6" w14:textId="1CF0A409" w:rsidR="007C7099"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tcPr>
          <w:p w14:paraId="3125A6C1" w14:textId="5FC8E034" w:rsidR="007C7099"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20.0</w:t>
            </w:r>
            <w:r>
              <w:rPr>
                <w:rFonts w:ascii="Times New Roman" w:hAnsi="Times New Roman" w:cs="Times New Roman"/>
                <w:b/>
                <w:sz w:val="24"/>
                <w:szCs w:val="24"/>
                <w:lang w:val="en-US"/>
              </w:rPr>
              <w:t>%</w:t>
            </w:r>
          </w:p>
        </w:tc>
      </w:tr>
      <w:tr w:rsidR="007C7099" w:rsidRPr="004D7E4B" w14:paraId="664AEB52"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tcPr>
          <w:p w14:paraId="6074479D" w14:textId="3C1E4918" w:rsidR="007C7099" w:rsidRPr="00D60577" w:rsidRDefault="007C7099" w:rsidP="00BC67FF">
            <w:pPr>
              <w:spacing w:line="360" w:lineRule="auto"/>
              <w:jc w:val="center"/>
              <w:rPr>
                <w:rFonts w:ascii="Times New Roman" w:hAnsi="Times New Roman" w:cs="Times New Roman"/>
                <w:b/>
                <w:sz w:val="24"/>
                <w:szCs w:val="24"/>
              </w:rPr>
            </w:pPr>
            <w:r w:rsidRPr="007C7099">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67EC3F5A" w14:textId="4E597FDD" w:rsidR="007C7099"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6D47606B" w14:textId="37242D3D" w:rsidR="007C7099"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r>
      <w:tr w:rsidR="007C7099" w:rsidRPr="004D7E4B" w14:paraId="7FCCEC4B" w14:textId="77777777" w:rsidTr="00BC67FF">
        <w:trPr>
          <w:trHeight w:val="496"/>
        </w:trPr>
        <w:tc>
          <w:tcPr>
            <w:tcW w:w="3077" w:type="dxa"/>
            <w:tcBorders>
              <w:top w:val="single" w:sz="4" w:space="0" w:color="auto"/>
              <w:left w:val="single" w:sz="4" w:space="0" w:color="auto"/>
              <w:bottom w:val="single" w:sz="4" w:space="0" w:color="auto"/>
              <w:right w:val="single" w:sz="4" w:space="0" w:color="auto"/>
            </w:tcBorders>
            <w:hideMark/>
          </w:tcPr>
          <w:p w14:paraId="652CF22D" w14:textId="734007B9" w:rsidR="007C7099" w:rsidRPr="004D7E4B" w:rsidRDefault="007C7099" w:rsidP="00BC67FF">
            <w:pPr>
              <w:spacing w:line="360" w:lineRule="auto"/>
              <w:jc w:val="center"/>
              <w:rPr>
                <w:rFonts w:ascii="Times New Roman" w:hAnsi="Times New Roman" w:cs="Times New Roman"/>
                <w:b/>
                <w:sz w:val="24"/>
                <w:szCs w:val="24"/>
                <w:lang w:val="en-US"/>
              </w:rPr>
            </w:pPr>
            <w:r w:rsidRPr="007C7099">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hideMark/>
          </w:tcPr>
          <w:p w14:paraId="0853A602" w14:textId="28A1A983"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0C143F4C" w14:textId="199EF088"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6.6</w:t>
            </w:r>
            <w:r w:rsidRPr="004D7E4B">
              <w:rPr>
                <w:rFonts w:ascii="Times New Roman" w:hAnsi="Times New Roman" w:cs="Times New Roman"/>
                <w:b/>
                <w:sz w:val="24"/>
                <w:szCs w:val="24"/>
                <w:lang w:val="en-US"/>
              </w:rPr>
              <w:t>%</w:t>
            </w:r>
          </w:p>
        </w:tc>
      </w:tr>
      <w:tr w:rsidR="007C7099" w:rsidRPr="004D7E4B" w14:paraId="66003C6A" w14:textId="77777777" w:rsidTr="00BC67FF">
        <w:trPr>
          <w:trHeight w:val="516"/>
        </w:trPr>
        <w:tc>
          <w:tcPr>
            <w:tcW w:w="3077" w:type="dxa"/>
            <w:tcBorders>
              <w:top w:val="single" w:sz="4" w:space="0" w:color="auto"/>
              <w:left w:val="single" w:sz="4" w:space="0" w:color="auto"/>
              <w:bottom w:val="single" w:sz="4" w:space="0" w:color="auto"/>
              <w:right w:val="single" w:sz="4" w:space="0" w:color="auto"/>
            </w:tcBorders>
            <w:hideMark/>
          </w:tcPr>
          <w:p w14:paraId="73920775"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4350A6A" w14:textId="4433DB4B" w:rsidR="007C7099" w:rsidRPr="004D7E4B" w:rsidRDefault="007C7099" w:rsidP="00BC67FF">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41DD688A" w14:textId="77777777" w:rsidR="007C7099" w:rsidRPr="004D7E4B" w:rsidRDefault="007C7099" w:rsidP="00BC67F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21A96E2" w14:textId="77777777" w:rsidR="007C7099" w:rsidRDefault="007C7099" w:rsidP="007C7099">
      <w:pPr>
        <w:spacing w:line="360" w:lineRule="auto"/>
        <w:jc w:val="both"/>
        <w:rPr>
          <w:rFonts w:ascii="Times New Roman" w:hAnsi="Times New Roman" w:cs="Times New Roman"/>
          <w:sz w:val="24"/>
          <w:szCs w:val="24"/>
        </w:rPr>
      </w:pPr>
    </w:p>
    <w:p w14:paraId="411B36EA" w14:textId="77777777" w:rsidR="007C7099" w:rsidRDefault="007C7099" w:rsidP="007C709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1"/>
    <w:p w14:paraId="1BB67481" w14:textId="77777777" w:rsidR="006F1981" w:rsidRDefault="006F1981"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 xml:space="preserve">The analysis of the age distribution of respondents shows that the largest group, 36.7%, belongs to the 26-35 years age bracket. This suggests that young adults are the primary consumers interested in solar system brands, likely because they are more environmentally conscious and financially stable enough to invest in renewable energy solutions. </w:t>
      </w:r>
    </w:p>
    <w:p w14:paraId="328A6CC3" w14:textId="77777777" w:rsidR="006F1981" w:rsidRDefault="006F1981"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 xml:space="preserve">The 18-25 years group accounts for 26.7%, indicating increasing awareness and interest among younger people who are often influenced by social trends and education about sustainability. However, their purchasing power may still be limited compared to older groups. Respondents aged 36-45 make up 20%, showing a moderate level of involvement, possibly balancing family responsibilities with investment in energy-saving technologies. </w:t>
      </w:r>
    </w:p>
    <w:p w14:paraId="7B15B5E4" w14:textId="77777777" w:rsidR="006F1981" w:rsidRDefault="006F1981"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 xml:space="preserve">The 46-55 years group represents 10%, while those above 55 years constitute 6.6%, indicating lower engagement which could be due to fixed incomes or less interest in adopting new technologies. These older groups might prefer traditional energy sources or be less aware of solar system benefits. </w:t>
      </w:r>
    </w:p>
    <w:p w14:paraId="6932C566" w14:textId="294A6472" w:rsidR="007C7099" w:rsidRDefault="006F1981" w:rsidP="00C441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6E1267C" w14:textId="77777777" w:rsidR="006F1981" w:rsidRDefault="006F1981" w:rsidP="00C4415B">
      <w:pPr>
        <w:spacing w:line="360" w:lineRule="auto"/>
        <w:jc w:val="both"/>
        <w:rPr>
          <w:rFonts w:ascii="Times New Roman" w:hAnsi="Times New Roman" w:cs="Times New Roman"/>
          <w:sz w:val="24"/>
          <w:szCs w:val="24"/>
        </w:rPr>
      </w:pPr>
    </w:p>
    <w:p w14:paraId="18F57FE9" w14:textId="77777777" w:rsidR="006F1981" w:rsidRPr="00967E78" w:rsidRDefault="006F1981" w:rsidP="006F1981">
      <w:pPr>
        <w:spacing w:line="360" w:lineRule="auto"/>
        <w:jc w:val="center"/>
        <w:rPr>
          <w:rFonts w:ascii="Times New Roman" w:hAnsi="Times New Roman" w:cs="Times New Roman"/>
          <w:b/>
          <w:bCs/>
          <w:sz w:val="24"/>
          <w:szCs w:val="24"/>
          <w:lang w:val="en-US"/>
        </w:rPr>
      </w:pPr>
      <w:bookmarkStart w:id="12" w:name="_Hlk200881860"/>
      <w:r w:rsidRPr="00967E78">
        <w:rPr>
          <w:rFonts w:ascii="Times New Roman" w:hAnsi="Times New Roman" w:cs="Times New Roman"/>
          <w:b/>
          <w:bCs/>
          <w:sz w:val="24"/>
          <w:szCs w:val="24"/>
          <w:lang w:val="en-US"/>
        </w:rPr>
        <w:lastRenderedPageBreak/>
        <w:t>TABLE – 4.2</w:t>
      </w:r>
    </w:p>
    <w:p w14:paraId="1D38C4A5" w14:textId="77777777" w:rsidR="006F1981" w:rsidRPr="004D7E4B" w:rsidRDefault="006F1981" w:rsidP="006F1981">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F1981" w:rsidRPr="004D7E4B" w14:paraId="2444FC5A"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25DCADDB" w14:textId="77777777" w:rsidR="006F1981" w:rsidRPr="004D7E4B" w:rsidRDefault="006F1981"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E068214" w14:textId="77777777" w:rsidR="006F1981" w:rsidRPr="004D7E4B" w:rsidRDefault="006F1981"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AB8F2BB" w14:textId="77777777" w:rsidR="006F1981" w:rsidRPr="004D7E4B" w:rsidRDefault="006F1981"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F1981" w:rsidRPr="004D7E4B" w14:paraId="161C31D4"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0591CB76" w14:textId="77777777" w:rsidR="006F1981" w:rsidRPr="004D7E4B" w:rsidRDefault="006F1981"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5371B46" w14:textId="37E91D7B" w:rsidR="006F1981" w:rsidRPr="004D7E4B" w:rsidRDefault="006F1981"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6E1E291D" w14:textId="745719AF" w:rsidR="006F1981" w:rsidRPr="004D7E4B" w:rsidRDefault="006F1981"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r w:rsidRPr="004D7E4B">
              <w:rPr>
                <w:rFonts w:ascii="Times New Roman" w:hAnsi="Times New Roman" w:cs="Times New Roman"/>
                <w:bCs/>
                <w:sz w:val="24"/>
                <w:szCs w:val="24"/>
                <w:lang w:val="en-US"/>
              </w:rPr>
              <w:t>%</w:t>
            </w:r>
          </w:p>
        </w:tc>
      </w:tr>
      <w:tr w:rsidR="006F1981" w:rsidRPr="004D7E4B" w14:paraId="3A73FD54"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52B041E5" w14:textId="77777777" w:rsidR="006F1981" w:rsidRPr="004D7E4B" w:rsidRDefault="006F1981" w:rsidP="00BC67FF">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EDCCAA7" w14:textId="618F6A21" w:rsidR="006F1981" w:rsidRPr="004D7E4B" w:rsidRDefault="006F1981"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0757480E" w14:textId="18DF74D4" w:rsidR="006F1981" w:rsidRPr="004D7E4B" w:rsidRDefault="006F1981" w:rsidP="00BC67F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Pr>
                <w:rFonts w:ascii="Times New Roman" w:hAnsi="Times New Roman" w:cs="Times New Roman"/>
                <w:bCs/>
                <w:sz w:val="24"/>
                <w:szCs w:val="24"/>
                <w:lang w:val="en-US"/>
              </w:rPr>
              <w:t>%</w:t>
            </w:r>
          </w:p>
        </w:tc>
      </w:tr>
      <w:tr w:rsidR="006F1981" w:rsidRPr="004D7E4B" w14:paraId="61E7566E" w14:textId="77777777" w:rsidTr="00BC67FF">
        <w:tc>
          <w:tcPr>
            <w:tcW w:w="3002" w:type="dxa"/>
            <w:tcBorders>
              <w:top w:val="single" w:sz="4" w:space="0" w:color="auto"/>
              <w:left w:val="single" w:sz="4" w:space="0" w:color="auto"/>
              <w:bottom w:val="single" w:sz="4" w:space="0" w:color="auto"/>
              <w:right w:val="single" w:sz="4" w:space="0" w:color="auto"/>
            </w:tcBorders>
            <w:hideMark/>
          </w:tcPr>
          <w:p w14:paraId="0ECA5ADB" w14:textId="77777777" w:rsidR="006F1981" w:rsidRPr="004D7E4B" w:rsidRDefault="006F1981"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40C4726" w14:textId="271FDE7D" w:rsidR="006F1981" w:rsidRPr="004D7E4B" w:rsidRDefault="006F1981" w:rsidP="00BC67FF">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66122A22" w14:textId="77777777" w:rsidR="006F1981" w:rsidRPr="004D7E4B" w:rsidRDefault="006F1981" w:rsidP="00BC67FF">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2EBB260" w14:textId="77777777" w:rsidR="006F1981" w:rsidRDefault="006F1981" w:rsidP="006F1981">
      <w:pPr>
        <w:spacing w:line="360" w:lineRule="auto"/>
        <w:jc w:val="both"/>
        <w:rPr>
          <w:rFonts w:ascii="Times New Roman" w:hAnsi="Times New Roman" w:cs="Times New Roman"/>
          <w:bCs/>
          <w:sz w:val="24"/>
          <w:szCs w:val="24"/>
        </w:rPr>
      </w:pPr>
    </w:p>
    <w:p w14:paraId="2726BC62" w14:textId="77777777" w:rsidR="006F1981" w:rsidRPr="007B042D" w:rsidRDefault="006F1981" w:rsidP="006F1981">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2"/>
    <w:p w14:paraId="2D50D546" w14:textId="77777777" w:rsidR="006F1981" w:rsidRPr="006F1981" w:rsidRDefault="006F1981" w:rsidP="006F1981">
      <w:p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The data shows that 60% of the respondents are male, while females constitute 40% of the sample. This indicates that males are more involved or have a greater interest in solar system brands. This may be due to traditional gender roles where men often take the lead in making financial or technical decisions related to home improvements or investments. Men might also have higher awareness of solar technologies due to greater exposure to technical information.</w:t>
      </w:r>
    </w:p>
    <w:p w14:paraId="1112B487" w14:textId="77777777" w:rsidR="006F1981" w:rsidRPr="006F1981" w:rsidRDefault="006F1981" w:rsidP="006F1981">
      <w:p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However, the significant 40% female participation highlights that women are also becoming active participants in the adoption and evaluation of solar systems. This growing involvement can be attributed to increasing environmental awareness and the expanding role of women in household decision-making.</w:t>
      </w:r>
    </w:p>
    <w:p w14:paraId="15A44735" w14:textId="77777777" w:rsidR="006F1981" w:rsidRPr="006F1981" w:rsidRDefault="006F1981" w:rsidP="006F1981">
      <w:p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A reasonably balanced gender distribution suggests that both men and women influence the brand image of solar system products. For companies, this means marketing campaigns should be designed to appeal to both genders, emphasizing not only technical features but also factors like ease of use, cost efficiency, and environmental benefits, which may resonate differently across gender lines.</w:t>
      </w:r>
    </w:p>
    <w:p w14:paraId="5A4C7D84" w14:textId="77777777" w:rsidR="006F1981" w:rsidRPr="006F1981" w:rsidRDefault="006F1981" w:rsidP="006F1981">
      <w:p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Overall, understanding the gender composition of potential consumers enables solar system brands to develop more targeted strategies to enhance brand perception and encourage adoption among all users.</w:t>
      </w:r>
    </w:p>
    <w:p w14:paraId="6DFE5161" w14:textId="77777777" w:rsidR="006F1981" w:rsidRDefault="006F1981" w:rsidP="00C4415B">
      <w:pPr>
        <w:spacing w:line="360" w:lineRule="auto"/>
        <w:jc w:val="both"/>
        <w:rPr>
          <w:rFonts w:ascii="Times New Roman" w:hAnsi="Times New Roman" w:cs="Times New Roman"/>
          <w:sz w:val="24"/>
          <w:szCs w:val="24"/>
        </w:rPr>
      </w:pPr>
    </w:p>
    <w:p w14:paraId="7339BADE" w14:textId="77777777" w:rsidR="006F1981" w:rsidRDefault="006F1981" w:rsidP="00C4415B">
      <w:pPr>
        <w:spacing w:line="360" w:lineRule="auto"/>
        <w:jc w:val="both"/>
        <w:rPr>
          <w:rFonts w:ascii="Times New Roman" w:hAnsi="Times New Roman" w:cs="Times New Roman"/>
          <w:sz w:val="24"/>
          <w:szCs w:val="24"/>
        </w:rPr>
      </w:pPr>
    </w:p>
    <w:p w14:paraId="52B497C3" w14:textId="77777777" w:rsidR="006F1981" w:rsidRDefault="006F1981" w:rsidP="00C4415B">
      <w:pPr>
        <w:spacing w:line="360" w:lineRule="auto"/>
        <w:jc w:val="both"/>
        <w:rPr>
          <w:rFonts w:ascii="Times New Roman" w:hAnsi="Times New Roman" w:cs="Times New Roman"/>
          <w:sz w:val="24"/>
          <w:szCs w:val="24"/>
        </w:rPr>
      </w:pPr>
    </w:p>
    <w:p w14:paraId="4A633726" w14:textId="712AAE1C" w:rsidR="006F1981" w:rsidRDefault="006F1981" w:rsidP="006F1981">
      <w:pPr>
        <w:spacing w:line="360" w:lineRule="auto"/>
        <w:jc w:val="both"/>
        <w:rPr>
          <w:rFonts w:ascii="Times New Roman" w:hAnsi="Times New Roman" w:cs="Times New Roman"/>
          <w:b/>
          <w:bCs/>
          <w:sz w:val="24"/>
          <w:szCs w:val="24"/>
        </w:rPr>
      </w:pPr>
      <w:bookmarkStart w:id="13" w:name="_Hlk200882100"/>
      <w:r w:rsidRPr="007B042D">
        <w:rPr>
          <w:rFonts w:ascii="Times New Roman" w:hAnsi="Times New Roman" w:cs="Times New Roman"/>
          <w:b/>
          <w:bCs/>
          <w:sz w:val="24"/>
          <w:szCs w:val="24"/>
        </w:rPr>
        <w:lastRenderedPageBreak/>
        <w:t>CONCLUSION</w:t>
      </w:r>
    </w:p>
    <w:bookmarkEnd w:id="13"/>
    <w:p w14:paraId="6472D305" w14:textId="1EF63C2D" w:rsidR="006F1981" w:rsidRPr="006F1981" w:rsidRDefault="006F1981" w:rsidP="006F1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The study on brand image towards solar systems reveals important insights into consumer perceptions and market dynamics. It shows that the majority of respondents, particularly young and middle-aged adults, are increasingly aware of and interested in solar energy solutions. This demographic is crucial for solar system brands as they demonstrate a strong willingness to adopt renewable energy technologies, motivated by environmental concerns, cost savings, and technological advancement.</w:t>
      </w:r>
    </w:p>
    <w:p w14:paraId="24164DB2" w14:textId="0DF05B5A" w:rsidR="006F1981" w:rsidRPr="006F1981" w:rsidRDefault="006F1981" w:rsidP="006F1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Gender analysis indicates a fairly balanced involvement of both males and females, suggesting that marketing strategies should be inclusive and address the diverse needs and preferences of both groups. Overall, the brand image of solar systems is influenced not only by product features like efficiency and durability but also by the perceived social and environmental benefits.</w:t>
      </w:r>
    </w:p>
    <w:p w14:paraId="06AF6834" w14:textId="6A032180" w:rsidR="006F1981" w:rsidRPr="006F1981" w:rsidRDefault="006F1981" w:rsidP="006F1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Despite positive attitudes, some barriers such as cost, lack of awareness among older age groups, and misconceptions still exist, which solar system companies need to address through targeted communication, education, and affordable product offerings.</w:t>
      </w:r>
    </w:p>
    <w:p w14:paraId="123D51C2" w14:textId="1856E4BA" w:rsidR="006F1981" w:rsidRPr="006F1981" w:rsidRDefault="006F1981" w:rsidP="006F19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1981">
        <w:rPr>
          <w:rFonts w:ascii="Times New Roman" w:hAnsi="Times New Roman" w:cs="Times New Roman"/>
          <w:sz w:val="24"/>
          <w:szCs w:val="24"/>
        </w:rPr>
        <w:t>In conclusion, building a strong, trustworthy, and appealing brand image by focusing on quality, innovation, and sustainability can significantly enhance consumer acceptance and market penetration of solar systems. The study emphasizes the need for continuous engagement with various demographic segments to promote solar energy as a reliable and preferred alternative for the future.</w:t>
      </w:r>
    </w:p>
    <w:p w14:paraId="23E56372" w14:textId="77777777" w:rsidR="006F1981" w:rsidRDefault="006F1981" w:rsidP="00C4415B">
      <w:pPr>
        <w:spacing w:line="360" w:lineRule="auto"/>
        <w:jc w:val="both"/>
        <w:rPr>
          <w:rFonts w:ascii="Times New Roman" w:hAnsi="Times New Roman" w:cs="Times New Roman"/>
          <w:sz w:val="24"/>
          <w:szCs w:val="24"/>
        </w:rPr>
      </w:pPr>
    </w:p>
    <w:p w14:paraId="35526EE8" w14:textId="77777777" w:rsidR="006F1981" w:rsidRDefault="006F1981" w:rsidP="00C4415B">
      <w:pPr>
        <w:spacing w:line="360" w:lineRule="auto"/>
        <w:jc w:val="both"/>
        <w:rPr>
          <w:rFonts w:ascii="Times New Roman" w:hAnsi="Times New Roman" w:cs="Times New Roman"/>
          <w:sz w:val="24"/>
          <w:szCs w:val="24"/>
        </w:rPr>
      </w:pPr>
    </w:p>
    <w:p w14:paraId="56560B3A" w14:textId="77777777" w:rsidR="006F1981" w:rsidRDefault="006F1981" w:rsidP="00C4415B">
      <w:pPr>
        <w:spacing w:line="360" w:lineRule="auto"/>
        <w:jc w:val="both"/>
        <w:rPr>
          <w:rFonts w:ascii="Times New Roman" w:hAnsi="Times New Roman" w:cs="Times New Roman"/>
          <w:sz w:val="24"/>
          <w:szCs w:val="24"/>
        </w:rPr>
      </w:pPr>
    </w:p>
    <w:p w14:paraId="2C2EDEA9" w14:textId="77777777" w:rsidR="006F1981" w:rsidRDefault="006F1981" w:rsidP="00C4415B">
      <w:pPr>
        <w:spacing w:line="360" w:lineRule="auto"/>
        <w:jc w:val="both"/>
        <w:rPr>
          <w:rFonts w:ascii="Times New Roman" w:hAnsi="Times New Roman" w:cs="Times New Roman"/>
          <w:sz w:val="24"/>
          <w:szCs w:val="24"/>
        </w:rPr>
      </w:pPr>
    </w:p>
    <w:p w14:paraId="0AB9EB7F" w14:textId="77777777" w:rsidR="006F1981" w:rsidRDefault="006F1981" w:rsidP="00C4415B">
      <w:pPr>
        <w:spacing w:line="360" w:lineRule="auto"/>
        <w:jc w:val="both"/>
        <w:rPr>
          <w:rFonts w:ascii="Times New Roman" w:hAnsi="Times New Roman" w:cs="Times New Roman"/>
          <w:sz w:val="24"/>
          <w:szCs w:val="24"/>
        </w:rPr>
      </w:pPr>
    </w:p>
    <w:p w14:paraId="2F13C8A4" w14:textId="77777777" w:rsidR="006F1981" w:rsidRDefault="006F1981" w:rsidP="00C4415B">
      <w:pPr>
        <w:spacing w:line="360" w:lineRule="auto"/>
        <w:jc w:val="both"/>
        <w:rPr>
          <w:rFonts w:ascii="Times New Roman" w:hAnsi="Times New Roman" w:cs="Times New Roman"/>
          <w:sz w:val="24"/>
          <w:szCs w:val="24"/>
        </w:rPr>
      </w:pPr>
    </w:p>
    <w:p w14:paraId="4AE06BE9" w14:textId="77777777" w:rsidR="006F1981" w:rsidRDefault="006F1981" w:rsidP="00C4415B">
      <w:pPr>
        <w:spacing w:line="360" w:lineRule="auto"/>
        <w:jc w:val="both"/>
        <w:rPr>
          <w:rFonts w:ascii="Times New Roman" w:hAnsi="Times New Roman" w:cs="Times New Roman"/>
          <w:sz w:val="24"/>
          <w:szCs w:val="24"/>
        </w:rPr>
      </w:pPr>
    </w:p>
    <w:p w14:paraId="61B612DB" w14:textId="77777777" w:rsidR="006F1981" w:rsidRDefault="006F1981" w:rsidP="00C4415B">
      <w:pPr>
        <w:spacing w:line="360" w:lineRule="auto"/>
        <w:jc w:val="both"/>
        <w:rPr>
          <w:rFonts w:ascii="Times New Roman" w:hAnsi="Times New Roman" w:cs="Times New Roman"/>
          <w:sz w:val="24"/>
          <w:szCs w:val="24"/>
        </w:rPr>
      </w:pPr>
    </w:p>
    <w:p w14:paraId="531F9E0E" w14:textId="77777777" w:rsidR="006F1981" w:rsidRDefault="006F1981" w:rsidP="00C4415B">
      <w:pPr>
        <w:spacing w:line="360" w:lineRule="auto"/>
        <w:jc w:val="both"/>
        <w:rPr>
          <w:rFonts w:ascii="Times New Roman" w:hAnsi="Times New Roman" w:cs="Times New Roman"/>
          <w:sz w:val="24"/>
          <w:szCs w:val="24"/>
        </w:rPr>
      </w:pPr>
    </w:p>
    <w:p w14:paraId="321357DC" w14:textId="77777777" w:rsidR="006F1981" w:rsidRPr="007B042D" w:rsidRDefault="006F1981" w:rsidP="006F1981">
      <w:pPr>
        <w:spacing w:line="360" w:lineRule="auto"/>
        <w:jc w:val="center"/>
        <w:rPr>
          <w:rFonts w:ascii="Times New Roman" w:hAnsi="Times New Roman" w:cs="Times New Roman"/>
          <w:b/>
          <w:bCs/>
          <w:sz w:val="24"/>
          <w:szCs w:val="24"/>
          <w:lang w:val="en-US"/>
        </w:rPr>
      </w:pPr>
      <w:bookmarkStart w:id="14" w:name="_Hlk200882447"/>
      <w:r w:rsidRPr="007B042D">
        <w:rPr>
          <w:rFonts w:ascii="Times New Roman" w:hAnsi="Times New Roman" w:cs="Times New Roman"/>
          <w:b/>
          <w:bCs/>
          <w:sz w:val="24"/>
          <w:szCs w:val="24"/>
          <w:lang w:val="en-US"/>
        </w:rPr>
        <w:lastRenderedPageBreak/>
        <w:t>BIBLIOGRAPHY</w:t>
      </w:r>
    </w:p>
    <w:bookmarkEnd w:id="14"/>
    <w:p w14:paraId="5B1499B5"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Kotler, Philip, and Keller, Kevin Lane. </w:t>
      </w:r>
      <w:r w:rsidRPr="006F1981">
        <w:rPr>
          <w:rFonts w:ascii="Times New Roman" w:hAnsi="Times New Roman" w:cs="Times New Roman"/>
          <w:i/>
          <w:iCs/>
          <w:sz w:val="24"/>
          <w:szCs w:val="24"/>
        </w:rPr>
        <w:t>Marketing Management</w:t>
      </w:r>
      <w:r w:rsidRPr="006F1981">
        <w:rPr>
          <w:rFonts w:ascii="Times New Roman" w:hAnsi="Times New Roman" w:cs="Times New Roman"/>
          <w:sz w:val="24"/>
          <w:szCs w:val="24"/>
        </w:rPr>
        <w:t>. 15th Edition, Pearson Education, 2016.</w:t>
      </w:r>
    </w:p>
    <w:p w14:paraId="405995B6"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Aaker, David A. </w:t>
      </w:r>
      <w:r w:rsidRPr="006F1981">
        <w:rPr>
          <w:rFonts w:ascii="Times New Roman" w:hAnsi="Times New Roman" w:cs="Times New Roman"/>
          <w:i/>
          <w:iCs/>
          <w:sz w:val="24"/>
          <w:szCs w:val="24"/>
        </w:rPr>
        <w:t>Building Strong Brands</w:t>
      </w:r>
      <w:r w:rsidRPr="006F1981">
        <w:rPr>
          <w:rFonts w:ascii="Times New Roman" w:hAnsi="Times New Roman" w:cs="Times New Roman"/>
          <w:sz w:val="24"/>
          <w:szCs w:val="24"/>
        </w:rPr>
        <w:t>. Free Press, 1996.</w:t>
      </w:r>
    </w:p>
    <w:p w14:paraId="47D1429B"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Rao, V. Kumar. </w:t>
      </w:r>
      <w:r w:rsidRPr="006F1981">
        <w:rPr>
          <w:rFonts w:ascii="Times New Roman" w:hAnsi="Times New Roman" w:cs="Times New Roman"/>
          <w:i/>
          <w:iCs/>
          <w:sz w:val="24"/>
          <w:szCs w:val="24"/>
        </w:rPr>
        <w:t>Consumer Behaviour: Text and Cases</w:t>
      </w:r>
      <w:r w:rsidRPr="006F1981">
        <w:rPr>
          <w:rFonts w:ascii="Times New Roman" w:hAnsi="Times New Roman" w:cs="Times New Roman"/>
          <w:sz w:val="24"/>
          <w:szCs w:val="24"/>
        </w:rPr>
        <w:t>. Tata McGraw-Hill Education, 2018.</w:t>
      </w:r>
    </w:p>
    <w:p w14:paraId="41F505D5"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International Energy Agency (IEA). </w:t>
      </w:r>
      <w:r w:rsidRPr="006F1981">
        <w:rPr>
          <w:rFonts w:ascii="Times New Roman" w:hAnsi="Times New Roman" w:cs="Times New Roman"/>
          <w:i/>
          <w:iCs/>
          <w:sz w:val="24"/>
          <w:szCs w:val="24"/>
        </w:rPr>
        <w:t>Renewable Energy Market Report 2023</w:t>
      </w:r>
      <w:r w:rsidRPr="006F1981">
        <w:rPr>
          <w:rFonts w:ascii="Times New Roman" w:hAnsi="Times New Roman" w:cs="Times New Roman"/>
          <w:sz w:val="24"/>
          <w:szCs w:val="24"/>
        </w:rPr>
        <w:t>. IEA Publications, 2023.</w:t>
      </w:r>
    </w:p>
    <w:p w14:paraId="6FED87D4"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Solar Energy Industries Association. </w:t>
      </w:r>
      <w:r w:rsidRPr="006F1981">
        <w:rPr>
          <w:rFonts w:ascii="Times New Roman" w:hAnsi="Times New Roman" w:cs="Times New Roman"/>
          <w:i/>
          <w:iCs/>
          <w:sz w:val="24"/>
          <w:szCs w:val="24"/>
        </w:rPr>
        <w:t>Solar Market Insight Report</w:t>
      </w:r>
      <w:r w:rsidRPr="006F1981">
        <w:rPr>
          <w:rFonts w:ascii="Times New Roman" w:hAnsi="Times New Roman" w:cs="Times New Roman"/>
          <w:sz w:val="24"/>
          <w:szCs w:val="24"/>
        </w:rPr>
        <w:t>, 2024. Available at: https://www.seia.org/research-resources/solar-market-insight-report</w:t>
      </w:r>
    </w:p>
    <w:p w14:paraId="0680CCDA"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Kumar, S. and Sharma, R. “Consumer Perception towards Solar Energy Products in India.” </w:t>
      </w:r>
      <w:r w:rsidRPr="006F1981">
        <w:rPr>
          <w:rFonts w:ascii="Times New Roman" w:hAnsi="Times New Roman" w:cs="Times New Roman"/>
          <w:i/>
          <w:iCs/>
          <w:sz w:val="24"/>
          <w:szCs w:val="24"/>
        </w:rPr>
        <w:t>Journal of Renewable Energy Research</w:t>
      </w:r>
      <w:r w:rsidRPr="006F1981">
        <w:rPr>
          <w:rFonts w:ascii="Times New Roman" w:hAnsi="Times New Roman" w:cs="Times New Roman"/>
          <w:sz w:val="24"/>
          <w:szCs w:val="24"/>
        </w:rPr>
        <w:t>, vol. 7, no. 3, 2022, pp. 155-163.</w:t>
      </w:r>
    </w:p>
    <w:p w14:paraId="163F6BFD"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Singh, Amit. “Impact of Brand Image on Consumer Purchase Intention in Renewable Energy Sector.” </w:t>
      </w:r>
      <w:r w:rsidRPr="006F1981">
        <w:rPr>
          <w:rFonts w:ascii="Times New Roman" w:hAnsi="Times New Roman" w:cs="Times New Roman"/>
          <w:i/>
          <w:iCs/>
          <w:sz w:val="24"/>
          <w:szCs w:val="24"/>
        </w:rPr>
        <w:t>International Journal of Marketing Studies</w:t>
      </w:r>
      <w:r w:rsidRPr="006F1981">
        <w:rPr>
          <w:rFonts w:ascii="Times New Roman" w:hAnsi="Times New Roman" w:cs="Times New Roman"/>
          <w:sz w:val="24"/>
          <w:szCs w:val="24"/>
        </w:rPr>
        <w:t>, vol. 12, no. 1, 2023, pp. 45-53.</w:t>
      </w:r>
    </w:p>
    <w:p w14:paraId="1A1E8382"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Ministry of New and Renewable Energy (MNRE), Government of India. </w:t>
      </w:r>
      <w:r w:rsidRPr="006F1981">
        <w:rPr>
          <w:rFonts w:ascii="Times New Roman" w:hAnsi="Times New Roman" w:cs="Times New Roman"/>
          <w:i/>
          <w:iCs/>
          <w:sz w:val="24"/>
          <w:szCs w:val="24"/>
        </w:rPr>
        <w:t>Annual Report 2023-24</w:t>
      </w:r>
      <w:r w:rsidRPr="006F1981">
        <w:rPr>
          <w:rFonts w:ascii="Times New Roman" w:hAnsi="Times New Roman" w:cs="Times New Roman"/>
          <w:sz w:val="24"/>
          <w:szCs w:val="24"/>
        </w:rPr>
        <w:t>. MNRE Publications, 2024.</w:t>
      </w:r>
    </w:p>
    <w:p w14:paraId="1FA7C75A"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Statista. “Solar Energy Market Share Worldwide 2023.” Available at: https://www.statista.com/statistics/solar-energy-market-share/</w:t>
      </w:r>
    </w:p>
    <w:p w14:paraId="02979939" w14:textId="77777777" w:rsidR="006F1981" w:rsidRPr="006F1981" w:rsidRDefault="006F1981" w:rsidP="006F1981">
      <w:pPr>
        <w:numPr>
          <w:ilvl w:val="0"/>
          <w:numId w:val="10"/>
        </w:numPr>
        <w:spacing w:line="360" w:lineRule="auto"/>
        <w:jc w:val="both"/>
        <w:rPr>
          <w:rFonts w:ascii="Times New Roman" w:hAnsi="Times New Roman" w:cs="Times New Roman"/>
          <w:sz w:val="24"/>
          <w:szCs w:val="24"/>
        </w:rPr>
      </w:pPr>
      <w:r w:rsidRPr="006F1981">
        <w:rPr>
          <w:rFonts w:ascii="Times New Roman" w:hAnsi="Times New Roman" w:cs="Times New Roman"/>
          <w:sz w:val="24"/>
          <w:szCs w:val="24"/>
        </w:rPr>
        <w:t xml:space="preserve">Bhattacharya, S. </w:t>
      </w:r>
      <w:r w:rsidRPr="006F1981">
        <w:rPr>
          <w:rFonts w:ascii="Times New Roman" w:hAnsi="Times New Roman" w:cs="Times New Roman"/>
          <w:i/>
          <w:iCs/>
          <w:sz w:val="24"/>
          <w:szCs w:val="24"/>
        </w:rPr>
        <w:t xml:space="preserve">Green Marketing and Consumer </w:t>
      </w:r>
      <w:proofErr w:type="spellStart"/>
      <w:r w:rsidRPr="006F1981">
        <w:rPr>
          <w:rFonts w:ascii="Times New Roman" w:hAnsi="Times New Roman" w:cs="Times New Roman"/>
          <w:i/>
          <w:iCs/>
          <w:sz w:val="24"/>
          <w:szCs w:val="24"/>
        </w:rPr>
        <w:t>Behavior</w:t>
      </w:r>
      <w:proofErr w:type="spellEnd"/>
      <w:r w:rsidRPr="006F1981">
        <w:rPr>
          <w:rFonts w:ascii="Times New Roman" w:hAnsi="Times New Roman" w:cs="Times New Roman"/>
          <w:sz w:val="24"/>
          <w:szCs w:val="24"/>
        </w:rPr>
        <w:t>. Oxford University Press, 2021.</w:t>
      </w:r>
    </w:p>
    <w:p w14:paraId="249052F2" w14:textId="77777777" w:rsidR="006F1981" w:rsidRPr="00C4415B" w:rsidRDefault="006F1981" w:rsidP="00C4415B">
      <w:pPr>
        <w:spacing w:line="360" w:lineRule="auto"/>
        <w:jc w:val="both"/>
        <w:rPr>
          <w:rFonts w:ascii="Times New Roman" w:hAnsi="Times New Roman" w:cs="Times New Roman"/>
          <w:sz w:val="24"/>
          <w:szCs w:val="24"/>
        </w:rPr>
      </w:pPr>
    </w:p>
    <w:sectPr w:rsidR="006F1981" w:rsidRPr="00C441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EAC"/>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D3D68"/>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E79B5"/>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77C23"/>
    <w:multiLevelType w:val="hybridMultilevel"/>
    <w:tmpl w:val="4EBA9E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2081256"/>
    <w:multiLevelType w:val="hybridMultilevel"/>
    <w:tmpl w:val="C57E1A92"/>
    <w:lvl w:ilvl="0" w:tplc="93525F70">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3AAB7252"/>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F144A"/>
    <w:multiLevelType w:val="multilevel"/>
    <w:tmpl w:val="0958C0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50C11DE"/>
    <w:multiLevelType w:val="multilevel"/>
    <w:tmpl w:val="3732F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F86ECE"/>
    <w:multiLevelType w:val="multilevel"/>
    <w:tmpl w:val="1FCA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7D3313"/>
    <w:multiLevelType w:val="hybridMultilevel"/>
    <w:tmpl w:val="AD4CF352"/>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040010005">
    <w:abstractNumId w:val="3"/>
  </w:num>
  <w:num w:numId="2" w16cid:durableId="1111825000">
    <w:abstractNumId w:val="4"/>
  </w:num>
  <w:num w:numId="3" w16cid:durableId="248200351">
    <w:abstractNumId w:val="9"/>
  </w:num>
  <w:num w:numId="4" w16cid:durableId="375199803">
    <w:abstractNumId w:val="6"/>
  </w:num>
  <w:num w:numId="5" w16cid:durableId="1925217713">
    <w:abstractNumId w:val="2"/>
  </w:num>
  <w:num w:numId="6" w16cid:durableId="318729654">
    <w:abstractNumId w:val="8"/>
  </w:num>
  <w:num w:numId="7" w16cid:durableId="1922714218">
    <w:abstractNumId w:val="5"/>
  </w:num>
  <w:num w:numId="8" w16cid:durableId="290289081">
    <w:abstractNumId w:val="1"/>
  </w:num>
  <w:num w:numId="9" w16cid:durableId="516426964">
    <w:abstractNumId w:val="0"/>
  </w:num>
  <w:num w:numId="10" w16cid:durableId="20848394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2C1"/>
    <w:rsid w:val="0020187E"/>
    <w:rsid w:val="005F42C1"/>
    <w:rsid w:val="006A1156"/>
    <w:rsid w:val="006F1981"/>
    <w:rsid w:val="007C7099"/>
    <w:rsid w:val="008C7B82"/>
    <w:rsid w:val="008F7F7B"/>
    <w:rsid w:val="00C4415B"/>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07788"/>
  <w15:chartTrackingRefBased/>
  <w15:docId w15:val="{6E17245B-A3CE-4269-A6C0-F027403D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B82"/>
  </w:style>
  <w:style w:type="paragraph" w:styleId="Heading1">
    <w:name w:val="heading 1"/>
    <w:basedOn w:val="Normal"/>
    <w:next w:val="Normal"/>
    <w:link w:val="Heading1Char"/>
    <w:uiPriority w:val="9"/>
    <w:qFormat/>
    <w:rsid w:val="005F42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42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F42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42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42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4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2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42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F42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42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42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4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2C1"/>
    <w:rPr>
      <w:rFonts w:eastAsiaTheme="majorEastAsia" w:cstheme="majorBidi"/>
      <w:color w:val="272727" w:themeColor="text1" w:themeTint="D8"/>
    </w:rPr>
  </w:style>
  <w:style w:type="paragraph" w:styleId="Title">
    <w:name w:val="Title"/>
    <w:basedOn w:val="Normal"/>
    <w:next w:val="Normal"/>
    <w:link w:val="TitleChar"/>
    <w:uiPriority w:val="10"/>
    <w:qFormat/>
    <w:rsid w:val="005F4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2C1"/>
    <w:pPr>
      <w:spacing w:before="160"/>
      <w:jc w:val="center"/>
    </w:pPr>
    <w:rPr>
      <w:i/>
      <w:iCs/>
      <w:color w:val="404040" w:themeColor="text1" w:themeTint="BF"/>
    </w:rPr>
  </w:style>
  <w:style w:type="character" w:customStyle="1" w:styleId="QuoteChar">
    <w:name w:val="Quote Char"/>
    <w:basedOn w:val="DefaultParagraphFont"/>
    <w:link w:val="Quote"/>
    <w:uiPriority w:val="29"/>
    <w:rsid w:val="005F42C1"/>
    <w:rPr>
      <w:i/>
      <w:iCs/>
      <w:color w:val="404040" w:themeColor="text1" w:themeTint="BF"/>
    </w:rPr>
  </w:style>
  <w:style w:type="paragraph" w:styleId="ListParagraph">
    <w:name w:val="List Paragraph"/>
    <w:basedOn w:val="Normal"/>
    <w:uiPriority w:val="34"/>
    <w:qFormat/>
    <w:rsid w:val="005F42C1"/>
    <w:pPr>
      <w:ind w:left="720"/>
      <w:contextualSpacing/>
    </w:pPr>
  </w:style>
  <w:style w:type="character" w:styleId="IntenseEmphasis">
    <w:name w:val="Intense Emphasis"/>
    <w:basedOn w:val="DefaultParagraphFont"/>
    <w:uiPriority w:val="21"/>
    <w:qFormat/>
    <w:rsid w:val="005F42C1"/>
    <w:rPr>
      <w:i/>
      <w:iCs/>
      <w:color w:val="2F5496" w:themeColor="accent1" w:themeShade="BF"/>
    </w:rPr>
  </w:style>
  <w:style w:type="paragraph" w:styleId="IntenseQuote">
    <w:name w:val="Intense Quote"/>
    <w:basedOn w:val="Normal"/>
    <w:next w:val="Normal"/>
    <w:link w:val="IntenseQuoteChar"/>
    <w:uiPriority w:val="30"/>
    <w:qFormat/>
    <w:rsid w:val="005F42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42C1"/>
    <w:rPr>
      <w:i/>
      <w:iCs/>
      <w:color w:val="2F5496" w:themeColor="accent1" w:themeShade="BF"/>
    </w:rPr>
  </w:style>
  <w:style w:type="character" w:styleId="IntenseReference">
    <w:name w:val="Intense Reference"/>
    <w:basedOn w:val="DefaultParagraphFont"/>
    <w:uiPriority w:val="32"/>
    <w:qFormat/>
    <w:rsid w:val="005F42C1"/>
    <w:rPr>
      <w:b/>
      <w:bCs/>
      <w:smallCaps/>
      <w:color w:val="2F5496" w:themeColor="accent1" w:themeShade="BF"/>
      <w:spacing w:val="5"/>
    </w:rPr>
  </w:style>
  <w:style w:type="character" w:styleId="Hyperlink">
    <w:name w:val="Hyperlink"/>
    <w:basedOn w:val="DefaultParagraphFont"/>
    <w:uiPriority w:val="99"/>
    <w:unhideWhenUsed/>
    <w:rsid w:val="008C7B82"/>
    <w:rPr>
      <w:color w:val="0563C1" w:themeColor="hyperlink"/>
      <w:u w:val="single"/>
    </w:rPr>
  </w:style>
  <w:style w:type="character" w:styleId="UnresolvedMention">
    <w:name w:val="Unresolved Mention"/>
    <w:basedOn w:val="DefaultParagraphFont"/>
    <w:uiPriority w:val="99"/>
    <w:semiHidden/>
    <w:unhideWhenUsed/>
    <w:rsid w:val="008C7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7612">
      <w:bodyDiv w:val="1"/>
      <w:marLeft w:val="0"/>
      <w:marRight w:val="0"/>
      <w:marTop w:val="0"/>
      <w:marBottom w:val="0"/>
      <w:divBdr>
        <w:top w:val="none" w:sz="0" w:space="0" w:color="auto"/>
        <w:left w:val="none" w:sz="0" w:space="0" w:color="auto"/>
        <w:bottom w:val="none" w:sz="0" w:space="0" w:color="auto"/>
        <w:right w:val="none" w:sz="0" w:space="0" w:color="auto"/>
      </w:divBdr>
    </w:div>
    <w:div w:id="121850127">
      <w:bodyDiv w:val="1"/>
      <w:marLeft w:val="0"/>
      <w:marRight w:val="0"/>
      <w:marTop w:val="0"/>
      <w:marBottom w:val="0"/>
      <w:divBdr>
        <w:top w:val="none" w:sz="0" w:space="0" w:color="auto"/>
        <w:left w:val="none" w:sz="0" w:space="0" w:color="auto"/>
        <w:bottom w:val="none" w:sz="0" w:space="0" w:color="auto"/>
        <w:right w:val="none" w:sz="0" w:space="0" w:color="auto"/>
      </w:divBdr>
    </w:div>
    <w:div w:id="294531942">
      <w:bodyDiv w:val="1"/>
      <w:marLeft w:val="0"/>
      <w:marRight w:val="0"/>
      <w:marTop w:val="0"/>
      <w:marBottom w:val="0"/>
      <w:divBdr>
        <w:top w:val="none" w:sz="0" w:space="0" w:color="auto"/>
        <w:left w:val="none" w:sz="0" w:space="0" w:color="auto"/>
        <w:bottom w:val="none" w:sz="0" w:space="0" w:color="auto"/>
        <w:right w:val="none" w:sz="0" w:space="0" w:color="auto"/>
      </w:divBdr>
    </w:div>
    <w:div w:id="305934258">
      <w:bodyDiv w:val="1"/>
      <w:marLeft w:val="0"/>
      <w:marRight w:val="0"/>
      <w:marTop w:val="0"/>
      <w:marBottom w:val="0"/>
      <w:divBdr>
        <w:top w:val="none" w:sz="0" w:space="0" w:color="auto"/>
        <w:left w:val="none" w:sz="0" w:space="0" w:color="auto"/>
        <w:bottom w:val="none" w:sz="0" w:space="0" w:color="auto"/>
        <w:right w:val="none" w:sz="0" w:space="0" w:color="auto"/>
      </w:divBdr>
    </w:div>
    <w:div w:id="312611777">
      <w:bodyDiv w:val="1"/>
      <w:marLeft w:val="0"/>
      <w:marRight w:val="0"/>
      <w:marTop w:val="0"/>
      <w:marBottom w:val="0"/>
      <w:divBdr>
        <w:top w:val="none" w:sz="0" w:space="0" w:color="auto"/>
        <w:left w:val="none" w:sz="0" w:space="0" w:color="auto"/>
        <w:bottom w:val="none" w:sz="0" w:space="0" w:color="auto"/>
        <w:right w:val="none" w:sz="0" w:space="0" w:color="auto"/>
      </w:divBdr>
    </w:div>
    <w:div w:id="375474841">
      <w:bodyDiv w:val="1"/>
      <w:marLeft w:val="0"/>
      <w:marRight w:val="0"/>
      <w:marTop w:val="0"/>
      <w:marBottom w:val="0"/>
      <w:divBdr>
        <w:top w:val="none" w:sz="0" w:space="0" w:color="auto"/>
        <w:left w:val="none" w:sz="0" w:space="0" w:color="auto"/>
        <w:bottom w:val="none" w:sz="0" w:space="0" w:color="auto"/>
        <w:right w:val="none" w:sz="0" w:space="0" w:color="auto"/>
      </w:divBdr>
    </w:div>
    <w:div w:id="512190597">
      <w:bodyDiv w:val="1"/>
      <w:marLeft w:val="0"/>
      <w:marRight w:val="0"/>
      <w:marTop w:val="0"/>
      <w:marBottom w:val="0"/>
      <w:divBdr>
        <w:top w:val="none" w:sz="0" w:space="0" w:color="auto"/>
        <w:left w:val="none" w:sz="0" w:space="0" w:color="auto"/>
        <w:bottom w:val="none" w:sz="0" w:space="0" w:color="auto"/>
        <w:right w:val="none" w:sz="0" w:space="0" w:color="auto"/>
      </w:divBdr>
    </w:div>
    <w:div w:id="672419171">
      <w:bodyDiv w:val="1"/>
      <w:marLeft w:val="0"/>
      <w:marRight w:val="0"/>
      <w:marTop w:val="0"/>
      <w:marBottom w:val="0"/>
      <w:divBdr>
        <w:top w:val="none" w:sz="0" w:space="0" w:color="auto"/>
        <w:left w:val="none" w:sz="0" w:space="0" w:color="auto"/>
        <w:bottom w:val="none" w:sz="0" w:space="0" w:color="auto"/>
        <w:right w:val="none" w:sz="0" w:space="0" w:color="auto"/>
      </w:divBdr>
    </w:div>
    <w:div w:id="688526664">
      <w:bodyDiv w:val="1"/>
      <w:marLeft w:val="0"/>
      <w:marRight w:val="0"/>
      <w:marTop w:val="0"/>
      <w:marBottom w:val="0"/>
      <w:divBdr>
        <w:top w:val="none" w:sz="0" w:space="0" w:color="auto"/>
        <w:left w:val="none" w:sz="0" w:space="0" w:color="auto"/>
        <w:bottom w:val="none" w:sz="0" w:space="0" w:color="auto"/>
        <w:right w:val="none" w:sz="0" w:space="0" w:color="auto"/>
      </w:divBdr>
    </w:div>
    <w:div w:id="693188411">
      <w:bodyDiv w:val="1"/>
      <w:marLeft w:val="0"/>
      <w:marRight w:val="0"/>
      <w:marTop w:val="0"/>
      <w:marBottom w:val="0"/>
      <w:divBdr>
        <w:top w:val="none" w:sz="0" w:space="0" w:color="auto"/>
        <w:left w:val="none" w:sz="0" w:space="0" w:color="auto"/>
        <w:bottom w:val="none" w:sz="0" w:space="0" w:color="auto"/>
        <w:right w:val="none" w:sz="0" w:space="0" w:color="auto"/>
      </w:divBdr>
    </w:div>
    <w:div w:id="813526067">
      <w:bodyDiv w:val="1"/>
      <w:marLeft w:val="0"/>
      <w:marRight w:val="0"/>
      <w:marTop w:val="0"/>
      <w:marBottom w:val="0"/>
      <w:divBdr>
        <w:top w:val="none" w:sz="0" w:space="0" w:color="auto"/>
        <w:left w:val="none" w:sz="0" w:space="0" w:color="auto"/>
        <w:bottom w:val="none" w:sz="0" w:space="0" w:color="auto"/>
        <w:right w:val="none" w:sz="0" w:space="0" w:color="auto"/>
      </w:divBdr>
    </w:div>
    <w:div w:id="865870114">
      <w:bodyDiv w:val="1"/>
      <w:marLeft w:val="0"/>
      <w:marRight w:val="0"/>
      <w:marTop w:val="0"/>
      <w:marBottom w:val="0"/>
      <w:divBdr>
        <w:top w:val="none" w:sz="0" w:space="0" w:color="auto"/>
        <w:left w:val="none" w:sz="0" w:space="0" w:color="auto"/>
        <w:bottom w:val="none" w:sz="0" w:space="0" w:color="auto"/>
        <w:right w:val="none" w:sz="0" w:space="0" w:color="auto"/>
      </w:divBdr>
    </w:div>
    <w:div w:id="870534264">
      <w:bodyDiv w:val="1"/>
      <w:marLeft w:val="0"/>
      <w:marRight w:val="0"/>
      <w:marTop w:val="0"/>
      <w:marBottom w:val="0"/>
      <w:divBdr>
        <w:top w:val="none" w:sz="0" w:space="0" w:color="auto"/>
        <w:left w:val="none" w:sz="0" w:space="0" w:color="auto"/>
        <w:bottom w:val="none" w:sz="0" w:space="0" w:color="auto"/>
        <w:right w:val="none" w:sz="0" w:space="0" w:color="auto"/>
      </w:divBdr>
    </w:div>
    <w:div w:id="872812320">
      <w:bodyDiv w:val="1"/>
      <w:marLeft w:val="0"/>
      <w:marRight w:val="0"/>
      <w:marTop w:val="0"/>
      <w:marBottom w:val="0"/>
      <w:divBdr>
        <w:top w:val="none" w:sz="0" w:space="0" w:color="auto"/>
        <w:left w:val="none" w:sz="0" w:space="0" w:color="auto"/>
        <w:bottom w:val="none" w:sz="0" w:space="0" w:color="auto"/>
        <w:right w:val="none" w:sz="0" w:space="0" w:color="auto"/>
      </w:divBdr>
    </w:div>
    <w:div w:id="927351530">
      <w:bodyDiv w:val="1"/>
      <w:marLeft w:val="0"/>
      <w:marRight w:val="0"/>
      <w:marTop w:val="0"/>
      <w:marBottom w:val="0"/>
      <w:divBdr>
        <w:top w:val="none" w:sz="0" w:space="0" w:color="auto"/>
        <w:left w:val="none" w:sz="0" w:space="0" w:color="auto"/>
        <w:bottom w:val="none" w:sz="0" w:space="0" w:color="auto"/>
        <w:right w:val="none" w:sz="0" w:space="0" w:color="auto"/>
      </w:divBdr>
    </w:div>
    <w:div w:id="928543444">
      <w:bodyDiv w:val="1"/>
      <w:marLeft w:val="0"/>
      <w:marRight w:val="0"/>
      <w:marTop w:val="0"/>
      <w:marBottom w:val="0"/>
      <w:divBdr>
        <w:top w:val="none" w:sz="0" w:space="0" w:color="auto"/>
        <w:left w:val="none" w:sz="0" w:space="0" w:color="auto"/>
        <w:bottom w:val="none" w:sz="0" w:space="0" w:color="auto"/>
        <w:right w:val="none" w:sz="0" w:space="0" w:color="auto"/>
      </w:divBdr>
    </w:div>
    <w:div w:id="940915728">
      <w:bodyDiv w:val="1"/>
      <w:marLeft w:val="0"/>
      <w:marRight w:val="0"/>
      <w:marTop w:val="0"/>
      <w:marBottom w:val="0"/>
      <w:divBdr>
        <w:top w:val="none" w:sz="0" w:space="0" w:color="auto"/>
        <w:left w:val="none" w:sz="0" w:space="0" w:color="auto"/>
        <w:bottom w:val="none" w:sz="0" w:space="0" w:color="auto"/>
        <w:right w:val="none" w:sz="0" w:space="0" w:color="auto"/>
      </w:divBdr>
    </w:div>
    <w:div w:id="988171136">
      <w:bodyDiv w:val="1"/>
      <w:marLeft w:val="0"/>
      <w:marRight w:val="0"/>
      <w:marTop w:val="0"/>
      <w:marBottom w:val="0"/>
      <w:divBdr>
        <w:top w:val="none" w:sz="0" w:space="0" w:color="auto"/>
        <w:left w:val="none" w:sz="0" w:space="0" w:color="auto"/>
        <w:bottom w:val="none" w:sz="0" w:space="0" w:color="auto"/>
        <w:right w:val="none" w:sz="0" w:space="0" w:color="auto"/>
      </w:divBdr>
    </w:div>
    <w:div w:id="1052003870">
      <w:bodyDiv w:val="1"/>
      <w:marLeft w:val="0"/>
      <w:marRight w:val="0"/>
      <w:marTop w:val="0"/>
      <w:marBottom w:val="0"/>
      <w:divBdr>
        <w:top w:val="none" w:sz="0" w:space="0" w:color="auto"/>
        <w:left w:val="none" w:sz="0" w:space="0" w:color="auto"/>
        <w:bottom w:val="none" w:sz="0" w:space="0" w:color="auto"/>
        <w:right w:val="none" w:sz="0" w:space="0" w:color="auto"/>
      </w:divBdr>
      <w:divsChild>
        <w:div w:id="1859735089">
          <w:marLeft w:val="0"/>
          <w:marRight w:val="0"/>
          <w:marTop w:val="0"/>
          <w:marBottom w:val="0"/>
          <w:divBdr>
            <w:top w:val="none" w:sz="0" w:space="0" w:color="auto"/>
            <w:left w:val="none" w:sz="0" w:space="0" w:color="auto"/>
            <w:bottom w:val="none" w:sz="0" w:space="0" w:color="auto"/>
            <w:right w:val="none" w:sz="0" w:space="0" w:color="auto"/>
          </w:divBdr>
          <w:divsChild>
            <w:div w:id="171771023">
              <w:marLeft w:val="0"/>
              <w:marRight w:val="0"/>
              <w:marTop w:val="0"/>
              <w:marBottom w:val="0"/>
              <w:divBdr>
                <w:top w:val="none" w:sz="0" w:space="0" w:color="auto"/>
                <w:left w:val="none" w:sz="0" w:space="0" w:color="auto"/>
                <w:bottom w:val="none" w:sz="0" w:space="0" w:color="auto"/>
                <w:right w:val="none" w:sz="0" w:space="0" w:color="auto"/>
              </w:divBdr>
              <w:divsChild>
                <w:div w:id="820121985">
                  <w:marLeft w:val="0"/>
                  <w:marRight w:val="0"/>
                  <w:marTop w:val="0"/>
                  <w:marBottom w:val="0"/>
                  <w:divBdr>
                    <w:top w:val="none" w:sz="0" w:space="0" w:color="auto"/>
                    <w:left w:val="none" w:sz="0" w:space="0" w:color="auto"/>
                    <w:bottom w:val="none" w:sz="0" w:space="0" w:color="auto"/>
                    <w:right w:val="none" w:sz="0" w:space="0" w:color="auto"/>
                  </w:divBdr>
                  <w:divsChild>
                    <w:div w:id="8889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551394">
      <w:bodyDiv w:val="1"/>
      <w:marLeft w:val="0"/>
      <w:marRight w:val="0"/>
      <w:marTop w:val="0"/>
      <w:marBottom w:val="0"/>
      <w:divBdr>
        <w:top w:val="none" w:sz="0" w:space="0" w:color="auto"/>
        <w:left w:val="none" w:sz="0" w:space="0" w:color="auto"/>
        <w:bottom w:val="none" w:sz="0" w:space="0" w:color="auto"/>
        <w:right w:val="none" w:sz="0" w:space="0" w:color="auto"/>
      </w:divBdr>
    </w:div>
    <w:div w:id="1066993651">
      <w:bodyDiv w:val="1"/>
      <w:marLeft w:val="0"/>
      <w:marRight w:val="0"/>
      <w:marTop w:val="0"/>
      <w:marBottom w:val="0"/>
      <w:divBdr>
        <w:top w:val="none" w:sz="0" w:space="0" w:color="auto"/>
        <w:left w:val="none" w:sz="0" w:space="0" w:color="auto"/>
        <w:bottom w:val="none" w:sz="0" w:space="0" w:color="auto"/>
        <w:right w:val="none" w:sz="0" w:space="0" w:color="auto"/>
      </w:divBdr>
    </w:div>
    <w:div w:id="1112480557">
      <w:bodyDiv w:val="1"/>
      <w:marLeft w:val="0"/>
      <w:marRight w:val="0"/>
      <w:marTop w:val="0"/>
      <w:marBottom w:val="0"/>
      <w:divBdr>
        <w:top w:val="none" w:sz="0" w:space="0" w:color="auto"/>
        <w:left w:val="none" w:sz="0" w:space="0" w:color="auto"/>
        <w:bottom w:val="none" w:sz="0" w:space="0" w:color="auto"/>
        <w:right w:val="none" w:sz="0" w:space="0" w:color="auto"/>
      </w:divBdr>
    </w:div>
    <w:div w:id="1124883754">
      <w:bodyDiv w:val="1"/>
      <w:marLeft w:val="0"/>
      <w:marRight w:val="0"/>
      <w:marTop w:val="0"/>
      <w:marBottom w:val="0"/>
      <w:divBdr>
        <w:top w:val="none" w:sz="0" w:space="0" w:color="auto"/>
        <w:left w:val="none" w:sz="0" w:space="0" w:color="auto"/>
        <w:bottom w:val="none" w:sz="0" w:space="0" w:color="auto"/>
        <w:right w:val="none" w:sz="0" w:space="0" w:color="auto"/>
      </w:divBdr>
    </w:div>
    <w:div w:id="1137145388">
      <w:bodyDiv w:val="1"/>
      <w:marLeft w:val="0"/>
      <w:marRight w:val="0"/>
      <w:marTop w:val="0"/>
      <w:marBottom w:val="0"/>
      <w:divBdr>
        <w:top w:val="none" w:sz="0" w:space="0" w:color="auto"/>
        <w:left w:val="none" w:sz="0" w:space="0" w:color="auto"/>
        <w:bottom w:val="none" w:sz="0" w:space="0" w:color="auto"/>
        <w:right w:val="none" w:sz="0" w:space="0" w:color="auto"/>
      </w:divBdr>
    </w:div>
    <w:div w:id="1164668927">
      <w:bodyDiv w:val="1"/>
      <w:marLeft w:val="0"/>
      <w:marRight w:val="0"/>
      <w:marTop w:val="0"/>
      <w:marBottom w:val="0"/>
      <w:divBdr>
        <w:top w:val="none" w:sz="0" w:space="0" w:color="auto"/>
        <w:left w:val="none" w:sz="0" w:space="0" w:color="auto"/>
        <w:bottom w:val="none" w:sz="0" w:space="0" w:color="auto"/>
        <w:right w:val="none" w:sz="0" w:space="0" w:color="auto"/>
      </w:divBdr>
    </w:div>
    <w:div w:id="1167595894">
      <w:bodyDiv w:val="1"/>
      <w:marLeft w:val="0"/>
      <w:marRight w:val="0"/>
      <w:marTop w:val="0"/>
      <w:marBottom w:val="0"/>
      <w:divBdr>
        <w:top w:val="none" w:sz="0" w:space="0" w:color="auto"/>
        <w:left w:val="none" w:sz="0" w:space="0" w:color="auto"/>
        <w:bottom w:val="none" w:sz="0" w:space="0" w:color="auto"/>
        <w:right w:val="none" w:sz="0" w:space="0" w:color="auto"/>
      </w:divBdr>
    </w:div>
    <w:div w:id="1205407713">
      <w:bodyDiv w:val="1"/>
      <w:marLeft w:val="0"/>
      <w:marRight w:val="0"/>
      <w:marTop w:val="0"/>
      <w:marBottom w:val="0"/>
      <w:divBdr>
        <w:top w:val="none" w:sz="0" w:space="0" w:color="auto"/>
        <w:left w:val="none" w:sz="0" w:space="0" w:color="auto"/>
        <w:bottom w:val="none" w:sz="0" w:space="0" w:color="auto"/>
        <w:right w:val="none" w:sz="0" w:space="0" w:color="auto"/>
      </w:divBdr>
    </w:div>
    <w:div w:id="1312295414">
      <w:bodyDiv w:val="1"/>
      <w:marLeft w:val="0"/>
      <w:marRight w:val="0"/>
      <w:marTop w:val="0"/>
      <w:marBottom w:val="0"/>
      <w:divBdr>
        <w:top w:val="none" w:sz="0" w:space="0" w:color="auto"/>
        <w:left w:val="none" w:sz="0" w:space="0" w:color="auto"/>
        <w:bottom w:val="none" w:sz="0" w:space="0" w:color="auto"/>
        <w:right w:val="none" w:sz="0" w:space="0" w:color="auto"/>
      </w:divBdr>
    </w:div>
    <w:div w:id="1314676335">
      <w:bodyDiv w:val="1"/>
      <w:marLeft w:val="0"/>
      <w:marRight w:val="0"/>
      <w:marTop w:val="0"/>
      <w:marBottom w:val="0"/>
      <w:divBdr>
        <w:top w:val="none" w:sz="0" w:space="0" w:color="auto"/>
        <w:left w:val="none" w:sz="0" w:space="0" w:color="auto"/>
        <w:bottom w:val="none" w:sz="0" w:space="0" w:color="auto"/>
        <w:right w:val="none" w:sz="0" w:space="0" w:color="auto"/>
      </w:divBdr>
    </w:div>
    <w:div w:id="1318342276">
      <w:bodyDiv w:val="1"/>
      <w:marLeft w:val="0"/>
      <w:marRight w:val="0"/>
      <w:marTop w:val="0"/>
      <w:marBottom w:val="0"/>
      <w:divBdr>
        <w:top w:val="none" w:sz="0" w:space="0" w:color="auto"/>
        <w:left w:val="none" w:sz="0" w:space="0" w:color="auto"/>
        <w:bottom w:val="none" w:sz="0" w:space="0" w:color="auto"/>
        <w:right w:val="none" w:sz="0" w:space="0" w:color="auto"/>
      </w:divBdr>
    </w:div>
    <w:div w:id="1319456290">
      <w:bodyDiv w:val="1"/>
      <w:marLeft w:val="0"/>
      <w:marRight w:val="0"/>
      <w:marTop w:val="0"/>
      <w:marBottom w:val="0"/>
      <w:divBdr>
        <w:top w:val="none" w:sz="0" w:space="0" w:color="auto"/>
        <w:left w:val="none" w:sz="0" w:space="0" w:color="auto"/>
        <w:bottom w:val="none" w:sz="0" w:space="0" w:color="auto"/>
        <w:right w:val="none" w:sz="0" w:space="0" w:color="auto"/>
      </w:divBdr>
    </w:div>
    <w:div w:id="1406298890">
      <w:bodyDiv w:val="1"/>
      <w:marLeft w:val="0"/>
      <w:marRight w:val="0"/>
      <w:marTop w:val="0"/>
      <w:marBottom w:val="0"/>
      <w:divBdr>
        <w:top w:val="none" w:sz="0" w:space="0" w:color="auto"/>
        <w:left w:val="none" w:sz="0" w:space="0" w:color="auto"/>
        <w:bottom w:val="none" w:sz="0" w:space="0" w:color="auto"/>
        <w:right w:val="none" w:sz="0" w:space="0" w:color="auto"/>
      </w:divBdr>
    </w:div>
    <w:div w:id="1486043926">
      <w:bodyDiv w:val="1"/>
      <w:marLeft w:val="0"/>
      <w:marRight w:val="0"/>
      <w:marTop w:val="0"/>
      <w:marBottom w:val="0"/>
      <w:divBdr>
        <w:top w:val="none" w:sz="0" w:space="0" w:color="auto"/>
        <w:left w:val="none" w:sz="0" w:space="0" w:color="auto"/>
        <w:bottom w:val="none" w:sz="0" w:space="0" w:color="auto"/>
        <w:right w:val="none" w:sz="0" w:space="0" w:color="auto"/>
      </w:divBdr>
    </w:div>
    <w:div w:id="1498423311">
      <w:bodyDiv w:val="1"/>
      <w:marLeft w:val="0"/>
      <w:marRight w:val="0"/>
      <w:marTop w:val="0"/>
      <w:marBottom w:val="0"/>
      <w:divBdr>
        <w:top w:val="none" w:sz="0" w:space="0" w:color="auto"/>
        <w:left w:val="none" w:sz="0" w:space="0" w:color="auto"/>
        <w:bottom w:val="none" w:sz="0" w:space="0" w:color="auto"/>
        <w:right w:val="none" w:sz="0" w:space="0" w:color="auto"/>
      </w:divBdr>
    </w:div>
    <w:div w:id="1545678477">
      <w:bodyDiv w:val="1"/>
      <w:marLeft w:val="0"/>
      <w:marRight w:val="0"/>
      <w:marTop w:val="0"/>
      <w:marBottom w:val="0"/>
      <w:divBdr>
        <w:top w:val="none" w:sz="0" w:space="0" w:color="auto"/>
        <w:left w:val="none" w:sz="0" w:space="0" w:color="auto"/>
        <w:bottom w:val="none" w:sz="0" w:space="0" w:color="auto"/>
        <w:right w:val="none" w:sz="0" w:space="0" w:color="auto"/>
      </w:divBdr>
    </w:div>
    <w:div w:id="1654602044">
      <w:bodyDiv w:val="1"/>
      <w:marLeft w:val="0"/>
      <w:marRight w:val="0"/>
      <w:marTop w:val="0"/>
      <w:marBottom w:val="0"/>
      <w:divBdr>
        <w:top w:val="none" w:sz="0" w:space="0" w:color="auto"/>
        <w:left w:val="none" w:sz="0" w:space="0" w:color="auto"/>
        <w:bottom w:val="none" w:sz="0" w:space="0" w:color="auto"/>
        <w:right w:val="none" w:sz="0" w:space="0" w:color="auto"/>
      </w:divBdr>
    </w:div>
    <w:div w:id="1658415273">
      <w:bodyDiv w:val="1"/>
      <w:marLeft w:val="0"/>
      <w:marRight w:val="0"/>
      <w:marTop w:val="0"/>
      <w:marBottom w:val="0"/>
      <w:divBdr>
        <w:top w:val="none" w:sz="0" w:space="0" w:color="auto"/>
        <w:left w:val="none" w:sz="0" w:space="0" w:color="auto"/>
        <w:bottom w:val="none" w:sz="0" w:space="0" w:color="auto"/>
        <w:right w:val="none" w:sz="0" w:space="0" w:color="auto"/>
      </w:divBdr>
      <w:divsChild>
        <w:div w:id="1532960889">
          <w:marLeft w:val="0"/>
          <w:marRight w:val="0"/>
          <w:marTop w:val="0"/>
          <w:marBottom w:val="0"/>
          <w:divBdr>
            <w:top w:val="none" w:sz="0" w:space="0" w:color="auto"/>
            <w:left w:val="none" w:sz="0" w:space="0" w:color="auto"/>
            <w:bottom w:val="none" w:sz="0" w:space="0" w:color="auto"/>
            <w:right w:val="none" w:sz="0" w:space="0" w:color="auto"/>
          </w:divBdr>
          <w:divsChild>
            <w:div w:id="1370297291">
              <w:marLeft w:val="0"/>
              <w:marRight w:val="0"/>
              <w:marTop w:val="0"/>
              <w:marBottom w:val="0"/>
              <w:divBdr>
                <w:top w:val="none" w:sz="0" w:space="0" w:color="auto"/>
                <w:left w:val="none" w:sz="0" w:space="0" w:color="auto"/>
                <w:bottom w:val="none" w:sz="0" w:space="0" w:color="auto"/>
                <w:right w:val="none" w:sz="0" w:space="0" w:color="auto"/>
              </w:divBdr>
              <w:divsChild>
                <w:div w:id="825164475">
                  <w:marLeft w:val="0"/>
                  <w:marRight w:val="0"/>
                  <w:marTop w:val="0"/>
                  <w:marBottom w:val="0"/>
                  <w:divBdr>
                    <w:top w:val="none" w:sz="0" w:space="0" w:color="auto"/>
                    <w:left w:val="none" w:sz="0" w:space="0" w:color="auto"/>
                    <w:bottom w:val="none" w:sz="0" w:space="0" w:color="auto"/>
                    <w:right w:val="none" w:sz="0" w:space="0" w:color="auto"/>
                  </w:divBdr>
                  <w:divsChild>
                    <w:div w:id="38758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794270">
      <w:bodyDiv w:val="1"/>
      <w:marLeft w:val="0"/>
      <w:marRight w:val="0"/>
      <w:marTop w:val="0"/>
      <w:marBottom w:val="0"/>
      <w:divBdr>
        <w:top w:val="none" w:sz="0" w:space="0" w:color="auto"/>
        <w:left w:val="none" w:sz="0" w:space="0" w:color="auto"/>
        <w:bottom w:val="none" w:sz="0" w:space="0" w:color="auto"/>
        <w:right w:val="none" w:sz="0" w:space="0" w:color="auto"/>
      </w:divBdr>
    </w:div>
    <w:div w:id="1854495482">
      <w:bodyDiv w:val="1"/>
      <w:marLeft w:val="0"/>
      <w:marRight w:val="0"/>
      <w:marTop w:val="0"/>
      <w:marBottom w:val="0"/>
      <w:divBdr>
        <w:top w:val="none" w:sz="0" w:space="0" w:color="auto"/>
        <w:left w:val="none" w:sz="0" w:space="0" w:color="auto"/>
        <w:bottom w:val="none" w:sz="0" w:space="0" w:color="auto"/>
        <w:right w:val="none" w:sz="0" w:space="0" w:color="auto"/>
      </w:divBdr>
    </w:div>
    <w:div w:id="1950156858">
      <w:bodyDiv w:val="1"/>
      <w:marLeft w:val="0"/>
      <w:marRight w:val="0"/>
      <w:marTop w:val="0"/>
      <w:marBottom w:val="0"/>
      <w:divBdr>
        <w:top w:val="none" w:sz="0" w:space="0" w:color="auto"/>
        <w:left w:val="none" w:sz="0" w:space="0" w:color="auto"/>
        <w:bottom w:val="none" w:sz="0" w:space="0" w:color="auto"/>
        <w:right w:val="none" w:sz="0" w:space="0" w:color="auto"/>
      </w:divBdr>
    </w:div>
    <w:div w:id="200601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6/20/8777?utm_source=chatgpt.com" TargetMode="External"/><Relationship Id="rId13" Type="http://schemas.openxmlformats.org/officeDocument/2006/relationships/hyperlink" Target="https://www.unionenergy.com.sg/articles/how-embracing-solar-energy-can-boost-brand-perception-9?utm_source=chatgpt.com" TargetMode="External"/><Relationship Id="rId3" Type="http://schemas.openxmlformats.org/officeDocument/2006/relationships/settings" Target="settings.xml"/><Relationship Id="rId7" Type="http://schemas.openxmlformats.org/officeDocument/2006/relationships/hyperlink" Target="https://repqj.com/index.php/repqj/article/view/3948?utm_source=chatgpt.com" TargetMode="External"/><Relationship Id="rId12" Type="http://schemas.openxmlformats.org/officeDocument/2006/relationships/hyperlink" Target="https://arxiv.org/abs/2401.02042?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iencedirect.com/science/article/abs/pii/S0148296311004012?utm_source=chatgpt.com" TargetMode="External"/><Relationship Id="rId11" Type="http://schemas.openxmlformats.org/officeDocument/2006/relationships/hyperlink" Target="https://arxiv.org/abs/2105.00796?utm_source=chatgpt.com" TargetMode="External"/><Relationship Id="rId5" Type="http://schemas.openxmlformats.org/officeDocument/2006/relationships/hyperlink" Target="https://en.wikipedia.org/wiki/Greenwashing?utm_source=chatgpt.com" TargetMode="External"/><Relationship Id="rId15" Type="http://schemas.openxmlformats.org/officeDocument/2006/relationships/fontTable" Target="fontTable.xml"/><Relationship Id="rId10" Type="http://schemas.openxmlformats.org/officeDocument/2006/relationships/hyperlink" Target="https://www.mdpi.com/2071-1050/14/18/11356?utm_source=chatgpt.com" TargetMode="External"/><Relationship Id="rId4" Type="http://schemas.openxmlformats.org/officeDocument/2006/relationships/webSettings" Target="webSettings.xml"/><Relationship Id="rId9" Type="http://schemas.openxmlformats.org/officeDocument/2006/relationships/hyperlink" Target="https://www.mdpi.com/2071-1050/16/20/8777/xml?utm_source=chatgpt.com" TargetMode="External"/><Relationship Id="rId14" Type="http://schemas.openxmlformats.org/officeDocument/2006/relationships/hyperlink" Target="https://desklib.com/study-documents/solar-marketpla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4313</Words>
  <Characters>24585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2025-06-15T08:50:00Z</dcterms:created>
  <dcterms:modified xsi:type="dcterms:W3CDTF">2025-06-15T09:25:00Z</dcterms:modified>
</cp:coreProperties>
</file>