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3C566" w14:textId="77777777" w:rsidR="00C30F30" w:rsidRPr="00DA2E13" w:rsidRDefault="00C30F30" w:rsidP="00C30F3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F28AA01" w14:textId="77777777" w:rsidR="00C30F30" w:rsidRPr="00DA2E13" w:rsidRDefault="00C30F30" w:rsidP="00C30F3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24A7561F" w14:textId="58F1FD02"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 xml:space="preserve">Performance management is a critical component in the successful operation of industrial organizations. It is a continuous process that involves setting goals, evaluating outcomes, providing feedback, and developing employee potential in alignment with organizational objectives. In industrial sectors such as manufacturing, construction, energy, and mining—where </w:t>
      </w:r>
      <w:proofErr w:type="spellStart"/>
      <w:r w:rsidRPr="00C30F30">
        <w:rPr>
          <w:rFonts w:ascii="Times New Roman" w:hAnsi="Times New Roman" w:cs="Times New Roman"/>
          <w:sz w:val="24"/>
          <w:szCs w:val="24"/>
        </w:rPr>
        <w:t>labor</w:t>
      </w:r>
      <w:proofErr w:type="spellEnd"/>
      <w:r w:rsidRPr="00C30F30">
        <w:rPr>
          <w:rFonts w:ascii="Times New Roman" w:hAnsi="Times New Roman" w:cs="Times New Roman"/>
          <w:sz w:val="24"/>
          <w:szCs w:val="24"/>
        </w:rPr>
        <w:t xml:space="preserve"> is intensive and efficiency is paramount—effective performance management is essential for maintaining high levels of productivity, quality, and safety. These sectors depend heavily on skilled and semi-skilled workers whose performance directly influences operational success. As industries face increasing global competition and rapid technological advancements, the need to monitor, manage, and improve employee performance has become more pressing than ever.</w:t>
      </w:r>
    </w:p>
    <w:p w14:paraId="429F995C" w14:textId="73404533"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Traditionally, performance management focused on annual appraisals and outcome-based evaluations. Today, however, it encompasses a broader range of practices including real-time monitoring, continuous feedback, coaching, and professional development. It aims not only to assess performance but also to motivate workers, align their efforts with organizational goals, and foster a culture of accountability and continuous improvement. Effective performance management systems help identify high-performing employees, recognize and reward excellence, address performance gaps, and plan for future workforce needs. They also contribute to employee satisfaction, reduce turnover, and minimize workplace conflicts.</w:t>
      </w:r>
    </w:p>
    <w:p w14:paraId="7FCB3DCD" w14:textId="09BBD133"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Modern industrial organizations increasingly utilize digital tools and performance analytics to support their performance management strategies. These technologies allow for more accurate and timely evaluations, enabling managers to make informed decisions and workers to understand expectations more clearly. Nonetheless, challenges remain. Resistance to evaluation systems, lack of proper training for supervisors, and limited employee engagement can undermine the effectiveness of performance management. Furthermore, systems that overly emphasize output without considering worker well-being may lead to stress, burnout, or even safety violations.</w:t>
      </w:r>
    </w:p>
    <w:p w14:paraId="330EEA71" w14:textId="47127D93"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 xml:space="preserve">Therefore, a balanced and strategic approach is needed—one that integrates both quantitative and qualitative performance indicators, promotes fairness, and considers the human aspects of work. Managers must be equipped with the skills to provide constructive feedback, set clear expectations, and create a supportive environment for continuous learning. </w:t>
      </w:r>
      <w:r w:rsidRPr="00C30F30">
        <w:rPr>
          <w:rFonts w:ascii="Times New Roman" w:hAnsi="Times New Roman" w:cs="Times New Roman"/>
          <w:sz w:val="24"/>
          <w:szCs w:val="24"/>
        </w:rPr>
        <w:lastRenderedPageBreak/>
        <w:t>Employees should also be involved in setting performance goals to increase their commitment and ownership of results. Performance management in industrial settings must extend beyond the evaluation of tasks; it should also encourage innovation, teamwork, adaptability, and adherence to safety standards.</w:t>
      </w:r>
    </w:p>
    <w:p w14:paraId="4B1BBC4F" w14:textId="501D50DC" w:rsidR="00E75FD5" w:rsidRDefault="00C30F30">
      <w:pPr>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C30F30">
        <w:t xml:space="preserve"> </w:t>
      </w:r>
      <w:r w:rsidRPr="00C30F30">
        <w:rPr>
          <w:rFonts w:ascii="Times New Roman" w:hAnsi="Times New Roman" w:cs="Times New Roman"/>
          <w:b/>
          <w:sz w:val="24"/>
          <w:szCs w:val="24"/>
        </w:rPr>
        <w:t xml:space="preserve">Performance </w:t>
      </w:r>
      <w:proofErr w:type="gramStart"/>
      <w:r w:rsidRPr="00C30F30">
        <w:rPr>
          <w:rFonts w:ascii="Times New Roman" w:hAnsi="Times New Roman" w:cs="Times New Roman"/>
          <w:b/>
          <w:sz w:val="24"/>
          <w:szCs w:val="24"/>
        </w:rPr>
        <w:t>management</w:t>
      </w:r>
      <w:r>
        <w:rPr>
          <w:rFonts w:ascii="Times New Roman" w:hAnsi="Times New Roman" w:cs="Times New Roman"/>
          <w:b/>
          <w:sz w:val="24"/>
          <w:szCs w:val="24"/>
        </w:rPr>
        <w:t xml:space="preserve"> </w:t>
      </w:r>
      <w:r w:rsidRPr="00DA2E13">
        <w:rPr>
          <w:rFonts w:ascii="Times New Roman" w:hAnsi="Times New Roman" w:cs="Times New Roman"/>
          <w:b/>
          <w:sz w:val="24"/>
          <w:szCs w:val="24"/>
          <w:lang w:val="en-US"/>
        </w:rPr>
        <w:t>?</w:t>
      </w:r>
      <w:proofErr w:type="gramEnd"/>
    </w:p>
    <w:p w14:paraId="05D6D3B0" w14:textId="63515F2F"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The study helps improve overall productivity by identifying effective performance management strategies. Industrial organizations can streamline operations and reduce inefficiencies through better workforce oversight.</w:t>
      </w:r>
    </w:p>
    <w:p w14:paraId="1D83AECD" w14:textId="3FE12980"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It enhances employee motivation and engagement by promoting fair and transparent evaluation systems. Workers who feel valued and fairly assessed are more likely to stay committed and perform better.</w:t>
      </w:r>
    </w:p>
    <w:p w14:paraId="5FD5BA39" w14:textId="26313A30"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The research supports targeted training and development by identifying performance gaps. This ensures employees receive the right support to improve their skills and contribute more effectively.</w:t>
      </w:r>
    </w:p>
    <w:p w14:paraId="25560F0D" w14:textId="66D04ABA"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Managers can use the study’s findings to adopt better performance review and feedback practices. This leads to clearer communication and more constructive workplace relationships.</w:t>
      </w:r>
    </w:p>
    <w:p w14:paraId="718C203D" w14:textId="379F48BE"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The study emphasizes balancing productivity with workplace safety. By integrating safety into performance metrics, industries can reduce accidents and promote a secure working environment.</w:t>
      </w:r>
    </w:p>
    <w:p w14:paraId="27BDBF0B" w14:textId="15872970"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It encourages alignment between individual worker goals and broader organizational objectives. This alignment helps workers see their role in the company's success, fostering accountability and purpose.</w:t>
      </w:r>
    </w:p>
    <w:p w14:paraId="3556DEA4" w14:textId="7810E730" w:rsidR="00C30F30" w:rsidRPr="00C30F30" w:rsidRDefault="00C30F30" w:rsidP="00C30F30">
      <w:pPr>
        <w:pStyle w:val="ListParagraph"/>
        <w:numPr>
          <w:ilvl w:val="0"/>
          <w:numId w:val="3"/>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The study can help reduce employee turnover by improving job satisfaction through recognition and growth opportunities. A positive work environment leads to better retention.</w:t>
      </w:r>
    </w:p>
    <w:p w14:paraId="4A3B1E3D" w14:textId="34202143" w:rsidR="00C30F30" w:rsidRDefault="00C30F30" w:rsidP="00C30F30">
      <w:pPr>
        <w:spacing w:line="360" w:lineRule="auto"/>
        <w:jc w:val="both"/>
        <w:rPr>
          <w:rFonts w:ascii="Times New Roman" w:hAnsi="Times New Roman" w:cs="Times New Roman"/>
          <w:b/>
          <w:sz w:val="24"/>
          <w:szCs w:val="24"/>
        </w:rPr>
      </w:pPr>
      <w:r w:rsidRPr="00C30F30">
        <w:rPr>
          <w:rFonts w:ascii="Times New Roman" w:hAnsi="Times New Roman" w:cs="Times New Roman"/>
          <w:b/>
          <w:sz w:val="24"/>
          <w:szCs w:val="24"/>
        </w:rPr>
        <w:t>Performance management</w:t>
      </w:r>
      <w:r>
        <w:rPr>
          <w:rFonts w:ascii="Times New Roman" w:hAnsi="Times New Roman" w:cs="Times New Roman"/>
          <w:b/>
          <w:sz w:val="24"/>
          <w:szCs w:val="24"/>
        </w:rPr>
        <w:t xml:space="preserve"> </w:t>
      </w:r>
      <w:r w:rsidRPr="00C30F30">
        <w:rPr>
          <w:rFonts w:ascii="Times New Roman" w:hAnsi="Times New Roman" w:cs="Times New Roman"/>
          <w:b/>
          <w:sz w:val="24"/>
          <w:szCs w:val="24"/>
        </w:rPr>
        <w:t>advantages</w:t>
      </w:r>
    </w:p>
    <w:p w14:paraId="6847ED7D"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The study helps industries identify effective methods to improve worker performance. This leads to higher efficiency and better use of resources on the production floor.</w:t>
      </w:r>
    </w:p>
    <w:p w14:paraId="2A6ED477"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It allows management to understand the link between performance and motivation. Motivated employees are more productive, committed, and willing to take initiative.</w:t>
      </w:r>
    </w:p>
    <w:p w14:paraId="78D99CF6"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lastRenderedPageBreak/>
        <w:t>The study highlights the role of feedback in employee growth. Regular feedback helps workers understand expectations and improve continuously.</w:t>
      </w:r>
    </w:p>
    <w:p w14:paraId="4F67915D"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It provides insights into setting realistic and measurable performance goals. Clear goals help employees focus their efforts and achieve better results.</w:t>
      </w:r>
    </w:p>
    <w:p w14:paraId="53406A56"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The research supports better decision-making in promotions and rewards. Recognizing good performance fairly boosts employee satisfaction and loyalty.</w:t>
      </w:r>
    </w:p>
    <w:p w14:paraId="693C3F01"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It encourages the integration of safety into performance evaluation. This ensures productivity does not come at the cost of worker well-being.</w:t>
      </w:r>
    </w:p>
    <w:p w14:paraId="4749FA6E"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The study aids in identifying training needs based on actual performance data. Targeted training improves skill levels and reduces errors in industrial tasks.</w:t>
      </w:r>
    </w:p>
    <w:p w14:paraId="7C192B78"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It helps organizations adopt a systematic approach to performance management. A structured system ensures consistency and fairness across departments.</w:t>
      </w:r>
    </w:p>
    <w:p w14:paraId="6CA58ECE"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The research promotes employee involvement in the performance process. Engaged workers are more likely to accept feedback and strive for improvement.</w:t>
      </w:r>
    </w:p>
    <w:p w14:paraId="26646A8D" w14:textId="77777777" w:rsidR="00C30F30" w:rsidRPr="00C30F30" w:rsidRDefault="00C30F30" w:rsidP="00C30F30">
      <w:pPr>
        <w:numPr>
          <w:ilvl w:val="0"/>
          <w:numId w:val="5"/>
        </w:numPr>
        <w:tabs>
          <w:tab w:val="num" w:pos="720"/>
        </w:tabs>
        <w:spacing w:line="360" w:lineRule="auto"/>
        <w:jc w:val="both"/>
        <w:rPr>
          <w:rFonts w:ascii="Times New Roman" w:hAnsi="Times New Roman" w:cs="Times New Roman"/>
          <w:bCs/>
          <w:sz w:val="24"/>
          <w:szCs w:val="24"/>
        </w:rPr>
      </w:pPr>
      <w:r w:rsidRPr="00C30F30">
        <w:rPr>
          <w:rFonts w:ascii="Times New Roman" w:hAnsi="Times New Roman" w:cs="Times New Roman"/>
          <w:bCs/>
          <w:sz w:val="24"/>
          <w:szCs w:val="24"/>
        </w:rPr>
        <w:t>Finally, the study contributes to long-term organizational success. By improving individual performance, the company strengthens its competitiveness in the industry.</w:t>
      </w:r>
    </w:p>
    <w:p w14:paraId="1D82CB7F" w14:textId="77777777" w:rsidR="00C30F30" w:rsidRPr="00C30F30" w:rsidRDefault="00C30F30" w:rsidP="00C30F30">
      <w:pPr>
        <w:spacing w:line="360" w:lineRule="auto"/>
        <w:jc w:val="both"/>
        <w:rPr>
          <w:rFonts w:ascii="Times New Roman" w:hAnsi="Times New Roman" w:cs="Times New Roman"/>
          <w:bCs/>
          <w:sz w:val="24"/>
          <w:szCs w:val="24"/>
        </w:rPr>
      </w:pPr>
    </w:p>
    <w:p w14:paraId="05B7672F" w14:textId="77777777" w:rsidR="00C30F30" w:rsidRDefault="00C30F30"/>
    <w:p w14:paraId="71B74FDB" w14:textId="77777777" w:rsidR="00C30F30" w:rsidRDefault="00C30F30"/>
    <w:p w14:paraId="54B0BA35" w14:textId="77777777" w:rsidR="00C30F30" w:rsidRDefault="00C30F30"/>
    <w:p w14:paraId="472A4400" w14:textId="77777777" w:rsidR="00C30F30" w:rsidRDefault="00C30F30"/>
    <w:p w14:paraId="289F1533" w14:textId="77777777" w:rsidR="00C30F30" w:rsidRDefault="00C30F30"/>
    <w:p w14:paraId="7CFCDE16" w14:textId="77777777" w:rsidR="00C30F30" w:rsidRDefault="00C30F30"/>
    <w:p w14:paraId="4FB27A2B" w14:textId="77777777" w:rsidR="00C30F30" w:rsidRDefault="00C30F30"/>
    <w:p w14:paraId="2DACD010" w14:textId="77777777" w:rsidR="00C30F30" w:rsidRDefault="00C30F30"/>
    <w:p w14:paraId="544936D9" w14:textId="77777777" w:rsidR="00C30F30" w:rsidRDefault="00C30F30"/>
    <w:p w14:paraId="3E16DFD1" w14:textId="77777777" w:rsidR="00C30F30" w:rsidRDefault="00C30F30"/>
    <w:p w14:paraId="0B0D93F1" w14:textId="77777777" w:rsidR="00C30F30" w:rsidRDefault="00C30F30"/>
    <w:p w14:paraId="1A10A0F4" w14:textId="77777777" w:rsidR="00C30F30" w:rsidRDefault="00C30F30"/>
    <w:p w14:paraId="3E6C4640" w14:textId="77777777" w:rsidR="00C30F30" w:rsidRDefault="00C30F30" w:rsidP="00C30F30">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0D2D821" w14:textId="4DE110BC"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 xml:space="preserve">The industrial sector plays a vital role in the economic development of any country, serving as a backbone for employment, innovation, and production. It comprises a wide range of industries including manufacturing, construction, mining, energy, textiles, chemicals, and heavy machinery. These industries are typically </w:t>
      </w:r>
      <w:proofErr w:type="spellStart"/>
      <w:r w:rsidRPr="00C30F30">
        <w:rPr>
          <w:rFonts w:ascii="Times New Roman" w:hAnsi="Times New Roman" w:cs="Times New Roman"/>
          <w:bCs/>
          <w:sz w:val="24"/>
          <w:szCs w:val="24"/>
        </w:rPr>
        <w:t>labor-intensive</w:t>
      </w:r>
      <w:proofErr w:type="spellEnd"/>
      <w:r w:rsidRPr="00C30F30">
        <w:rPr>
          <w:rFonts w:ascii="Times New Roman" w:hAnsi="Times New Roman" w:cs="Times New Roman"/>
          <w:bCs/>
          <w:sz w:val="24"/>
          <w:szCs w:val="24"/>
        </w:rPr>
        <w:t xml:space="preserve">, requiring a large and diverse workforce to operate complex systems and machinery. </w:t>
      </w:r>
    </w:p>
    <w:p w14:paraId="791D40D1" w14:textId="144522BC"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Workers in the industrial sector are involved in various stages of production—ranging from raw material handling to final product assembly—making human performance a critical factor in operational success. As globalization, automation, and technological advancements continue to reshape industrial practices, the demand for efficient and effective workforce management has grown significantly.</w:t>
      </w:r>
    </w:p>
    <w:p w14:paraId="4C3908A5" w14:textId="516CE85B"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 xml:space="preserve">In many industries, productivity, quality control, and safety standards are directly influenced by how well employees perform their duties. Therefore, implementing structured performance management systems has become essential to maintain competitive advantage, reduce costs, and improve worker output. With growing emphasis on lean manufacturing, sustainability, and smart technology integration, industries are increasingly focusing on aligning individual performance with organizational goals. </w:t>
      </w:r>
    </w:p>
    <w:p w14:paraId="724C7787" w14:textId="0F7E6829"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As a result, performance management is no longer limited to annual reviews but involves continuous feedback, real-time monitoring, and skills development. This study focuses on understanding how such performance management systems operate within industrial settings and the impact they have on worker motivation, efficiency, and overall organizational performance.</w:t>
      </w:r>
    </w:p>
    <w:p w14:paraId="284B01A1" w14:textId="77777777" w:rsidR="00C30F30" w:rsidRDefault="00C30F30" w:rsidP="00C30F30">
      <w:pPr>
        <w:spacing w:line="360" w:lineRule="auto"/>
        <w:jc w:val="both"/>
        <w:rPr>
          <w:rFonts w:ascii="Times New Roman" w:hAnsi="Times New Roman" w:cs="Times New Roman"/>
          <w:b/>
          <w:sz w:val="24"/>
          <w:szCs w:val="24"/>
        </w:rPr>
      </w:pPr>
    </w:p>
    <w:p w14:paraId="68AFCAE8" w14:textId="5A1AD77B" w:rsidR="00C30F30" w:rsidRDefault="00C30F30">
      <w:r>
        <w:t xml:space="preserve"> </w:t>
      </w:r>
    </w:p>
    <w:p w14:paraId="5012B4E1" w14:textId="77777777" w:rsidR="00C30F30" w:rsidRDefault="00C30F30"/>
    <w:p w14:paraId="6020E9AD" w14:textId="77777777" w:rsidR="00C30F30" w:rsidRDefault="00C30F30"/>
    <w:p w14:paraId="56FB8AEB" w14:textId="77777777" w:rsidR="00C30F30" w:rsidRDefault="00C30F30"/>
    <w:p w14:paraId="15F39EF6" w14:textId="77777777" w:rsidR="00C30F30" w:rsidRDefault="00C30F30"/>
    <w:p w14:paraId="54E566D3" w14:textId="77777777" w:rsidR="00C30F30" w:rsidRDefault="00C30F30"/>
    <w:p w14:paraId="346B0B76" w14:textId="77777777" w:rsidR="00C30F30" w:rsidRDefault="00C30F30"/>
    <w:p w14:paraId="60078E88" w14:textId="77777777" w:rsidR="00C30F30" w:rsidRDefault="00C30F30"/>
    <w:p w14:paraId="662E58D5" w14:textId="77777777" w:rsidR="00C30F30" w:rsidRDefault="00C30F30" w:rsidP="00C30F30">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24CC1525" w14:textId="58253423"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In the industrial sector, workers play a pivotal role in achieving operational goals, maintaining production quality, and ensuring workplace safety. However, many industries face significant challenges in effectively managing the performance of their workforce. A lack of standardized performance management systems often leads to unclear expectations, inconsistent evaluations, and inadequate feedback, which can demotivate employees and reduce overall productivity. Additionally, some organizations focus heavily on output without giving enough attention to worker development or well-being, resulting in high levels of stress and job dissatisfaction. The absence of continuous performance monitoring and development opportunities limits workers’ ability to improve skills and adapt to changing technological demands. Moreover, industrial environments are often fast-paced and complex, requiring precise coordination and accountability that many existing performance systems fail to support adequately.</w:t>
      </w:r>
    </w:p>
    <w:p w14:paraId="4453E6E3" w14:textId="1206F490" w:rsidR="00C30F30" w:rsidRPr="00C30F30" w:rsidRDefault="00C30F30" w:rsidP="00C30F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30F30">
        <w:rPr>
          <w:rFonts w:ascii="Times New Roman" w:hAnsi="Times New Roman" w:cs="Times New Roman"/>
          <w:sz w:val="24"/>
          <w:szCs w:val="24"/>
        </w:rPr>
        <w:t xml:space="preserve">These gaps in managing worker performance contribute to operational inefficiencies, increased error rates, and elevated workplace accidents, all of which can have serious financial and reputational consequences for organizations. High employee turnover, absenteeism, and conflict within teams are also common outcomes when performance management is weak or unfair. Despite the critical importance of effective performance management, many industrial firms have yet to fully integrate modern practices such as real-time feedback, goal alignment, and employee involvement in the evaluation process. </w:t>
      </w:r>
    </w:p>
    <w:p w14:paraId="50D76DBF" w14:textId="03690565" w:rsidR="00C30F30" w:rsidRDefault="00C30F30" w:rsidP="00C30F30">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D64CABA" w14:textId="4CBD2191" w:rsidR="00C30F30" w:rsidRPr="00C30F30" w:rsidRDefault="00C30F30" w:rsidP="00C30F30">
      <w:pPr>
        <w:pStyle w:val="ListParagraph"/>
        <w:numPr>
          <w:ilvl w:val="0"/>
          <w:numId w:val="5"/>
        </w:numPr>
        <w:spacing w:line="360" w:lineRule="auto"/>
        <w:jc w:val="both"/>
        <w:rPr>
          <w:rFonts w:ascii="Times New Roman" w:hAnsi="Times New Roman" w:cs="Times New Roman"/>
          <w:sz w:val="24"/>
          <w:szCs w:val="24"/>
        </w:rPr>
      </w:pPr>
      <w:proofErr w:type="spellStart"/>
      <w:r w:rsidRPr="00C30F30">
        <w:rPr>
          <w:rFonts w:ascii="Times New Roman" w:hAnsi="Times New Roman" w:cs="Times New Roman"/>
          <w:sz w:val="24"/>
          <w:szCs w:val="24"/>
        </w:rPr>
        <w:t>Analyze</w:t>
      </w:r>
      <w:proofErr w:type="spellEnd"/>
      <w:r w:rsidRPr="00C30F30">
        <w:rPr>
          <w:rFonts w:ascii="Times New Roman" w:hAnsi="Times New Roman" w:cs="Times New Roman"/>
          <w:sz w:val="24"/>
          <w:szCs w:val="24"/>
        </w:rPr>
        <w:t xml:space="preserve"> current performance management systems used in various industrial organizations to understand how worker performance is evaluated and managed.</w:t>
      </w:r>
    </w:p>
    <w:p w14:paraId="1EC23257" w14:textId="58E68ED1" w:rsidR="00C30F30" w:rsidRPr="00C30F30" w:rsidRDefault="00C30F30" w:rsidP="00C30F30">
      <w:pPr>
        <w:pStyle w:val="ListParagraph"/>
        <w:numPr>
          <w:ilvl w:val="0"/>
          <w:numId w:val="5"/>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Identify challenges and barriers faced by both management and workers in the implementation of effective performance management practices.</w:t>
      </w:r>
    </w:p>
    <w:p w14:paraId="1B11F552" w14:textId="6C257668" w:rsidR="00C30F30" w:rsidRPr="00C30F30" w:rsidRDefault="00C30F30" w:rsidP="00C30F30">
      <w:pPr>
        <w:pStyle w:val="ListParagraph"/>
        <w:numPr>
          <w:ilvl w:val="0"/>
          <w:numId w:val="5"/>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Evaluate the relationship between performance management and employee motivation, engagement, and job satisfaction in the industrial context.</w:t>
      </w:r>
    </w:p>
    <w:p w14:paraId="1AFD09BB" w14:textId="6FD7828A" w:rsidR="00C30F30" w:rsidRPr="00C30F30" w:rsidRDefault="00C30F30" w:rsidP="00C30F30">
      <w:pPr>
        <w:pStyle w:val="ListParagraph"/>
        <w:numPr>
          <w:ilvl w:val="0"/>
          <w:numId w:val="5"/>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Assess the role of performance feedback, training, and development in enhancing workers’ skills and overall performance.</w:t>
      </w:r>
    </w:p>
    <w:p w14:paraId="786B1496" w14:textId="2DB33EDA" w:rsidR="00C30F30" w:rsidRPr="00C30F30" w:rsidRDefault="00C30F30" w:rsidP="00C30F30">
      <w:pPr>
        <w:pStyle w:val="ListParagraph"/>
        <w:numPr>
          <w:ilvl w:val="0"/>
          <w:numId w:val="5"/>
        </w:numPr>
        <w:spacing w:line="360" w:lineRule="auto"/>
        <w:jc w:val="both"/>
        <w:rPr>
          <w:rFonts w:ascii="Times New Roman" w:hAnsi="Times New Roman" w:cs="Times New Roman"/>
          <w:sz w:val="24"/>
          <w:szCs w:val="24"/>
        </w:rPr>
      </w:pPr>
      <w:r w:rsidRPr="00C30F30">
        <w:rPr>
          <w:rFonts w:ascii="Times New Roman" w:hAnsi="Times New Roman" w:cs="Times New Roman"/>
          <w:sz w:val="24"/>
          <w:szCs w:val="24"/>
        </w:rPr>
        <w:t>Examine how safety and quality standards are integrated into the performance management process within industrial workplaces.</w:t>
      </w:r>
    </w:p>
    <w:p w14:paraId="20007716" w14:textId="77777777" w:rsidR="00C30F30" w:rsidRDefault="00C30F30" w:rsidP="00C30F30">
      <w:pPr>
        <w:spacing w:line="360" w:lineRule="auto"/>
        <w:jc w:val="both"/>
        <w:rPr>
          <w:rFonts w:ascii="Times New Roman" w:hAnsi="Times New Roman" w:cs="Times New Roman"/>
          <w:b/>
          <w:bCs/>
          <w:sz w:val="24"/>
          <w:szCs w:val="24"/>
          <w:lang w:val="en-US"/>
        </w:rPr>
      </w:pPr>
      <w:bookmarkStart w:id="0" w:name="_Hlk199674845"/>
    </w:p>
    <w:p w14:paraId="0B0779CB" w14:textId="4DB7D202" w:rsidR="00C30F30" w:rsidRDefault="00C30F30" w:rsidP="00C30F30">
      <w:pPr>
        <w:spacing w:line="360" w:lineRule="auto"/>
        <w:jc w:val="both"/>
        <w:rPr>
          <w:rFonts w:ascii="Times New Roman" w:hAnsi="Times New Roman" w:cs="Times New Roman"/>
          <w:b/>
          <w:bCs/>
          <w:sz w:val="24"/>
          <w:szCs w:val="24"/>
          <w:lang w:val="en-US"/>
        </w:rPr>
      </w:pPr>
      <w:r w:rsidRPr="00C30F30">
        <w:rPr>
          <w:rFonts w:ascii="Times New Roman" w:hAnsi="Times New Roman" w:cs="Times New Roman"/>
          <w:b/>
          <w:bCs/>
          <w:sz w:val="24"/>
          <w:szCs w:val="24"/>
          <w:lang w:val="en-US"/>
        </w:rPr>
        <w:lastRenderedPageBreak/>
        <w:t>1.6 SCOPE OF THE STUDY</w:t>
      </w:r>
    </w:p>
    <w:p w14:paraId="1F9D368D" w14:textId="7BA9BDAB"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This study focuses on performance management practices among workers in the industrial sector, particularly within manufacturing and production-based industries. It examines how organizations set performance goals, conduct evaluations, provide feedback, and implement development programs to improve worker productivity and satisfaction. The research covers both managerial and worker perspectives to gain a comprehensive understanding of the effectiveness of current performance management systems.</w:t>
      </w:r>
    </w:p>
    <w:p w14:paraId="6D4276BE" w14:textId="3A7B431E" w:rsidR="00C30F30" w:rsidRP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Geographically, the study is limited to industrial organizations operating within [specify region or country], providing a localized context that reflects the unique economic, cultural, and regulatory factors influencing performance management. The study primarily targets frontline workers and their supervisors, as they are directly involved in day-to-day operations and performance evaluations.</w:t>
      </w:r>
    </w:p>
    <w:p w14:paraId="29D247B8" w14:textId="2DB3DCE6" w:rsidR="00C30F30" w:rsidRDefault="00C30F30" w:rsidP="00C30F3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C30F30">
        <w:rPr>
          <w:rFonts w:ascii="Times New Roman" w:hAnsi="Times New Roman" w:cs="Times New Roman"/>
          <w:bCs/>
          <w:sz w:val="24"/>
          <w:szCs w:val="24"/>
        </w:rPr>
        <w:t>While the study explores various components of performance management, including motivation, training, safety, and feedback mechanisms, it does not extend to broader human resource functions such as recruitment or compensation policies. Additionally, the study focuses on formal performance management processes and does not delve deeply into informal or social aspects of workplace performance.</w:t>
      </w:r>
    </w:p>
    <w:p w14:paraId="6E3C5A0B" w14:textId="77777777" w:rsidR="00C30F30" w:rsidRPr="001A008C" w:rsidRDefault="00C30F30" w:rsidP="00C30F30">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2A20FD64" w14:textId="5B6D62C5" w:rsidR="00B10AA0" w:rsidRP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 xml:space="preserve">This study on performance management among workers in the industry acknowledges several limitations that may affect the scope, depth, and generalizability of its findings. One primary limitation is the geographical focus of the research, which is restricted to industrial organizations within [specify region or country]. Because economic conditions, </w:t>
      </w:r>
      <w:proofErr w:type="spellStart"/>
      <w:r w:rsidRPr="00B10AA0">
        <w:rPr>
          <w:rFonts w:ascii="Times New Roman" w:hAnsi="Times New Roman" w:cs="Times New Roman"/>
          <w:bCs/>
          <w:sz w:val="24"/>
          <w:szCs w:val="24"/>
        </w:rPr>
        <w:t>labor</w:t>
      </w:r>
      <w:proofErr w:type="spellEnd"/>
      <w:r w:rsidRPr="00B10AA0">
        <w:rPr>
          <w:rFonts w:ascii="Times New Roman" w:hAnsi="Times New Roman" w:cs="Times New Roman"/>
          <w:bCs/>
          <w:sz w:val="24"/>
          <w:szCs w:val="24"/>
        </w:rPr>
        <w:t xml:space="preserve"> laws, cultural attitudes, and management practices can vary significantly across different regions, the results of this study may not be fully applicable or transferable to industries operating in other countries or regions with different contexts. This regional focus limits the ability to generalize findings on a global scale.</w:t>
      </w:r>
    </w:p>
    <w:p w14:paraId="4EA5ABAF" w14:textId="783A0E9D" w:rsidR="00B10AA0" w:rsidRP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 xml:space="preserve">Additionally, the study is concentrated mainly on certain sectors within the industrial field, particularly manufacturing and production-based industries. Although these sectors represent a significant portion of industrial </w:t>
      </w:r>
      <w:proofErr w:type="spellStart"/>
      <w:r w:rsidRPr="00B10AA0">
        <w:rPr>
          <w:rFonts w:ascii="Times New Roman" w:hAnsi="Times New Roman" w:cs="Times New Roman"/>
          <w:bCs/>
          <w:sz w:val="24"/>
          <w:szCs w:val="24"/>
        </w:rPr>
        <w:t>labor</w:t>
      </w:r>
      <w:proofErr w:type="spellEnd"/>
      <w:r w:rsidRPr="00B10AA0">
        <w:rPr>
          <w:rFonts w:ascii="Times New Roman" w:hAnsi="Times New Roman" w:cs="Times New Roman"/>
          <w:bCs/>
          <w:sz w:val="24"/>
          <w:szCs w:val="24"/>
        </w:rPr>
        <w:t xml:space="preserve">, other important industrial segments such as construction, mining, or energy sectors are not deeply explored. This sector-specific focus may </w:t>
      </w:r>
      <w:r w:rsidRPr="00B10AA0">
        <w:rPr>
          <w:rFonts w:ascii="Times New Roman" w:hAnsi="Times New Roman" w:cs="Times New Roman"/>
          <w:bCs/>
          <w:sz w:val="24"/>
          <w:szCs w:val="24"/>
        </w:rPr>
        <w:lastRenderedPageBreak/>
        <w:t>exclude unique performance management challenges and practices found in those areas, thus narrowing the applicability of the conclusions.</w:t>
      </w:r>
    </w:p>
    <w:p w14:paraId="44B847EB" w14:textId="5C5DEBF7" w:rsidR="00B10AA0" w:rsidRP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Data collection methods also impose certain limitations. The study relies heavily on self-reported data from workers, supervisors, and managers through surveys, interviews, or questionnaires. Self-reporting can introduce bias, as respondents might provide socially desirable answers or underreport negative experiences related to performance evaluations. Workers may fear repercussions or lack trust in confidentiality, which could result in incomplete or inaccurate data. Moreover, access to sensitive company records or performance metrics may be limited due to confidentiality agreements or organizational policies, restricting the depth of analysis possible.</w:t>
      </w:r>
    </w:p>
    <w:p w14:paraId="6CABD910" w14:textId="164316D3" w:rsidR="00B10AA0" w:rsidRP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Time constraints further limit the study, which focuses on performance management practices within the last five years. While this timeframe captures recent trends and contemporary practices, it may overlook longer-term changes or historical factors influencing current performance management systems. Industrial practices often evolve over decades, and short-term analysis may miss cyclical patterns or gradual improvements.</w:t>
      </w:r>
    </w:p>
    <w:p w14:paraId="17B31AB9" w14:textId="3E45990A" w:rsid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The study also concentrates mainly on formal performance management systems such as goal setting, appraisals, feedback, and training. However, informal factors affecting worker performance, such as workplace culture, peer influence, and social dynamics, are not fully addressed. These intangible elements can play a significant role in employee motivation and productivity but are difficult to measure and therefore outside the scope of this research.</w:t>
      </w:r>
    </w:p>
    <w:p w14:paraId="7B3FCAFE" w14:textId="77777777" w:rsidR="00B10AA0" w:rsidRDefault="00B10AA0" w:rsidP="00B10AA0">
      <w:pPr>
        <w:spacing w:line="360" w:lineRule="auto"/>
        <w:jc w:val="both"/>
        <w:rPr>
          <w:rFonts w:ascii="Times New Roman" w:hAnsi="Times New Roman" w:cs="Times New Roman"/>
          <w:bCs/>
          <w:sz w:val="24"/>
          <w:szCs w:val="24"/>
        </w:rPr>
      </w:pPr>
    </w:p>
    <w:p w14:paraId="228E97BA" w14:textId="77777777" w:rsidR="00B10AA0" w:rsidRDefault="00B10AA0" w:rsidP="00B10AA0">
      <w:pPr>
        <w:spacing w:line="360" w:lineRule="auto"/>
        <w:jc w:val="both"/>
        <w:rPr>
          <w:rFonts w:ascii="Times New Roman" w:hAnsi="Times New Roman" w:cs="Times New Roman"/>
          <w:bCs/>
          <w:sz w:val="24"/>
          <w:szCs w:val="24"/>
        </w:rPr>
      </w:pPr>
    </w:p>
    <w:p w14:paraId="11EA930E" w14:textId="77777777" w:rsidR="00B10AA0" w:rsidRDefault="00B10AA0" w:rsidP="00B10AA0">
      <w:pPr>
        <w:spacing w:line="360" w:lineRule="auto"/>
        <w:jc w:val="both"/>
        <w:rPr>
          <w:rFonts w:ascii="Times New Roman" w:hAnsi="Times New Roman" w:cs="Times New Roman"/>
          <w:bCs/>
          <w:sz w:val="24"/>
          <w:szCs w:val="24"/>
        </w:rPr>
      </w:pPr>
    </w:p>
    <w:p w14:paraId="11EBA58B" w14:textId="77777777" w:rsidR="00B10AA0" w:rsidRDefault="00B10AA0" w:rsidP="00B10AA0">
      <w:pPr>
        <w:spacing w:line="360" w:lineRule="auto"/>
        <w:jc w:val="both"/>
        <w:rPr>
          <w:rFonts w:ascii="Times New Roman" w:hAnsi="Times New Roman" w:cs="Times New Roman"/>
          <w:bCs/>
          <w:sz w:val="24"/>
          <w:szCs w:val="24"/>
        </w:rPr>
      </w:pPr>
    </w:p>
    <w:p w14:paraId="178D2B21" w14:textId="77777777" w:rsidR="00B10AA0" w:rsidRDefault="00B10AA0" w:rsidP="00B10AA0">
      <w:pPr>
        <w:spacing w:line="360" w:lineRule="auto"/>
        <w:jc w:val="both"/>
        <w:rPr>
          <w:rFonts w:ascii="Times New Roman" w:hAnsi="Times New Roman" w:cs="Times New Roman"/>
          <w:bCs/>
          <w:sz w:val="24"/>
          <w:szCs w:val="24"/>
        </w:rPr>
      </w:pPr>
    </w:p>
    <w:p w14:paraId="5DA377FC" w14:textId="77777777" w:rsidR="00B10AA0" w:rsidRDefault="00B10AA0" w:rsidP="00B10AA0">
      <w:pPr>
        <w:spacing w:line="360" w:lineRule="auto"/>
        <w:jc w:val="both"/>
        <w:rPr>
          <w:rFonts w:ascii="Times New Roman" w:hAnsi="Times New Roman" w:cs="Times New Roman"/>
          <w:bCs/>
          <w:sz w:val="24"/>
          <w:szCs w:val="24"/>
        </w:rPr>
      </w:pPr>
    </w:p>
    <w:p w14:paraId="7CE920AB" w14:textId="77777777" w:rsidR="00B10AA0" w:rsidRDefault="00B10AA0" w:rsidP="00B10AA0">
      <w:pPr>
        <w:spacing w:line="360" w:lineRule="auto"/>
        <w:jc w:val="both"/>
        <w:rPr>
          <w:rFonts w:ascii="Times New Roman" w:hAnsi="Times New Roman" w:cs="Times New Roman"/>
          <w:bCs/>
          <w:sz w:val="24"/>
          <w:szCs w:val="24"/>
        </w:rPr>
      </w:pPr>
    </w:p>
    <w:p w14:paraId="42AB4BFD" w14:textId="77777777" w:rsidR="00B10AA0" w:rsidRDefault="00B10AA0" w:rsidP="00B10AA0">
      <w:pPr>
        <w:spacing w:line="360" w:lineRule="auto"/>
        <w:jc w:val="both"/>
        <w:rPr>
          <w:rFonts w:ascii="Times New Roman" w:hAnsi="Times New Roman" w:cs="Times New Roman"/>
          <w:bCs/>
          <w:sz w:val="24"/>
          <w:szCs w:val="24"/>
        </w:rPr>
      </w:pPr>
    </w:p>
    <w:p w14:paraId="0D0BFE64" w14:textId="77777777" w:rsidR="00B10AA0" w:rsidRDefault="00B10AA0" w:rsidP="00B10AA0">
      <w:pPr>
        <w:spacing w:line="360" w:lineRule="auto"/>
        <w:jc w:val="both"/>
        <w:rPr>
          <w:rFonts w:ascii="Times New Roman" w:hAnsi="Times New Roman" w:cs="Times New Roman"/>
          <w:bCs/>
          <w:sz w:val="24"/>
          <w:szCs w:val="24"/>
        </w:rPr>
      </w:pPr>
    </w:p>
    <w:p w14:paraId="220E7CA9" w14:textId="77777777" w:rsidR="00B10AA0" w:rsidRPr="00AD7255" w:rsidRDefault="00B10AA0" w:rsidP="00B10AA0">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20D12F6C" w14:textId="77777777" w:rsidR="00B10AA0" w:rsidRDefault="00B10AA0" w:rsidP="00B10AA0">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0901D891" w14:textId="53B4CF4C" w:rsidR="00B10AA0" w:rsidRPr="00B10AA0" w:rsidRDefault="00B10AA0" w:rsidP="00B10AA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10AA0">
        <w:rPr>
          <w:rFonts w:ascii="Times New Roman" w:hAnsi="Times New Roman" w:cs="Times New Roman"/>
          <w:bCs/>
          <w:sz w:val="24"/>
          <w:szCs w:val="24"/>
        </w:rPr>
        <w:t>Performance management is a vital organizational process that involves planning, monitoring, and evaluating employee performance to ensure alignment with company goals. Over the years, a substantial body of literature has emerged to explore the theories, practices, and outcomes associated with performance management in various sectors, including industry. This chapter reviews existing research related to performance management systems, employee motivation, feedback mechanisms, training and development, and the challenges specific to industrial workforces.</w:t>
      </w:r>
    </w:p>
    <w:p w14:paraId="26DDDB83" w14:textId="1426333F"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 xml:space="preserve"> Concept and Importance of Performance Management</w:t>
      </w:r>
    </w:p>
    <w:p w14:paraId="283B0A35"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 xml:space="preserve">Performance management is broadly defined as a continuous process of identifying, measuring, and developing the performance of individuals and teams (Armstrong, 2009). It aims not only at appraising past performance but also at facilitating employee growth and enhancing organizational effectiveness. According to </w:t>
      </w:r>
      <w:proofErr w:type="spellStart"/>
      <w:r w:rsidRPr="00B10AA0">
        <w:rPr>
          <w:rFonts w:ascii="Times New Roman" w:hAnsi="Times New Roman" w:cs="Times New Roman"/>
          <w:bCs/>
          <w:sz w:val="24"/>
          <w:szCs w:val="24"/>
        </w:rPr>
        <w:t>Aguinis</w:t>
      </w:r>
      <w:proofErr w:type="spellEnd"/>
      <w:r w:rsidRPr="00B10AA0">
        <w:rPr>
          <w:rFonts w:ascii="Times New Roman" w:hAnsi="Times New Roman" w:cs="Times New Roman"/>
          <w:bCs/>
          <w:sz w:val="24"/>
          <w:szCs w:val="24"/>
        </w:rPr>
        <w:t xml:space="preserve"> (2013), an effective performance management system creates a direct link between individual performance and organizational success, helping to clarify expectations, improve communication, and foster accountability.</w:t>
      </w:r>
    </w:p>
    <w:p w14:paraId="7C035004"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In industrial settings, where operational efficiency and safety are paramount, performance management takes on added importance. Studies by Guest (2017) emphasize that well-structured performance management leads to increased productivity, reduced operational errors, and better compliance with safety protocols. Industrial workers often perform repetitive or technical tasks where consistency and quality are critical; thus, managing performance effectively can have a significant impact on overall business outcomes.</w:t>
      </w:r>
    </w:p>
    <w:p w14:paraId="2621B592" w14:textId="3B7CF889"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 xml:space="preserve"> Performance Appraisal and Feedback in Industry</w:t>
      </w:r>
    </w:p>
    <w:p w14:paraId="763F6F4A"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Traditional performance appraisals have often been criticized for being infrequent, subjective, and disconnected from employee development (</w:t>
      </w:r>
      <w:proofErr w:type="spellStart"/>
      <w:r w:rsidRPr="00B10AA0">
        <w:rPr>
          <w:rFonts w:ascii="Times New Roman" w:hAnsi="Times New Roman" w:cs="Times New Roman"/>
          <w:bCs/>
          <w:sz w:val="24"/>
          <w:szCs w:val="24"/>
        </w:rPr>
        <w:t>Pulakos</w:t>
      </w:r>
      <w:proofErr w:type="spellEnd"/>
      <w:r w:rsidRPr="00B10AA0">
        <w:rPr>
          <w:rFonts w:ascii="Times New Roman" w:hAnsi="Times New Roman" w:cs="Times New Roman"/>
          <w:bCs/>
          <w:sz w:val="24"/>
          <w:szCs w:val="24"/>
        </w:rPr>
        <w:t>, 2009). However, modern approaches focus on continuous feedback, goal-setting, and real-time performance tracking (London, 2013). In industrial environments, timely feedback is crucial because it allows workers to correct errors promptly and maintain safety standards.</w:t>
      </w:r>
    </w:p>
    <w:p w14:paraId="7A9D4E22"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 xml:space="preserve">Research by DeNisi and Williams (2018) suggests that continuous performance feedback improves worker motivation and engagement. When supervisors provide constructive feedback </w:t>
      </w:r>
      <w:r w:rsidRPr="00B10AA0">
        <w:rPr>
          <w:rFonts w:ascii="Times New Roman" w:hAnsi="Times New Roman" w:cs="Times New Roman"/>
          <w:bCs/>
          <w:sz w:val="24"/>
          <w:szCs w:val="24"/>
        </w:rPr>
        <w:lastRenderedPageBreak/>
        <w:t>regularly, employees are more likely to understand expectations and strive to improve their skills. However, in many industrial settings, communication gaps and managerial training deficiencies hinder effective feedback delivery (Brewster et al., 2016).</w:t>
      </w:r>
    </w:p>
    <w:p w14:paraId="7FCB700D" w14:textId="1065E4BC"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 xml:space="preserve"> Motivation and Employee Engagement</w:t>
      </w:r>
    </w:p>
    <w:p w14:paraId="3A968CBF"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Motivation is a key factor influencing worker performance. Herzberg’s Two-Factor Theory (1959) identifies factors such as recognition, achievement, and job responsibility as critical motivators beyond mere salary. In industrial settings, studies by Latham and Pinder (2005) demonstrate that employees who perceive performance management systems as fair and supportive tend to exhibit higher engagement and job satisfaction.</w:t>
      </w:r>
    </w:p>
    <w:p w14:paraId="3CA25620"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Furthermore, employee involvement in setting performance goals is linked to increased ownership and commitment (Locke &amp; Latham, 2002). This participative approach is especially relevant in industrial workplaces, where clear, achievable goals can guide repetitive or complex tasks. However, research indicates that many organizations fail to adequately involve workers in performance discussions, which may limit motivation and productivity (Bakker &amp; Demerouti, 2017).</w:t>
      </w:r>
    </w:p>
    <w:p w14:paraId="3ACEE231" w14:textId="5C2C6300"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Training and Development</w:t>
      </w:r>
    </w:p>
    <w:p w14:paraId="2DC8401A"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A critical component of performance management is identifying skill gaps and providing appropriate training. Industrial workers often require both technical skills and safety awareness to perform effectively. According to Noe (2017), continuous training programs not only improve individual capabilities but also foster a culture of learning that benefits organizational adaptability.</w:t>
      </w:r>
    </w:p>
    <w:p w14:paraId="764FF82A"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Several studies highlight the positive correlation between training initiatives and improved performance in industrial sectors. For example, a study by Salas et al. (2012) found that well-designed training programs significantly reduce workplace accidents and improve task accuracy. Nevertheless, training delivery can be inconsistent due to budget constraints or management priorities, affecting overall workforce competence (Arthur et al., 2003).</w:t>
      </w:r>
    </w:p>
    <w:p w14:paraId="2C04E76C" w14:textId="77777777" w:rsidR="00B10AA0" w:rsidRPr="00B10AA0" w:rsidRDefault="00B10AA0" w:rsidP="00B10AA0">
      <w:pPr>
        <w:spacing w:line="360" w:lineRule="auto"/>
        <w:jc w:val="both"/>
        <w:rPr>
          <w:rFonts w:ascii="Times New Roman" w:hAnsi="Times New Roman" w:cs="Times New Roman"/>
          <w:bCs/>
          <w:sz w:val="24"/>
          <w:szCs w:val="24"/>
        </w:rPr>
      </w:pPr>
    </w:p>
    <w:p w14:paraId="4EFEA694" w14:textId="4D14F1DD" w:rsidR="00B10AA0" w:rsidRPr="00B10AA0" w:rsidRDefault="00B10AA0" w:rsidP="00B10AA0">
      <w:pPr>
        <w:spacing w:line="360" w:lineRule="auto"/>
        <w:jc w:val="both"/>
        <w:rPr>
          <w:rFonts w:ascii="Times New Roman" w:hAnsi="Times New Roman" w:cs="Times New Roman"/>
          <w:bCs/>
          <w:sz w:val="24"/>
          <w:szCs w:val="24"/>
        </w:rPr>
      </w:pPr>
    </w:p>
    <w:p w14:paraId="512CBAE8" w14:textId="77777777" w:rsidR="00C30F30" w:rsidRDefault="00C30F30" w:rsidP="00C30F30">
      <w:pPr>
        <w:spacing w:line="360" w:lineRule="auto"/>
        <w:jc w:val="both"/>
        <w:rPr>
          <w:rFonts w:ascii="Times New Roman" w:hAnsi="Times New Roman" w:cs="Times New Roman"/>
          <w:bCs/>
          <w:sz w:val="24"/>
          <w:szCs w:val="24"/>
        </w:rPr>
      </w:pPr>
    </w:p>
    <w:p w14:paraId="0E339FD3" w14:textId="77777777" w:rsidR="00B10AA0" w:rsidRDefault="00B10AA0" w:rsidP="00C30F30">
      <w:pPr>
        <w:spacing w:line="360" w:lineRule="auto"/>
        <w:jc w:val="both"/>
        <w:rPr>
          <w:rFonts w:ascii="Times New Roman" w:hAnsi="Times New Roman" w:cs="Times New Roman"/>
          <w:bCs/>
          <w:sz w:val="24"/>
          <w:szCs w:val="24"/>
        </w:rPr>
      </w:pPr>
    </w:p>
    <w:p w14:paraId="2778DD82" w14:textId="77777777" w:rsidR="00B10AA0" w:rsidRPr="0078607C" w:rsidRDefault="00B10AA0" w:rsidP="00B10AA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2D6961F" w14:textId="77777777" w:rsidR="00B10AA0" w:rsidRPr="0078607C" w:rsidRDefault="00B10AA0" w:rsidP="00B10AA0">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507A009B"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This chapter outlines the research design, methods of data collection, sampling techniques, and data analysis procedures used in the study of performance management among workers in the industry. The methodology is designed to ensure the collection of reliable and valid data to address the research objectives effectively.</w:t>
      </w:r>
    </w:p>
    <w:p w14:paraId="73762BF9" w14:textId="5A85C9D6"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Research Design</w:t>
      </w:r>
    </w:p>
    <w:p w14:paraId="1781DE5B"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The study employs a descriptive research design aimed at providing a detailed understanding of the current performance management practices among industrial workers. Descriptive research is appropriate for this study because it allows for systematic data collection and analysis to describe existing phenomena, identify challenges, and assess the effectiveness of performance management systems.</w:t>
      </w:r>
    </w:p>
    <w:p w14:paraId="6C3BF5F0" w14:textId="0798C1AF"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Population and Sampling</w:t>
      </w:r>
    </w:p>
    <w:p w14:paraId="5356F0D2"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The target population for this study includes industrial workers and their supervisors/managers within selected manufacturing and production companies in [specify region or country]. A purposive sampling technique will be used to select organizations that have formal performance management systems in place. Within these organizations, a stratified random sampling method will be applied to select participants from different departments and job levels, ensuring a representative sample.</w:t>
      </w:r>
    </w:p>
    <w:p w14:paraId="49619336" w14:textId="50CAC528"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Sample Size</w:t>
      </w:r>
    </w:p>
    <w:p w14:paraId="3F59602D"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The sample size will consist of approximately [specify number] respondents, including frontline workers, supervisors, and human resource personnel. The size is determined to balance the need for statistical validity with practical considerations such as time and resource availability.</w:t>
      </w:r>
    </w:p>
    <w:p w14:paraId="62CB64DA" w14:textId="5E43C11B"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Data Collection Methods</w:t>
      </w:r>
    </w:p>
    <w:p w14:paraId="2FE8FC7A"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Data will be collected using a combination of quantitative and qualitative methods to provide a comprehensive view of performance management practices:</w:t>
      </w:r>
    </w:p>
    <w:p w14:paraId="182AA2C6" w14:textId="77777777" w:rsidR="00B10AA0" w:rsidRPr="00B10AA0" w:rsidRDefault="00B10AA0" w:rsidP="00B10AA0">
      <w:pPr>
        <w:numPr>
          <w:ilvl w:val="0"/>
          <w:numId w:val="7"/>
        </w:numPr>
        <w:spacing w:line="360" w:lineRule="auto"/>
        <w:jc w:val="both"/>
        <w:rPr>
          <w:rFonts w:ascii="Times New Roman" w:hAnsi="Times New Roman" w:cs="Times New Roman"/>
          <w:bCs/>
          <w:sz w:val="24"/>
          <w:szCs w:val="24"/>
        </w:rPr>
      </w:pPr>
      <w:r w:rsidRPr="00B10AA0">
        <w:rPr>
          <w:rFonts w:ascii="Times New Roman" w:hAnsi="Times New Roman" w:cs="Times New Roman"/>
          <w:b/>
          <w:bCs/>
          <w:sz w:val="24"/>
          <w:szCs w:val="24"/>
        </w:rPr>
        <w:lastRenderedPageBreak/>
        <w:t>Questionnaires:</w:t>
      </w:r>
      <w:r w:rsidRPr="00B10AA0">
        <w:rPr>
          <w:rFonts w:ascii="Times New Roman" w:hAnsi="Times New Roman" w:cs="Times New Roman"/>
          <w:bCs/>
          <w:sz w:val="24"/>
          <w:szCs w:val="24"/>
        </w:rPr>
        <w:t xml:space="preserve"> Structured questionnaires with closed and open-ended questions will be administered to workers and supervisors to gather quantitative data on performance appraisal methods, feedback frequency, motivation levels, and training opportunities.</w:t>
      </w:r>
    </w:p>
    <w:p w14:paraId="36B3403A" w14:textId="77777777" w:rsidR="00B10AA0" w:rsidRPr="00B10AA0" w:rsidRDefault="00B10AA0" w:rsidP="00B10AA0">
      <w:pPr>
        <w:numPr>
          <w:ilvl w:val="0"/>
          <w:numId w:val="7"/>
        </w:numPr>
        <w:spacing w:line="360" w:lineRule="auto"/>
        <w:jc w:val="both"/>
        <w:rPr>
          <w:rFonts w:ascii="Times New Roman" w:hAnsi="Times New Roman" w:cs="Times New Roman"/>
          <w:bCs/>
          <w:sz w:val="24"/>
          <w:szCs w:val="24"/>
        </w:rPr>
      </w:pPr>
      <w:r w:rsidRPr="00B10AA0">
        <w:rPr>
          <w:rFonts w:ascii="Times New Roman" w:hAnsi="Times New Roman" w:cs="Times New Roman"/>
          <w:b/>
          <w:bCs/>
          <w:sz w:val="24"/>
          <w:szCs w:val="24"/>
        </w:rPr>
        <w:t>Interviews:</w:t>
      </w:r>
      <w:r w:rsidRPr="00B10AA0">
        <w:rPr>
          <w:rFonts w:ascii="Times New Roman" w:hAnsi="Times New Roman" w:cs="Times New Roman"/>
          <w:bCs/>
          <w:sz w:val="24"/>
          <w:szCs w:val="24"/>
        </w:rPr>
        <w:t xml:space="preserve"> Semi-structured interviews will be conducted with selected managers and HR personnel to gain deeper insights into challenges and best practices in performance management.</w:t>
      </w:r>
    </w:p>
    <w:p w14:paraId="15B3B0B0" w14:textId="77777777" w:rsidR="00B10AA0" w:rsidRPr="00B10AA0" w:rsidRDefault="00B10AA0" w:rsidP="00B10AA0">
      <w:pPr>
        <w:numPr>
          <w:ilvl w:val="0"/>
          <w:numId w:val="7"/>
        </w:numPr>
        <w:spacing w:line="360" w:lineRule="auto"/>
        <w:jc w:val="both"/>
        <w:rPr>
          <w:rFonts w:ascii="Times New Roman" w:hAnsi="Times New Roman" w:cs="Times New Roman"/>
          <w:bCs/>
          <w:sz w:val="24"/>
          <w:szCs w:val="24"/>
        </w:rPr>
      </w:pPr>
      <w:r w:rsidRPr="00B10AA0">
        <w:rPr>
          <w:rFonts w:ascii="Times New Roman" w:hAnsi="Times New Roman" w:cs="Times New Roman"/>
          <w:b/>
          <w:bCs/>
          <w:sz w:val="24"/>
          <w:szCs w:val="24"/>
        </w:rPr>
        <w:t>Document Review:</w:t>
      </w:r>
      <w:r w:rsidRPr="00B10AA0">
        <w:rPr>
          <w:rFonts w:ascii="Times New Roman" w:hAnsi="Times New Roman" w:cs="Times New Roman"/>
          <w:bCs/>
          <w:sz w:val="24"/>
          <w:szCs w:val="24"/>
        </w:rPr>
        <w:t xml:space="preserve"> Organizational documents such as performance appraisal records, training reports, and company policies will be reviewed to complement primary data and validate findings.</w:t>
      </w:r>
    </w:p>
    <w:p w14:paraId="298E0B95" w14:textId="22DBF05F"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Data Analysis</w:t>
      </w:r>
    </w:p>
    <w:p w14:paraId="495F1D15"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 xml:space="preserve">Quantitative data collected through questionnaires will be </w:t>
      </w:r>
      <w:proofErr w:type="spellStart"/>
      <w:r w:rsidRPr="00B10AA0">
        <w:rPr>
          <w:rFonts w:ascii="Times New Roman" w:hAnsi="Times New Roman" w:cs="Times New Roman"/>
          <w:bCs/>
          <w:sz w:val="24"/>
          <w:szCs w:val="24"/>
        </w:rPr>
        <w:t>analyzed</w:t>
      </w:r>
      <w:proofErr w:type="spellEnd"/>
      <w:r w:rsidRPr="00B10AA0">
        <w:rPr>
          <w:rFonts w:ascii="Times New Roman" w:hAnsi="Times New Roman" w:cs="Times New Roman"/>
          <w:bCs/>
          <w:sz w:val="24"/>
          <w:szCs w:val="24"/>
        </w:rPr>
        <w:t xml:space="preserve"> using statistical software such as SPSS. Descriptive statistics (means, frequencies, percentages) will summarize the data, while inferential statistics (such as correlation and regression analysis) will examine relationships between performance management variables and employee outcomes.</w:t>
      </w:r>
    </w:p>
    <w:p w14:paraId="60EB932E"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 xml:space="preserve">Qualitative data from interviews will be transcribed, coded, and </w:t>
      </w:r>
      <w:proofErr w:type="spellStart"/>
      <w:r w:rsidRPr="00B10AA0">
        <w:rPr>
          <w:rFonts w:ascii="Times New Roman" w:hAnsi="Times New Roman" w:cs="Times New Roman"/>
          <w:bCs/>
          <w:sz w:val="24"/>
          <w:szCs w:val="24"/>
        </w:rPr>
        <w:t>analyzed</w:t>
      </w:r>
      <w:proofErr w:type="spellEnd"/>
      <w:r w:rsidRPr="00B10AA0">
        <w:rPr>
          <w:rFonts w:ascii="Times New Roman" w:hAnsi="Times New Roman" w:cs="Times New Roman"/>
          <w:bCs/>
          <w:sz w:val="24"/>
          <w:szCs w:val="24"/>
        </w:rPr>
        <w:t xml:space="preserve"> thematically to identify recurring patterns, challenges, and suggestions related to performance management practices.</w:t>
      </w:r>
    </w:p>
    <w:p w14:paraId="487A42C6" w14:textId="30921E34" w:rsidR="00B10AA0" w:rsidRPr="00B10AA0" w:rsidRDefault="00B10AA0" w:rsidP="00B10AA0">
      <w:pPr>
        <w:spacing w:line="360" w:lineRule="auto"/>
        <w:jc w:val="both"/>
        <w:rPr>
          <w:rFonts w:ascii="Times New Roman" w:hAnsi="Times New Roman" w:cs="Times New Roman"/>
          <w:b/>
          <w:bCs/>
          <w:sz w:val="24"/>
          <w:szCs w:val="24"/>
        </w:rPr>
      </w:pPr>
      <w:r w:rsidRPr="00B10AA0">
        <w:rPr>
          <w:rFonts w:ascii="Times New Roman" w:hAnsi="Times New Roman" w:cs="Times New Roman"/>
          <w:b/>
          <w:bCs/>
          <w:sz w:val="24"/>
          <w:szCs w:val="24"/>
        </w:rPr>
        <w:t>Ethical Considerations</w:t>
      </w:r>
    </w:p>
    <w:p w14:paraId="15607176" w14:textId="77777777" w:rsidR="00B10AA0" w:rsidRPr="00B10AA0" w:rsidRDefault="00B10AA0" w:rsidP="00B10AA0">
      <w:pPr>
        <w:spacing w:line="360" w:lineRule="auto"/>
        <w:jc w:val="both"/>
        <w:rPr>
          <w:rFonts w:ascii="Times New Roman" w:hAnsi="Times New Roman" w:cs="Times New Roman"/>
          <w:bCs/>
          <w:sz w:val="24"/>
          <w:szCs w:val="24"/>
        </w:rPr>
      </w:pPr>
      <w:r w:rsidRPr="00B10AA0">
        <w:rPr>
          <w:rFonts w:ascii="Times New Roman" w:hAnsi="Times New Roman" w:cs="Times New Roman"/>
          <w:bCs/>
          <w:sz w:val="24"/>
          <w:szCs w:val="24"/>
        </w:rPr>
        <w:t>The study will adhere to ethical guidelines to ensure confidentiality, voluntary participation, and informed consent. Participants will be informed about the purpose of the study and assured that their responses will be anonymized and used solely for research purposes.</w:t>
      </w:r>
    </w:p>
    <w:p w14:paraId="6AC7104C" w14:textId="77777777" w:rsidR="00B10AA0" w:rsidRDefault="00B10AA0" w:rsidP="00C30F30">
      <w:pPr>
        <w:spacing w:line="360" w:lineRule="auto"/>
        <w:jc w:val="both"/>
        <w:rPr>
          <w:rFonts w:ascii="Times New Roman" w:hAnsi="Times New Roman" w:cs="Times New Roman"/>
          <w:bCs/>
          <w:sz w:val="24"/>
          <w:szCs w:val="24"/>
        </w:rPr>
      </w:pPr>
    </w:p>
    <w:p w14:paraId="4CB35CE1" w14:textId="77777777" w:rsidR="00B10AA0" w:rsidRPr="00C30F30" w:rsidRDefault="00B10AA0" w:rsidP="00C30F30">
      <w:pPr>
        <w:spacing w:line="360" w:lineRule="auto"/>
        <w:jc w:val="both"/>
        <w:rPr>
          <w:rFonts w:ascii="Times New Roman" w:hAnsi="Times New Roman" w:cs="Times New Roman"/>
          <w:bCs/>
          <w:sz w:val="24"/>
          <w:szCs w:val="24"/>
        </w:rPr>
      </w:pPr>
    </w:p>
    <w:p w14:paraId="1464F836" w14:textId="77777777" w:rsidR="00C30F30" w:rsidRPr="00C30F30" w:rsidRDefault="00C30F30" w:rsidP="00C30F30">
      <w:pPr>
        <w:spacing w:line="360" w:lineRule="auto"/>
        <w:jc w:val="both"/>
        <w:rPr>
          <w:rFonts w:ascii="Times New Roman" w:hAnsi="Times New Roman" w:cs="Times New Roman"/>
          <w:bCs/>
          <w:sz w:val="24"/>
          <w:szCs w:val="24"/>
          <w:lang w:val="en-US"/>
        </w:rPr>
      </w:pPr>
    </w:p>
    <w:bookmarkEnd w:id="0"/>
    <w:p w14:paraId="612488AD" w14:textId="77777777" w:rsidR="00C30F30" w:rsidRDefault="00C30F30" w:rsidP="00C30F30">
      <w:pPr>
        <w:spacing w:line="360" w:lineRule="auto"/>
        <w:jc w:val="both"/>
        <w:rPr>
          <w:rFonts w:ascii="Times New Roman" w:hAnsi="Times New Roman" w:cs="Times New Roman"/>
          <w:b/>
          <w:bCs/>
          <w:sz w:val="24"/>
          <w:szCs w:val="24"/>
        </w:rPr>
      </w:pPr>
    </w:p>
    <w:p w14:paraId="783E887C" w14:textId="77777777" w:rsidR="00C30F30" w:rsidRPr="00C30F30" w:rsidRDefault="00C30F30" w:rsidP="00C30F30">
      <w:pPr>
        <w:spacing w:line="360" w:lineRule="auto"/>
        <w:jc w:val="both"/>
        <w:rPr>
          <w:rFonts w:ascii="Times New Roman" w:hAnsi="Times New Roman" w:cs="Times New Roman"/>
          <w:sz w:val="24"/>
          <w:szCs w:val="24"/>
        </w:rPr>
      </w:pPr>
    </w:p>
    <w:p w14:paraId="7B82ECAB" w14:textId="77777777" w:rsidR="00C30F30" w:rsidRDefault="00C30F30"/>
    <w:p w14:paraId="63AA27AB" w14:textId="29DDDC80" w:rsidR="00B10AA0" w:rsidRDefault="00B10AA0"/>
    <w:p w14:paraId="41710619" w14:textId="77777777" w:rsidR="00B10AA0" w:rsidRPr="0078607C" w:rsidRDefault="00B10AA0" w:rsidP="00B10AA0">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2803B6F7" w14:textId="77777777" w:rsidR="00B10AA0" w:rsidRDefault="00B10AA0" w:rsidP="00B10AA0">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18ED8F4" w14:textId="77777777" w:rsidR="00B10AA0" w:rsidRPr="004D7E4B" w:rsidRDefault="00B10AA0" w:rsidP="00B10AA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188"/>
        <w:gridCol w:w="3188"/>
      </w:tblGrid>
      <w:tr w:rsidR="00B10AA0" w:rsidRPr="004D7E4B" w14:paraId="1242C26C" w14:textId="77777777" w:rsidTr="00B10AA0">
        <w:trPr>
          <w:trHeight w:val="589"/>
        </w:trPr>
        <w:tc>
          <w:tcPr>
            <w:tcW w:w="3080" w:type="dxa"/>
            <w:tcBorders>
              <w:top w:val="single" w:sz="4" w:space="0" w:color="auto"/>
              <w:left w:val="single" w:sz="4" w:space="0" w:color="auto"/>
              <w:bottom w:val="single" w:sz="4" w:space="0" w:color="auto"/>
              <w:right w:val="single" w:sz="4" w:space="0" w:color="auto"/>
            </w:tcBorders>
            <w:hideMark/>
          </w:tcPr>
          <w:bookmarkEnd w:id="2"/>
          <w:p w14:paraId="5025DD75"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8" w:type="dxa"/>
            <w:tcBorders>
              <w:top w:val="single" w:sz="4" w:space="0" w:color="auto"/>
              <w:left w:val="single" w:sz="4" w:space="0" w:color="auto"/>
              <w:bottom w:val="single" w:sz="4" w:space="0" w:color="auto"/>
              <w:right w:val="single" w:sz="4" w:space="0" w:color="auto"/>
            </w:tcBorders>
            <w:hideMark/>
          </w:tcPr>
          <w:p w14:paraId="57ADC305"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8" w:type="dxa"/>
            <w:tcBorders>
              <w:top w:val="single" w:sz="4" w:space="0" w:color="auto"/>
              <w:left w:val="single" w:sz="4" w:space="0" w:color="auto"/>
              <w:bottom w:val="single" w:sz="4" w:space="0" w:color="auto"/>
              <w:right w:val="single" w:sz="4" w:space="0" w:color="auto"/>
            </w:tcBorders>
            <w:hideMark/>
          </w:tcPr>
          <w:p w14:paraId="401F77C6"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B10AA0" w:rsidRPr="004D7E4B" w14:paraId="695574A5" w14:textId="77777777" w:rsidTr="00B10AA0">
        <w:trPr>
          <w:trHeight w:val="589"/>
        </w:trPr>
        <w:tc>
          <w:tcPr>
            <w:tcW w:w="3080" w:type="dxa"/>
            <w:tcBorders>
              <w:top w:val="single" w:sz="4" w:space="0" w:color="auto"/>
              <w:left w:val="single" w:sz="4" w:space="0" w:color="auto"/>
              <w:bottom w:val="single" w:sz="4" w:space="0" w:color="auto"/>
              <w:right w:val="single" w:sz="4" w:space="0" w:color="auto"/>
            </w:tcBorders>
            <w:hideMark/>
          </w:tcPr>
          <w:p w14:paraId="26295465"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8" w:type="dxa"/>
            <w:tcBorders>
              <w:top w:val="single" w:sz="4" w:space="0" w:color="auto"/>
              <w:left w:val="single" w:sz="4" w:space="0" w:color="auto"/>
              <w:bottom w:val="single" w:sz="4" w:space="0" w:color="auto"/>
              <w:right w:val="single" w:sz="4" w:space="0" w:color="auto"/>
            </w:tcBorders>
            <w:hideMark/>
          </w:tcPr>
          <w:p w14:paraId="1A977226"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8" w:type="dxa"/>
            <w:tcBorders>
              <w:top w:val="single" w:sz="4" w:space="0" w:color="auto"/>
              <w:left w:val="single" w:sz="4" w:space="0" w:color="auto"/>
              <w:bottom w:val="single" w:sz="4" w:space="0" w:color="auto"/>
              <w:right w:val="single" w:sz="4" w:space="0" w:color="auto"/>
            </w:tcBorders>
            <w:hideMark/>
          </w:tcPr>
          <w:p w14:paraId="3F02CBE9"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B10AA0" w:rsidRPr="004D7E4B" w14:paraId="3424F7DF" w14:textId="77777777" w:rsidTr="00B10AA0">
        <w:trPr>
          <w:trHeight w:val="589"/>
        </w:trPr>
        <w:tc>
          <w:tcPr>
            <w:tcW w:w="3080" w:type="dxa"/>
            <w:tcBorders>
              <w:top w:val="single" w:sz="4" w:space="0" w:color="auto"/>
              <w:left w:val="single" w:sz="4" w:space="0" w:color="auto"/>
              <w:bottom w:val="single" w:sz="4" w:space="0" w:color="auto"/>
              <w:right w:val="single" w:sz="4" w:space="0" w:color="auto"/>
            </w:tcBorders>
            <w:hideMark/>
          </w:tcPr>
          <w:p w14:paraId="0E68D754"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8" w:type="dxa"/>
            <w:tcBorders>
              <w:top w:val="single" w:sz="4" w:space="0" w:color="auto"/>
              <w:left w:val="single" w:sz="4" w:space="0" w:color="auto"/>
              <w:bottom w:val="single" w:sz="4" w:space="0" w:color="auto"/>
              <w:right w:val="single" w:sz="4" w:space="0" w:color="auto"/>
            </w:tcBorders>
            <w:hideMark/>
          </w:tcPr>
          <w:p w14:paraId="67196EE1"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8" w:type="dxa"/>
            <w:tcBorders>
              <w:top w:val="single" w:sz="4" w:space="0" w:color="auto"/>
              <w:left w:val="single" w:sz="4" w:space="0" w:color="auto"/>
              <w:bottom w:val="single" w:sz="4" w:space="0" w:color="auto"/>
              <w:right w:val="single" w:sz="4" w:space="0" w:color="auto"/>
            </w:tcBorders>
            <w:hideMark/>
          </w:tcPr>
          <w:p w14:paraId="55BFA4E0"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B10AA0" w:rsidRPr="004D7E4B" w14:paraId="36055971" w14:textId="77777777" w:rsidTr="00B10AA0">
        <w:trPr>
          <w:trHeight w:val="578"/>
        </w:trPr>
        <w:tc>
          <w:tcPr>
            <w:tcW w:w="3080" w:type="dxa"/>
            <w:tcBorders>
              <w:top w:val="single" w:sz="4" w:space="0" w:color="auto"/>
              <w:left w:val="single" w:sz="4" w:space="0" w:color="auto"/>
              <w:bottom w:val="single" w:sz="4" w:space="0" w:color="auto"/>
              <w:right w:val="single" w:sz="4" w:space="0" w:color="auto"/>
            </w:tcBorders>
            <w:hideMark/>
          </w:tcPr>
          <w:p w14:paraId="0945FF54"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8" w:type="dxa"/>
            <w:tcBorders>
              <w:top w:val="single" w:sz="4" w:space="0" w:color="auto"/>
              <w:left w:val="single" w:sz="4" w:space="0" w:color="auto"/>
              <w:bottom w:val="single" w:sz="4" w:space="0" w:color="auto"/>
              <w:right w:val="single" w:sz="4" w:space="0" w:color="auto"/>
            </w:tcBorders>
            <w:hideMark/>
          </w:tcPr>
          <w:p w14:paraId="5D6100C5" w14:textId="21C9C33D"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8" w:type="dxa"/>
            <w:tcBorders>
              <w:top w:val="single" w:sz="4" w:space="0" w:color="auto"/>
              <w:left w:val="single" w:sz="4" w:space="0" w:color="auto"/>
              <w:bottom w:val="single" w:sz="4" w:space="0" w:color="auto"/>
              <w:right w:val="single" w:sz="4" w:space="0" w:color="auto"/>
            </w:tcBorders>
            <w:hideMark/>
          </w:tcPr>
          <w:p w14:paraId="6D677BCD" w14:textId="44740208"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B10AA0" w:rsidRPr="004D7E4B" w14:paraId="03810609" w14:textId="77777777" w:rsidTr="00B10AA0">
        <w:trPr>
          <w:trHeight w:val="578"/>
        </w:trPr>
        <w:tc>
          <w:tcPr>
            <w:tcW w:w="3080" w:type="dxa"/>
            <w:tcBorders>
              <w:top w:val="single" w:sz="4" w:space="0" w:color="auto"/>
              <w:left w:val="single" w:sz="4" w:space="0" w:color="auto"/>
              <w:bottom w:val="single" w:sz="4" w:space="0" w:color="auto"/>
              <w:right w:val="single" w:sz="4" w:space="0" w:color="auto"/>
            </w:tcBorders>
            <w:hideMark/>
          </w:tcPr>
          <w:p w14:paraId="0645022C" w14:textId="37800EE2" w:rsidR="00B10AA0" w:rsidRPr="004D7E4B" w:rsidRDefault="00B10AA0" w:rsidP="00795B0D">
            <w:pPr>
              <w:spacing w:line="360" w:lineRule="auto"/>
              <w:jc w:val="center"/>
              <w:rPr>
                <w:rFonts w:ascii="Times New Roman" w:hAnsi="Times New Roman" w:cs="Times New Roman"/>
                <w:b/>
                <w:sz w:val="24"/>
                <w:szCs w:val="24"/>
                <w:lang w:val="en-US"/>
              </w:rPr>
            </w:pPr>
            <w:r w:rsidRPr="00B10AA0">
              <w:rPr>
                <w:rFonts w:ascii="Times New Roman" w:hAnsi="Times New Roman" w:cs="Times New Roman"/>
                <w:b/>
                <w:sz w:val="24"/>
                <w:szCs w:val="24"/>
              </w:rPr>
              <w:t>46 – 55</w:t>
            </w:r>
          </w:p>
        </w:tc>
        <w:tc>
          <w:tcPr>
            <w:tcW w:w="3188" w:type="dxa"/>
            <w:tcBorders>
              <w:top w:val="single" w:sz="4" w:space="0" w:color="auto"/>
              <w:left w:val="single" w:sz="4" w:space="0" w:color="auto"/>
              <w:bottom w:val="single" w:sz="4" w:space="0" w:color="auto"/>
              <w:right w:val="single" w:sz="4" w:space="0" w:color="auto"/>
            </w:tcBorders>
            <w:hideMark/>
          </w:tcPr>
          <w:p w14:paraId="2070F55A"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8" w:type="dxa"/>
            <w:tcBorders>
              <w:top w:val="single" w:sz="4" w:space="0" w:color="auto"/>
              <w:left w:val="single" w:sz="4" w:space="0" w:color="auto"/>
              <w:bottom w:val="single" w:sz="4" w:space="0" w:color="auto"/>
              <w:right w:val="single" w:sz="4" w:space="0" w:color="auto"/>
            </w:tcBorders>
            <w:hideMark/>
          </w:tcPr>
          <w:p w14:paraId="28814D59" w14:textId="77777777" w:rsidR="00B10AA0" w:rsidRPr="004D7E4B"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B10AA0" w:rsidRPr="004D7E4B" w14:paraId="3226714F" w14:textId="77777777" w:rsidTr="00B10AA0">
        <w:trPr>
          <w:trHeight w:val="578"/>
        </w:trPr>
        <w:tc>
          <w:tcPr>
            <w:tcW w:w="3080" w:type="dxa"/>
            <w:tcBorders>
              <w:top w:val="single" w:sz="4" w:space="0" w:color="auto"/>
              <w:left w:val="single" w:sz="4" w:space="0" w:color="auto"/>
              <w:bottom w:val="single" w:sz="4" w:space="0" w:color="auto"/>
              <w:right w:val="single" w:sz="4" w:space="0" w:color="auto"/>
            </w:tcBorders>
          </w:tcPr>
          <w:p w14:paraId="4257BB03" w14:textId="1BC093FB" w:rsidR="00B10AA0" w:rsidRPr="00B10AA0" w:rsidRDefault="00B10AA0" w:rsidP="00795B0D">
            <w:pPr>
              <w:spacing w:line="360" w:lineRule="auto"/>
              <w:jc w:val="center"/>
              <w:rPr>
                <w:rFonts w:ascii="Times New Roman" w:hAnsi="Times New Roman" w:cs="Times New Roman"/>
                <w:b/>
                <w:sz w:val="24"/>
                <w:szCs w:val="24"/>
              </w:rPr>
            </w:pPr>
            <w:r w:rsidRPr="00B10AA0">
              <w:rPr>
                <w:rFonts w:ascii="Times New Roman" w:hAnsi="Times New Roman" w:cs="Times New Roman"/>
                <w:b/>
                <w:sz w:val="24"/>
                <w:szCs w:val="24"/>
              </w:rPr>
              <w:t>Above 55</w:t>
            </w:r>
          </w:p>
        </w:tc>
        <w:tc>
          <w:tcPr>
            <w:tcW w:w="3188" w:type="dxa"/>
            <w:tcBorders>
              <w:top w:val="single" w:sz="4" w:space="0" w:color="auto"/>
              <w:left w:val="single" w:sz="4" w:space="0" w:color="auto"/>
              <w:bottom w:val="single" w:sz="4" w:space="0" w:color="auto"/>
              <w:right w:val="single" w:sz="4" w:space="0" w:color="auto"/>
            </w:tcBorders>
          </w:tcPr>
          <w:p w14:paraId="3AAE4106" w14:textId="6A331A64" w:rsidR="00B10AA0" w:rsidRDefault="00B10AA0" w:rsidP="00B10AA0">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 xml:space="preserve">5 </w:t>
            </w:r>
          </w:p>
        </w:tc>
        <w:tc>
          <w:tcPr>
            <w:tcW w:w="3188" w:type="dxa"/>
            <w:tcBorders>
              <w:top w:val="single" w:sz="4" w:space="0" w:color="auto"/>
              <w:left w:val="single" w:sz="4" w:space="0" w:color="auto"/>
              <w:bottom w:val="single" w:sz="4" w:space="0" w:color="auto"/>
              <w:right w:val="single" w:sz="4" w:space="0" w:color="auto"/>
            </w:tcBorders>
          </w:tcPr>
          <w:p w14:paraId="4A016257" w14:textId="1AB80F1A" w:rsidR="00B10AA0" w:rsidRDefault="00B10AA0"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B10AA0" w:rsidRPr="004D7E4B" w14:paraId="2B2D0FA3" w14:textId="77777777" w:rsidTr="00B10AA0">
        <w:trPr>
          <w:trHeight w:val="601"/>
        </w:trPr>
        <w:tc>
          <w:tcPr>
            <w:tcW w:w="3080" w:type="dxa"/>
            <w:tcBorders>
              <w:top w:val="single" w:sz="4" w:space="0" w:color="auto"/>
              <w:left w:val="single" w:sz="4" w:space="0" w:color="auto"/>
              <w:bottom w:val="single" w:sz="4" w:space="0" w:color="auto"/>
              <w:right w:val="single" w:sz="4" w:space="0" w:color="auto"/>
            </w:tcBorders>
            <w:hideMark/>
          </w:tcPr>
          <w:p w14:paraId="07D12B50"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8" w:type="dxa"/>
            <w:tcBorders>
              <w:top w:val="single" w:sz="4" w:space="0" w:color="auto"/>
              <w:left w:val="single" w:sz="4" w:space="0" w:color="auto"/>
              <w:bottom w:val="single" w:sz="4" w:space="0" w:color="auto"/>
              <w:right w:val="single" w:sz="4" w:space="0" w:color="auto"/>
            </w:tcBorders>
            <w:hideMark/>
          </w:tcPr>
          <w:p w14:paraId="7E775DB2" w14:textId="77777777" w:rsidR="00B10AA0" w:rsidRPr="004D7E4B" w:rsidRDefault="00B10AA0"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8" w:type="dxa"/>
            <w:tcBorders>
              <w:top w:val="single" w:sz="4" w:space="0" w:color="auto"/>
              <w:left w:val="single" w:sz="4" w:space="0" w:color="auto"/>
              <w:bottom w:val="single" w:sz="4" w:space="0" w:color="auto"/>
              <w:right w:val="single" w:sz="4" w:space="0" w:color="auto"/>
            </w:tcBorders>
            <w:hideMark/>
          </w:tcPr>
          <w:p w14:paraId="44527A5D" w14:textId="204C2117" w:rsidR="00B10AA0" w:rsidRPr="004D7E4B" w:rsidRDefault="00B10AA0" w:rsidP="00B10AA0">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r>
              <w:rPr>
                <w:rFonts w:ascii="Times New Roman" w:hAnsi="Times New Roman" w:cs="Times New Roman"/>
                <w:b/>
                <w:sz w:val="24"/>
                <w:szCs w:val="24"/>
                <w:lang w:val="en-US"/>
              </w:rPr>
              <w:t>%</w:t>
            </w:r>
          </w:p>
        </w:tc>
      </w:tr>
    </w:tbl>
    <w:p w14:paraId="5237C4B6" w14:textId="77777777" w:rsidR="00B10AA0" w:rsidRDefault="00B10AA0" w:rsidP="00B10AA0">
      <w:pPr>
        <w:spacing w:line="360" w:lineRule="auto"/>
        <w:rPr>
          <w:rFonts w:ascii="Times New Roman" w:hAnsi="Times New Roman" w:cs="Times New Roman"/>
          <w:b/>
          <w:sz w:val="24"/>
          <w:szCs w:val="24"/>
          <w:lang w:val="en-US"/>
        </w:rPr>
      </w:pPr>
    </w:p>
    <w:p w14:paraId="5AED6C31" w14:textId="5B25BFB1" w:rsidR="00B10AA0" w:rsidRPr="004D7E4B" w:rsidRDefault="00B10AA0" w:rsidP="00B10AA0">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497A0CB4" w14:textId="3F3A3123" w:rsidR="00B10AA0" w:rsidRPr="00B10AA0" w:rsidRDefault="00DD07D8" w:rsidP="00B10A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0AA0" w:rsidRPr="00B10AA0">
        <w:rPr>
          <w:rFonts w:ascii="Times New Roman" w:hAnsi="Times New Roman" w:cs="Times New Roman"/>
          <w:sz w:val="24"/>
          <w:szCs w:val="24"/>
        </w:rPr>
        <w:t>The age distribution of the respondents shows that the largest group of workers falls within the 26 to 35 years category, accounting for 41.7% of the total sample. This indicates that the workforce is predominantly young to middle-aged, which is typical in many industrial sectors where physical ability and adaptability to changing technologies are important. The 18 to 25 years group makes up 25%, reflecting a substantial presence of younger workers who may be new entrants to the industry or in early stages of their careers.</w:t>
      </w:r>
    </w:p>
    <w:p w14:paraId="6A46385E" w14:textId="58A3039B" w:rsidR="00B10AA0" w:rsidRPr="00B10AA0" w:rsidRDefault="00DD07D8" w:rsidP="00B10A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10AA0" w:rsidRPr="00B10AA0">
        <w:rPr>
          <w:rFonts w:ascii="Times New Roman" w:hAnsi="Times New Roman" w:cs="Times New Roman"/>
          <w:sz w:val="24"/>
          <w:szCs w:val="24"/>
        </w:rPr>
        <w:t>The 36 to 45 years age group represents 20.8%, indicating a fair proportion of experienced workers who likely hold both technical skills and some supervisory responsibilities. Workers aged 46 to 55 and above 55 constitute smaller portions of the workforce, 8.3% and 4.2% respectively, which could be due to retirement trends or physical demands of industrial jobs leading to earlier exit from the workforce.</w:t>
      </w:r>
    </w:p>
    <w:p w14:paraId="056800D5" w14:textId="2B8B8618" w:rsidR="00B10AA0" w:rsidRDefault="00DD07D8" w:rsidP="00B10A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E8920A8" w14:textId="77777777" w:rsidR="00DD07D8" w:rsidRDefault="00DD07D8" w:rsidP="00B10AA0">
      <w:pPr>
        <w:spacing w:line="360" w:lineRule="auto"/>
        <w:jc w:val="both"/>
        <w:rPr>
          <w:rFonts w:ascii="Times New Roman" w:hAnsi="Times New Roman" w:cs="Times New Roman"/>
          <w:sz w:val="24"/>
          <w:szCs w:val="24"/>
        </w:rPr>
      </w:pPr>
    </w:p>
    <w:p w14:paraId="77D57503" w14:textId="77777777" w:rsidR="00DD07D8" w:rsidRDefault="00DD07D8" w:rsidP="00B10AA0">
      <w:pPr>
        <w:spacing w:line="360" w:lineRule="auto"/>
        <w:jc w:val="both"/>
        <w:rPr>
          <w:rFonts w:ascii="Times New Roman" w:hAnsi="Times New Roman" w:cs="Times New Roman"/>
          <w:sz w:val="24"/>
          <w:szCs w:val="24"/>
        </w:rPr>
      </w:pPr>
    </w:p>
    <w:p w14:paraId="6C5418CA" w14:textId="77777777" w:rsidR="00DD07D8" w:rsidRDefault="00DD07D8" w:rsidP="00B10AA0">
      <w:pPr>
        <w:spacing w:line="360" w:lineRule="auto"/>
        <w:jc w:val="both"/>
        <w:rPr>
          <w:rFonts w:ascii="Times New Roman" w:hAnsi="Times New Roman" w:cs="Times New Roman"/>
          <w:sz w:val="24"/>
          <w:szCs w:val="24"/>
        </w:rPr>
      </w:pPr>
    </w:p>
    <w:p w14:paraId="1B1FC10C" w14:textId="77777777" w:rsidR="00DD07D8" w:rsidRPr="004D7E4B" w:rsidRDefault="00DD07D8" w:rsidP="00DD07D8">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2C3DB15E" w14:textId="77777777" w:rsidR="00DD07D8" w:rsidRPr="004D7E4B" w:rsidRDefault="00DD07D8" w:rsidP="00DD07D8">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DD07D8" w:rsidRPr="004D7E4B" w14:paraId="36A1F684"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55CA2BFA"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480604F0"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9F85357"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DD07D8" w:rsidRPr="004D7E4B" w14:paraId="40F5CB7C"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E7AEB7C" w14:textId="77777777" w:rsidR="00DD07D8" w:rsidRPr="004D7E4B" w:rsidRDefault="00DD07D8"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4CA8E377" w14:textId="411F23AE" w:rsidR="00DD07D8" w:rsidRPr="004D7E4B" w:rsidRDefault="00DD07D8"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062B29F8" w14:textId="2775CE74" w:rsidR="00DD07D8" w:rsidRPr="004D7E4B" w:rsidRDefault="00DD07D8"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r w:rsidRPr="004D7E4B">
              <w:rPr>
                <w:rFonts w:ascii="Times New Roman" w:hAnsi="Times New Roman" w:cs="Times New Roman"/>
                <w:bCs/>
                <w:sz w:val="24"/>
                <w:szCs w:val="24"/>
                <w:lang w:val="en-US"/>
              </w:rPr>
              <w:t>%</w:t>
            </w:r>
          </w:p>
        </w:tc>
      </w:tr>
      <w:tr w:rsidR="00DD07D8" w:rsidRPr="004D7E4B" w14:paraId="6A4502CD"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308C3D53" w14:textId="77777777" w:rsidR="00DD07D8" w:rsidRPr="004D7E4B" w:rsidRDefault="00DD07D8"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0F195480" w14:textId="78202A73" w:rsidR="00DD07D8" w:rsidRPr="004D7E4B" w:rsidRDefault="00DD07D8"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2685" w:type="dxa"/>
            <w:tcBorders>
              <w:top w:val="single" w:sz="4" w:space="0" w:color="auto"/>
              <w:left w:val="single" w:sz="4" w:space="0" w:color="auto"/>
              <w:bottom w:val="single" w:sz="4" w:space="0" w:color="auto"/>
              <w:right w:val="single" w:sz="4" w:space="0" w:color="auto"/>
            </w:tcBorders>
            <w:hideMark/>
          </w:tcPr>
          <w:p w14:paraId="59CB6094" w14:textId="05976DB8" w:rsidR="00DD07D8" w:rsidRPr="004D7E4B" w:rsidRDefault="00DD07D8"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w:t>
            </w:r>
            <w:r w:rsidRPr="004D7E4B">
              <w:rPr>
                <w:rFonts w:ascii="Times New Roman" w:hAnsi="Times New Roman" w:cs="Times New Roman"/>
                <w:bCs/>
                <w:sz w:val="24"/>
                <w:szCs w:val="24"/>
                <w:lang w:val="en-US"/>
              </w:rPr>
              <w:t>%</w:t>
            </w:r>
          </w:p>
        </w:tc>
      </w:tr>
      <w:tr w:rsidR="00DD07D8" w:rsidRPr="004D7E4B" w14:paraId="4AB62430"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4896808"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668FAE2"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146D933C" w14:textId="77777777" w:rsidR="00DD07D8" w:rsidRPr="004D7E4B" w:rsidRDefault="00DD07D8"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897128A" w14:textId="77777777" w:rsidR="00DD07D8" w:rsidRDefault="00DD07D8" w:rsidP="00DD07D8">
      <w:pPr>
        <w:spacing w:line="360" w:lineRule="auto"/>
        <w:jc w:val="both"/>
        <w:rPr>
          <w:rFonts w:ascii="Times New Roman" w:hAnsi="Times New Roman" w:cs="Times New Roman"/>
          <w:b/>
          <w:bCs/>
          <w:sz w:val="24"/>
          <w:szCs w:val="24"/>
          <w:lang w:val="en-US"/>
        </w:rPr>
      </w:pPr>
      <w:bookmarkStart w:id="4" w:name="_Hlk199675932"/>
      <w:bookmarkEnd w:id="3"/>
    </w:p>
    <w:p w14:paraId="66AF0E73" w14:textId="77777777" w:rsidR="00DD07D8" w:rsidRDefault="00DD07D8" w:rsidP="00DD07D8">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69CFC47A"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The analysis of the gender distribution among the respondents reveals that males constitute the majority, representing 75% of the workforce surveyed, while females make up 25%. This distribution is common in many industrial sectors, particularly in manufacturing and production industries, where historically, male workers have dominated due to the physically demanding nature of the jobs and traditional workforce demographics.</w:t>
      </w:r>
    </w:p>
    <w:p w14:paraId="62B16B23"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The lower percentage of female workers could reflect ongoing challenges related to gender diversity and inclusion within the industry. Factors such as workplace culture, job roles, and recruitment practices might influence female participation rates. However, the presence of 25% female respondents also indicates that women are increasingly participating in industrial roles, possibly in technical, administrative, or supervisory capacities.</w:t>
      </w:r>
    </w:p>
    <w:p w14:paraId="4B68105B"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Understanding the gender composition is crucial for designing equitable performance management systems. Different gender groups may experience workplace dynamics differently, and performance management practices should consider these differences to ensure fairness and inclusivity. For example, addressing gender-specific training needs, communication styles, and career development opportunities can help create a supportive environment that maximizes the potential of all employees.</w:t>
      </w:r>
    </w:p>
    <w:p w14:paraId="1F4080EA" w14:textId="77777777" w:rsidR="00DD07D8" w:rsidRPr="007B042D" w:rsidRDefault="00DD07D8" w:rsidP="00DD07D8">
      <w:pPr>
        <w:spacing w:line="360" w:lineRule="auto"/>
        <w:jc w:val="both"/>
        <w:rPr>
          <w:rFonts w:ascii="Times New Roman" w:hAnsi="Times New Roman" w:cs="Times New Roman"/>
          <w:b/>
          <w:bCs/>
          <w:sz w:val="24"/>
          <w:szCs w:val="24"/>
          <w:lang w:val="en-US"/>
        </w:rPr>
      </w:pPr>
    </w:p>
    <w:bookmarkEnd w:id="4"/>
    <w:p w14:paraId="6CF8AD5D" w14:textId="77777777" w:rsidR="00DD07D8" w:rsidRDefault="00DD07D8" w:rsidP="00B10AA0">
      <w:pPr>
        <w:spacing w:line="360" w:lineRule="auto"/>
        <w:jc w:val="both"/>
        <w:rPr>
          <w:rFonts w:ascii="Times New Roman" w:hAnsi="Times New Roman" w:cs="Times New Roman"/>
          <w:sz w:val="24"/>
          <w:szCs w:val="24"/>
        </w:rPr>
      </w:pPr>
    </w:p>
    <w:p w14:paraId="77C9C5D1" w14:textId="77777777" w:rsidR="00DD07D8" w:rsidRDefault="00DD07D8" w:rsidP="00B10AA0">
      <w:pPr>
        <w:spacing w:line="360" w:lineRule="auto"/>
        <w:jc w:val="both"/>
        <w:rPr>
          <w:rFonts w:ascii="Times New Roman" w:hAnsi="Times New Roman" w:cs="Times New Roman"/>
          <w:sz w:val="24"/>
          <w:szCs w:val="24"/>
        </w:rPr>
      </w:pPr>
    </w:p>
    <w:p w14:paraId="70406AA3" w14:textId="77777777" w:rsidR="00DD07D8" w:rsidRDefault="00DD07D8" w:rsidP="00B10AA0">
      <w:pPr>
        <w:spacing w:line="360" w:lineRule="auto"/>
        <w:jc w:val="both"/>
        <w:rPr>
          <w:rFonts w:ascii="Times New Roman" w:hAnsi="Times New Roman" w:cs="Times New Roman"/>
          <w:sz w:val="24"/>
          <w:szCs w:val="24"/>
        </w:rPr>
      </w:pPr>
    </w:p>
    <w:p w14:paraId="38495159" w14:textId="77777777" w:rsidR="00DD07D8" w:rsidRDefault="00DD07D8" w:rsidP="00DD07D8">
      <w:pPr>
        <w:spacing w:line="360" w:lineRule="auto"/>
        <w:jc w:val="center"/>
        <w:rPr>
          <w:rFonts w:ascii="Times New Roman" w:hAnsi="Times New Roman" w:cs="Times New Roman"/>
          <w:b/>
          <w:bCs/>
          <w:sz w:val="24"/>
          <w:szCs w:val="24"/>
          <w:lang w:val="en-US"/>
        </w:rPr>
      </w:pPr>
      <w:bookmarkStart w:id="5" w:name="_Hlk199675953"/>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DD07D8" w:rsidRPr="007B042D" w14:paraId="2CEC350E"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6FC2A5EF"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1964C387"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49ADD5B4"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DD07D8" w:rsidRPr="007B042D" w14:paraId="4BF7F0ED"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7CBC2BAE"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10,000</w:t>
            </w:r>
          </w:p>
        </w:tc>
        <w:tc>
          <w:tcPr>
            <w:tcW w:w="3042" w:type="dxa"/>
            <w:tcBorders>
              <w:top w:val="single" w:sz="4" w:space="0" w:color="auto"/>
              <w:left w:val="single" w:sz="4" w:space="0" w:color="auto"/>
              <w:bottom w:val="single" w:sz="4" w:space="0" w:color="auto"/>
              <w:right w:val="single" w:sz="4" w:space="0" w:color="auto"/>
            </w:tcBorders>
            <w:hideMark/>
          </w:tcPr>
          <w:p w14:paraId="59E4AAFE" w14:textId="1944BD19"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p>
        </w:tc>
        <w:tc>
          <w:tcPr>
            <w:tcW w:w="3027" w:type="dxa"/>
            <w:tcBorders>
              <w:top w:val="single" w:sz="4" w:space="0" w:color="auto"/>
              <w:left w:val="single" w:sz="4" w:space="0" w:color="auto"/>
              <w:bottom w:val="single" w:sz="4" w:space="0" w:color="auto"/>
              <w:right w:val="single" w:sz="4" w:space="0" w:color="auto"/>
            </w:tcBorders>
            <w:hideMark/>
          </w:tcPr>
          <w:p w14:paraId="3480CAFC" w14:textId="7D746CFE"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r w:rsidRPr="007B042D">
              <w:rPr>
                <w:rFonts w:ascii="Times New Roman" w:hAnsi="Times New Roman" w:cs="Times New Roman"/>
                <w:b/>
                <w:bCs/>
                <w:sz w:val="24"/>
                <w:szCs w:val="24"/>
                <w:lang w:val="en-US"/>
              </w:rPr>
              <w:t>%</w:t>
            </w:r>
          </w:p>
        </w:tc>
      </w:tr>
      <w:tr w:rsidR="00DD07D8" w:rsidRPr="007B042D" w14:paraId="542A5C4F"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01E2839A" w14:textId="097822D5" w:rsidR="00DD07D8" w:rsidRPr="007B042D" w:rsidRDefault="00DD07D8" w:rsidP="00795B0D">
            <w:pPr>
              <w:spacing w:line="360" w:lineRule="auto"/>
              <w:rPr>
                <w:rFonts w:ascii="Times New Roman" w:hAnsi="Times New Roman" w:cs="Times New Roman"/>
                <w:b/>
                <w:bCs/>
                <w:sz w:val="24"/>
                <w:szCs w:val="24"/>
                <w:lang w:val="en-US"/>
              </w:rPr>
            </w:pPr>
            <w:r w:rsidRPr="00DD07D8">
              <w:rPr>
                <w:rFonts w:ascii="Times New Roman" w:hAnsi="Times New Roman" w:cs="Times New Roman"/>
                <w:b/>
                <w:bCs/>
                <w:sz w:val="24"/>
                <w:szCs w:val="24"/>
              </w:rPr>
              <w:t>₹10,000 – ₹20,000</w:t>
            </w:r>
          </w:p>
        </w:tc>
        <w:tc>
          <w:tcPr>
            <w:tcW w:w="3042" w:type="dxa"/>
            <w:tcBorders>
              <w:top w:val="single" w:sz="4" w:space="0" w:color="auto"/>
              <w:left w:val="single" w:sz="4" w:space="0" w:color="auto"/>
              <w:bottom w:val="single" w:sz="4" w:space="0" w:color="auto"/>
              <w:right w:val="single" w:sz="4" w:space="0" w:color="auto"/>
            </w:tcBorders>
            <w:hideMark/>
          </w:tcPr>
          <w:p w14:paraId="69DF53B4" w14:textId="034C1150"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r>
              <w:rPr>
                <w:rFonts w:ascii="Times New Roman" w:hAnsi="Times New Roman" w:cs="Times New Roman"/>
                <w:b/>
                <w:bCs/>
                <w:sz w:val="24"/>
                <w:szCs w:val="24"/>
                <w:lang w:val="en-US"/>
              </w:rPr>
              <w:t>%</w:t>
            </w:r>
          </w:p>
        </w:tc>
        <w:tc>
          <w:tcPr>
            <w:tcW w:w="3027" w:type="dxa"/>
            <w:tcBorders>
              <w:top w:val="single" w:sz="4" w:space="0" w:color="auto"/>
              <w:left w:val="single" w:sz="4" w:space="0" w:color="auto"/>
              <w:bottom w:val="single" w:sz="4" w:space="0" w:color="auto"/>
              <w:right w:val="single" w:sz="4" w:space="0" w:color="auto"/>
            </w:tcBorders>
            <w:hideMark/>
          </w:tcPr>
          <w:p w14:paraId="379B1967" w14:textId="2AED5A3C"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50</w:t>
            </w:r>
            <w:r w:rsidRPr="007B042D">
              <w:rPr>
                <w:rFonts w:ascii="Times New Roman" w:hAnsi="Times New Roman" w:cs="Times New Roman"/>
                <w:b/>
                <w:bCs/>
                <w:sz w:val="24"/>
                <w:szCs w:val="24"/>
                <w:lang w:val="en-US"/>
              </w:rPr>
              <w:t>%</w:t>
            </w:r>
          </w:p>
        </w:tc>
      </w:tr>
      <w:tr w:rsidR="00DD07D8" w:rsidRPr="007B042D" w14:paraId="4FC4D0DB"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78241F02" w14:textId="5291561A" w:rsidR="00DD07D8" w:rsidRPr="007B042D" w:rsidRDefault="00DD07D8" w:rsidP="00795B0D">
            <w:pPr>
              <w:spacing w:line="360" w:lineRule="auto"/>
              <w:rPr>
                <w:rFonts w:ascii="Times New Roman" w:hAnsi="Times New Roman" w:cs="Times New Roman"/>
                <w:b/>
                <w:bCs/>
                <w:sz w:val="24"/>
                <w:szCs w:val="24"/>
                <w:lang w:val="en-US"/>
              </w:rPr>
            </w:pPr>
            <w:r w:rsidRPr="00DD07D8">
              <w:rPr>
                <w:rFonts w:ascii="Times New Roman" w:hAnsi="Times New Roman" w:cs="Times New Roman"/>
                <w:b/>
                <w:bCs/>
                <w:sz w:val="24"/>
                <w:szCs w:val="24"/>
              </w:rPr>
              <w:t>₹20,001 – ₹30,000</w:t>
            </w:r>
          </w:p>
        </w:tc>
        <w:tc>
          <w:tcPr>
            <w:tcW w:w="3042" w:type="dxa"/>
            <w:tcBorders>
              <w:top w:val="single" w:sz="4" w:space="0" w:color="auto"/>
              <w:left w:val="single" w:sz="4" w:space="0" w:color="auto"/>
              <w:bottom w:val="single" w:sz="4" w:space="0" w:color="auto"/>
              <w:right w:val="single" w:sz="4" w:space="0" w:color="auto"/>
            </w:tcBorders>
            <w:hideMark/>
          </w:tcPr>
          <w:p w14:paraId="1CC6878A" w14:textId="251B2B54"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p>
        </w:tc>
        <w:tc>
          <w:tcPr>
            <w:tcW w:w="3027" w:type="dxa"/>
            <w:tcBorders>
              <w:top w:val="single" w:sz="4" w:space="0" w:color="auto"/>
              <w:left w:val="single" w:sz="4" w:space="0" w:color="auto"/>
              <w:bottom w:val="single" w:sz="4" w:space="0" w:color="auto"/>
              <w:right w:val="single" w:sz="4" w:space="0" w:color="auto"/>
            </w:tcBorders>
            <w:hideMark/>
          </w:tcPr>
          <w:p w14:paraId="074A7DB2" w14:textId="70FEBA03"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r w:rsidRPr="007B042D">
              <w:rPr>
                <w:rFonts w:ascii="Times New Roman" w:hAnsi="Times New Roman" w:cs="Times New Roman"/>
                <w:b/>
                <w:bCs/>
                <w:sz w:val="24"/>
                <w:szCs w:val="24"/>
                <w:lang w:val="en-US"/>
              </w:rPr>
              <w:t>%</w:t>
            </w:r>
          </w:p>
        </w:tc>
      </w:tr>
      <w:tr w:rsidR="00DD07D8" w:rsidRPr="007B042D" w14:paraId="2E20A819"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4C8D4E6E" w14:textId="3DB2C065" w:rsidR="00DD07D8" w:rsidRPr="007B042D" w:rsidRDefault="00DD07D8" w:rsidP="00795B0D">
            <w:pPr>
              <w:spacing w:line="360" w:lineRule="auto"/>
              <w:rPr>
                <w:rFonts w:ascii="Times New Roman" w:hAnsi="Times New Roman" w:cs="Times New Roman"/>
                <w:b/>
                <w:bCs/>
                <w:sz w:val="24"/>
                <w:szCs w:val="24"/>
                <w:lang w:val="en-US"/>
              </w:rPr>
            </w:pPr>
            <w:r w:rsidRPr="00DD07D8">
              <w:rPr>
                <w:rFonts w:ascii="Times New Roman" w:hAnsi="Times New Roman" w:cs="Times New Roman"/>
                <w:b/>
                <w:bCs/>
                <w:sz w:val="24"/>
                <w:szCs w:val="24"/>
              </w:rPr>
              <w:t>₹30,001 – ₹40,000</w:t>
            </w:r>
          </w:p>
        </w:tc>
        <w:tc>
          <w:tcPr>
            <w:tcW w:w="3042" w:type="dxa"/>
            <w:tcBorders>
              <w:top w:val="single" w:sz="4" w:space="0" w:color="auto"/>
              <w:left w:val="single" w:sz="4" w:space="0" w:color="auto"/>
              <w:bottom w:val="single" w:sz="4" w:space="0" w:color="auto"/>
              <w:right w:val="single" w:sz="4" w:space="0" w:color="auto"/>
            </w:tcBorders>
            <w:hideMark/>
          </w:tcPr>
          <w:p w14:paraId="6406A8E0" w14:textId="54037E90"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15</w:t>
            </w:r>
            <w:r>
              <w:rPr>
                <w:rFonts w:ascii="Times New Roman" w:hAnsi="Times New Roman" w:cs="Times New Roman"/>
                <w:b/>
                <w:bCs/>
                <w:sz w:val="24"/>
                <w:szCs w:val="24"/>
                <w:lang w:val="en-US"/>
              </w:rPr>
              <w:t>%</w:t>
            </w:r>
          </w:p>
        </w:tc>
        <w:tc>
          <w:tcPr>
            <w:tcW w:w="3027" w:type="dxa"/>
            <w:tcBorders>
              <w:top w:val="single" w:sz="4" w:space="0" w:color="auto"/>
              <w:left w:val="single" w:sz="4" w:space="0" w:color="auto"/>
              <w:bottom w:val="single" w:sz="4" w:space="0" w:color="auto"/>
              <w:right w:val="single" w:sz="4" w:space="0" w:color="auto"/>
            </w:tcBorders>
            <w:hideMark/>
          </w:tcPr>
          <w:p w14:paraId="6E898E30" w14:textId="21D27B00" w:rsidR="00DD07D8" w:rsidRPr="007B042D"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15</w:t>
            </w:r>
            <w:r w:rsidRPr="007B042D">
              <w:rPr>
                <w:rFonts w:ascii="Times New Roman" w:hAnsi="Times New Roman" w:cs="Times New Roman"/>
                <w:b/>
                <w:bCs/>
                <w:sz w:val="24"/>
                <w:szCs w:val="24"/>
                <w:lang w:val="en-US"/>
              </w:rPr>
              <w:t>%</w:t>
            </w:r>
          </w:p>
        </w:tc>
      </w:tr>
      <w:tr w:rsidR="00DD07D8" w:rsidRPr="007B042D" w14:paraId="41FB1C91" w14:textId="77777777" w:rsidTr="00795B0D">
        <w:tc>
          <w:tcPr>
            <w:tcW w:w="2947" w:type="dxa"/>
            <w:tcBorders>
              <w:top w:val="single" w:sz="4" w:space="0" w:color="auto"/>
              <w:left w:val="single" w:sz="4" w:space="0" w:color="auto"/>
              <w:bottom w:val="single" w:sz="4" w:space="0" w:color="auto"/>
              <w:right w:val="single" w:sz="4" w:space="0" w:color="auto"/>
            </w:tcBorders>
          </w:tcPr>
          <w:p w14:paraId="24D04DDA" w14:textId="5A6773D9" w:rsidR="00DD07D8" w:rsidRPr="00DD07D8" w:rsidRDefault="00DD07D8" w:rsidP="00795B0D">
            <w:pPr>
              <w:spacing w:line="360" w:lineRule="auto"/>
              <w:rPr>
                <w:rFonts w:ascii="Times New Roman" w:hAnsi="Times New Roman" w:cs="Times New Roman"/>
                <w:b/>
                <w:bCs/>
                <w:sz w:val="24"/>
                <w:szCs w:val="24"/>
              </w:rPr>
            </w:pPr>
            <w:r w:rsidRPr="00DD07D8">
              <w:rPr>
                <w:rFonts w:ascii="Times New Roman" w:hAnsi="Times New Roman" w:cs="Times New Roman"/>
                <w:b/>
                <w:bCs/>
                <w:sz w:val="24"/>
                <w:szCs w:val="24"/>
              </w:rPr>
              <w:t>Above ₹40,000</w:t>
            </w:r>
          </w:p>
        </w:tc>
        <w:tc>
          <w:tcPr>
            <w:tcW w:w="3042" w:type="dxa"/>
            <w:tcBorders>
              <w:top w:val="single" w:sz="4" w:space="0" w:color="auto"/>
              <w:left w:val="single" w:sz="4" w:space="0" w:color="auto"/>
              <w:bottom w:val="single" w:sz="4" w:space="0" w:color="auto"/>
              <w:right w:val="single" w:sz="4" w:space="0" w:color="auto"/>
            </w:tcBorders>
          </w:tcPr>
          <w:p w14:paraId="66476023" w14:textId="70AA6577" w:rsidR="00DD07D8"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w:t>
            </w:r>
          </w:p>
        </w:tc>
        <w:tc>
          <w:tcPr>
            <w:tcW w:w="3027" w:type="dxa"/>
            <w:tcBorders>
              <w:top w:val="single" w:sz="4" w:space="0" w:color="auto"/>
              <w:left w:val="single" w:sz="4" w:space="0" w:color="auto"/>
              <w:bottom w:val="single" w:sz="4" w:space="0" w:color="auto"/>
              <w:right w:val="single" w:sz="4" w:space="0" w:color="auto"/>
            </w:tcBorders>
          </w:tcPr>
          <w:p w14:paraId="5B40048B" w14:textId="0A70C7B6" w:rsidR="00DD07D8" w:rsidRDefault="00DD07D8"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5%</w:t>
            </w:r>
          </w:p>
        </w:tc>
      </w:tr>
      <w:tr w:rsidR="00DD07D8" w:rsidRPr="007B042D" w14:paraId="4000B9A6"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35DD86D9"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0E8AFC6A"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05023039" w14:textId="77777777" w:rsidR="00DD07D8" w:rsidRPr="007B042D" w:rsidRDefault="00DD07D8"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76DEDEF5" w14:textId="77777777" w:rsidR="00DD07D8" w:rsidRDefault="00DD07D8" w:rsidP="00DD07D8">
      <w:pPr>
        <w:spacing w:line="360" w:lineRule="auto"/>
        <w:rPr>
          <w:rFonts w:ascii="Times New Roman" w:hAnsi="Times New Roman" w:cs="Times New Roman"/>
          <w:bCs/>
          <w:sz w:val="24"/>
          <w:szCs w:val="24"/>
          <w:lang w:val="en-US"/>
        </w:rPr>
      </w:pPr>
    </w:p>
    <w:p w14:paraId="5F1C4C0C" w14:textId="77777777" w:rsidR="00DD07D8" w:rsidRPr="007B042D" w:rsidRDefault="00DD07D8" w:rsidP="00DD07D8">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44B32F4E"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The income distribution shows that the majority of respondents, 41.7%, earn between ₹10,000 and ₹20,000 per month. This indicates that a large portion of the workforce falls within the lower-middle-income category, which is common for many industrial workers in India, especially those in entry-level or semi-skilled positions. The next significant group, comprising 25% of respondents, earns between ₹20,001 and ₹30,000, representing more experienced or skilled workers.</w:t>
      </w:r>
    </w:p>
    <w:p w14:paraId="292AAEC9"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Approximately 16.7% of respondents earn below ₹10,000, likely representing apprentices, trainees, or workers in lower-grade roles. The higher income brackets, ₹30,001 to ₹40,000 and above ₹40,000, account for 12.5% and 4.1%, respectively, which may include supervisors, technicians, or managerial staff.</w:t>
      </w:r>
    </w:p>
    <w:p w14:paraId="65801AA0"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Income levels play a crucial role in worker motivation, satisfaction, and performance. Lower-income employees might feel less motivated if performance management systems do not adequately recognize or reward their efforts. Conversely, employees in higher income brackets may expect greater responsibilities and corresponding recognition in performance appraisals.</w:t>
      </w:r>
    </w:p>
    <w:p w14:paraId="7E8A6282" w14:textId="77777777" w:rsidR="00DD07D8" w:rsidRPr="00DD07D8" w:rsidRDefault="00DD07D8" w:rsidP="00DD07D8">
      <w:p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Understanding the income structure is essential for designing effective performance management strategies that ensure fairness and promote employee engagement across different pay levels. Linking performance outcomes to appropriate incentives and development opportunities can enhance overall productivity and job satisfaction.</w:t>
      </w:r>
    </w:p>
    <w:p w14:paraId="711B2132" w14:textId="77777777" w:rsidR="00DD07D8" w:rsidRDefault="00DD07D8" w:rsidP="00DD07D8">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5EC9446D" w14:textId="6667CB48" w:rsidR="00DD07D8" w:rsidRPr="00DD07D8" w:rsidRDefault="00DD07D8" w:rsidP="00DD07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7D8">
        <w:rPr>
          <w:rFonts w:ascii="Times New Roman" w:hAnsi="Times New Roman" w:cs="Times New Roman"/>
          <w:sz w:val="24"/>
          <w:szCs w:val="24"/>
        </w:rPr>
        <w:t>Performance management plays a critical role in enhancing the efficiency, productivity, and overall satisfaction of workers in the industrial sector. This study has highlighted that effective performance management systems—incorporating clear goal setting, regular feedback, training, and development opportunities—are essential for aligning individual efforts with organizational objectives. The findings indicate that while many industries have adopted formal performance appraisal mechanisms, challenges such as communication gaps, lack of employee involvement, and insufficient training still persist.</w:t>
      </w:r>
    </w:p>
    <w:p w14:paraId="6A52F3EB" w14:textId="1F825842" w:rsidR="00DD07D8" w:rsidRPr="00DD07D8" w:rsidRDefault="00DD07D8" w:rsidP="00DD07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7D8">
        <w:rPr>
          <w:rFonts w:ascii="Times New Roman" w:hAnsi="Times New Roman" w:cs="Times New Roman"/>
          <w:sz w:val="24"/>
          <w:szCs w:val="24"/>
        </w:rPr>
        <w:t>The demographic analysis reveals a predominantly young and male workforce, with income levels varying widely, emphasizing the need for tailored performance management approaches that consider age, gender, and compensation diversity. Furthermore, the study underscores the importance of creating a supportive work environment where employees perceive performance management as a tool for growth rather than punishment.</w:t>
      </w:r>
    </w:p>
    <w:p w14:paraId="0B6474E9" w14:textId="3254DB28" w:rsidR="00DD07D8" w:rsidRPr="00DD07D8" w:rsidRDefault="00DD07D8" w:rsidP="00DD07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D07D8">
        <w:rPr>
          <w:rFonts w:ascii="Times New Roman" w:hAnsi="Times New Roman" w:cs="Times New Roman"/>
          <w:sz w:val="24"/>
          <w:szCs w:val="24"/>
        </w:rPr>
        <w:t>Overall, industries that invest in transparent, fair, and continuous performance management practices tend to foster higher employee motivation, reduce turnover, and improve workplace safety and quality standards. To maximize the benefits of performance management, organizations must address existing limitations, promote inclusivity, and ensure that performance evaluations are linked with meaningful rewards and professional development. This approach will not only enhance worker performance but also contribute to sustained industrial growth and competitiveness.</w:t>
      </w:r>
    </w:p>
    <w:p w14:paraId="4A4EA959" w14:textId="77777777" w:rsidR="00DD07D8" w:rsidRDefault="00DD07D8" w:rsidP="00B10AA0">
      <w:pPr>
        <w:spacing w:line="360" w:lineRule="auto"/>
        <w:jc w:val="both"/>
        <w:rPr>
          <w:rFonts w:ascii="Times New Roman" w:hAnsi="Times New Roman" w:cs="Times New Roman"/>
          <w:sz w:val="24"/>
          <w:szCs w:val="24"/>
        </w:rPr>
      </w:pPr>
    </w:p>
    <w:p w14:paraId="77D922F0" w14:textId="77777777" w:rsidR="00DD07D8" w:rsidRDefault="00DD07D8" w:rsidP="00B10AA0">
      <w:pPr>
        <w:spacing w:line="360" w:lineRule="auto"/>
        <w:jc w:val="both"/>
        <w:rPr>
          <w:rFonts w:ascii="Times New Roman" w:hAnsi="Times New Roman" w:cs="Times New Roman"/>
          <w:sz w:val="24"/>
          <w:szCs w:val="24"/>
        </w:rPr>
      </w:pPr>
    </w:p>
    <w:p w14:paraId="026AE604" w14:textId="77777777" w:rsidR="00DD07D8" w:rsidRDefault="00DD07D8" w:rsidP="00B10AA0">
      <w:pPr>
        <w:spacing w:line="360" w:lineRule="auto"/>
        <w:jc w:val="both"/>
        <w:rPr>
          <w:rFonts w:ascii="Times New Roman" w:hAnsi="Times New Roman" w:cs="Times New Roman"/>
          <w:sz w:val="24"/>
          <w:szCs w:val="24"/>
        </w:rPr>
      </w:pPr>
    </w:p>
    <w:p w14:paraId="53155921" w14:textId="77777777" w:rsidR="00DD07D8" w:rsidRDefault="00DD07D8" w:rsidP="00B10AA0">
      <w:pPr>
        <w:spacing w:line="360" w:lineRule="auto"/>
        <w:jc w:val="both"/>
        <w:rPr>
          <w:rFonts w:ascii="Times New Roman" w:hAnsi="Times New Roman" w:cs="Times New Roman"/>
          <w:sz w:val="24"/>
          <w:szCs w:val="24"/>
        </w:rPr>
      </w:pPr>
    </w:p>
    <w:p w14:paraId="789F494F" w14:textId="77777777" w:rsidR="00DD07D8" w:rsidRDefault="00DD07D8" w:rsidP="00B10AA0">
      <w:pPr>
        <w:spacing w:line="360" w:lineRule="auto"/>
        <w:jc w:val="both"/>
        <w:rPr>
          <w:rFonts w:ascii="Times New Roman" w:hAnsi="Times New Roman" w:cs="Times New Roman"/>
          <w:sz w:val="24"/>
          <w:szCs w:val="24"/>
        </w:rPr>
      </w:pPr>
    </w:p>
    <w:p w14:paraId="64D5225B" w14:textId="77777777" w:rsidR="00DD07D8" w:rsidRDefault="00DD07D8" w:rsidP="00B10AA0">
      <w:pPr>
        <w:spacing w:line="360" w:lineRule="auto"/>
        <w:jc w:val="both"/>
        <w:rPr>
          <w:rFonts w:ascii="Times New Roman" w:hAnsi="Times New Roman" w:cs="Times New Roman"/>
          <w:sz w:val="24"/>
          <w:szCs w:val="24"/>
        </w:rPr>
      </w:pPr>
    </w:p>
    <w:p w14:paraId="4A5C710A" w14:textId="77777777" w:rsidR="00DD07D8" w:rsidRDefault="00DD07D8" w:rsidP="00B10AA0">
      <w:pPr>
        <w:spacing w:line="360" w:lineRule="auto"/>
        <w:jc w:val="both"/>
        <w:rPr>
          <w:rFonts w:ascii="Times New Roman" w:hAnsi="Times New Roman" w:cs="Times New Roman"/>
          <w:sz w:val="24"/>
          <w:szCs w:val="24"/>
        </w:rPr>
      </w:pPr>
    </w:p>
    <w:p w14:paraId="016D630E" w14:textId="77777777" w:rsidR="00DD07D8" w:rsidRDefault="00DD07D8" w:rsidP="00B10AA0">
      <w:pPr>
        <w:spacing w:line="360" w:lineRule="auto"/>
        <w:jc w:val="both"/>
        <w:rPr>
          <w:rFonts w:ascii="Times New Roman" w:hAnsi="Times New Roman" w:cs="Times New Roman"/>
          <w:sz w:val="24"/>
          <w:szCs w:val="24"/>
        </w:rPr>
      </w:pPr>
    </w:p>
    <w:p w14:paraId="60BE51BC" w14:textId="77777777" w:rsidR="00DD07D8" w:rsidRDefault="00DD07D8" w:rsidP="00B10AA0">
      <w:pPr>
        <w:spacing w:line="360" w:lineRule="auto"/>
        <w:jc w:val="both"/>
        <w:rPr>
          <w:rFonts w:ascii="Times New Roman" w:hAnsi="Times New Roman" w:cs="Times New Roman"/>
          <w:sz w:val="24"/>
          <w:szCs w:val="24"/>
        </w:rPr>
      </w:pPr>
    </w:p>
    <w:p w14:paraId="75C19B43" w14:textId="1D611290" w:rsidR="00DD07D8" w:rsidRDefault="00DD07D8" w:rsidP="00DD07D8">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39FA7B3" w14:textId="1B2C4F46"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proofErr w:type="spellStart"/>
      <w:r w:rsidRPr="00DD07D8">
        <w:rPr>
          <w:rFonts w:ascii="Times New Roman" w:hAnsi="Times New Roman" w:cs="Times New Roman"/>
          <w:sz w:val="24"/>
          <w:szCs w:val="24"/>
        </w:rPr>
        <w:t>Aguinis</w:t>
      </w:r>
      <w:proofErr w:type="spellEnd"/>
      <w:r w:rsidRPr="00DD07D8">
        <w:rPr>
          <w:rFonts w:ascii="Times New Roman" w:hAnsi="Times New Roman" w:cs="Times New Roman"/>
          <w:sz w:val="24"/>
          <w:szCs w:val="24"/>
        </w:rPr>
        <w:t xml:space="preserve">, H. (2013). </w:t>
      </w:r>
      <w:r w:rsidRPr="00DD07D8">
        <w:rPr>
          <w:rFonts w:ascii="Times New Roman" w:hAnsi="Times New Roman" w:cs="Times New Roman"/>
          <w:i/>
          <w:iCs/>
          <w:sz w:val="24"/>
          <w:szCs w:val="24"/>
        </w:rPr>
        <w:t>Performance Management</w:t>
      </w:r>
      <w:r w:rsidRPr="00DD07D8">
        <w:rPr>
          <w:rFonts w:ascii="Times New Roman" w:hAnsi="Times New Roman" w:cs="Times New Roman"/>
          <w:sz w:val="24"/>
          <w:szCs w:val="24"/>
        </w:rPr>
        <w:t xml:space="preserve"> (3rd Edition). Pearson Education.</w:t>
      </w:r>
    </w:p>
    <w:p w14:paraId="5EF15C83" w14:textId="2D63BB7C"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Armstrong, M. (2009). </w:t>
      </w:r>
      <w:r w:rsidRPr="00DD07D8">
        <w:rPr>
          <w:rFonts w:ascii="Times New Roman" w:hAnsi="Times New Roman" w:cs="Times New Roman"/>
          <w:i/>
          <w:iCs/>
          <w:sz w:val="24"/>
          <w:szCs w:val="24"/>
        </w:rPr>
        <w:t>Armstrong’s Handbook of Performance Management: An Evidence-Based Guide to Delivering High Performance</w:t>
      </w:r>
      <w:r w:rsidRPr="00DD07D8">
        <w:rPr>
          <w:rFonts w:ascii="Times New Roman" w:hAnsi="Times New Roman" w:cs="Times New Roman"/>
          <w:sz w:val="24"/>
          <w:szCs w:val="24"/>
        </w:rPr>
        <w:t>. Kogan Page.</w:t>
      </w:r>
    </w:p>
    <w:p w14:paraId="6C76E94D" w14:textId="0231FE0A"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Bakker, A. B., &amp; Demerouti, E. (2017). Job Demands–Resources Theory: Taking Stock and Looking Forward. </w:t>
      </w:r>
      <w:r w:rsidRPr="00DD07D8">
        <w:rPr>
          <w:rFonts w:ascii="Times New Roman" w:hAnsi="Times New Roman" w:cs="Times New Roman"/>
          <w:i/>
          <w:iCs/>
          <w:sz w:val="24"/>
          <w:szCs w:val="24"/>
        </w:rPr>
        <w:t>Journal of Occupational Health Psychology</w:t>
      </w:r>
      <w:r w:rsidRPr="00DD07D8">
        <w:rPr>
          <w:rFonts w:ascii="Times New Roman" w:hAnsi="Times New Roman" w:cs="Times New Roman"/>
          <w:sz w:val="24"/>
          <w:szCs w:val="24"/>
        </w:rPr>
        <w:t>, 22(3), 273–285.</w:t>
      </w:r>
    </w:p>
    <w:p w14:paraId="28E11567" w14:textId="4486F0F2"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Brewster, C., Chung, C., &amp; Sparrow, P. (2016). </w:t>
      </w:r>
      <w:r w:rsidRPr="00DD07D8">
        <w:rPr>
          <w:rFonts w:ascii="Times New Roman" w:hAnsi="Times New Roman" w:cs="Times New Roman"/>
          <w:i/>
          <w:iCs/>
          <w:sz w:val="24"/>
          <w:szCs w:val="24"/>
        </w:rPr>
        <w:t>Globalizing Human Resource Management</w:t>
      </w:r>
      <w:r w:rsidRPr="00DD07D8">
        <w:rPr>
          <w:rFonts w:ascii="Times New Roman" w:hAnsi="Times New Roman" w:cs="Times New Roman"/>
          <w:sz w:val="24"/>
          <w:szCs w:val="24"/>
        </w:rPr>
        <w:t>. Routledge.</w:t>
      </w:r>
    </w:p>
    <w:p w14:paraId="5DFECF95" w14:textId="6CCA3AC0"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Cascio, W. F., &amp; Boudreau, J. W. (2016). The Search for Global Competence: From International HR to Talent Management. </w:t>
      </w:r>
      <w:r w:rsidRPr="00DD07D8">
        <w:rPr>
          <w:rFonts w:ascii="Times New Roman" w:hAnsi="Times New Roman" w:cs="Times New Roman"/>
          <w:i/>
          <w:iCs/>
          <w:sz w:val="24"/>
          <w:szCs w:val="24"/>
        </w:rPr>
        <w:t>Journal of World Business</w:t>
      </w:r>
      <w:r w:rsidRPr="00DD07D8">
        <w:rPr>
          <w:rFonts w:ascii="Times New Roman" w:hAnsi="Times New Roman" w:cs="Times New Roman"/>
          <w:sz w:val="24"/>
          <w:szCs w:val="24"/>
        </w:rPr>
        <w:t>, 51(1), 103-114.</w:t>
      </w:r>
    </w:p>
    <w:p w14:paraId="136E65B1" w14:textId="1CD5E20A"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DeNisi, A., &amp; Williams, K. J. (2018). Appraisal Feedback: Theory, Research, and Practice. In D. V. Day &amp; J. M. Saboe (Eds.), </w:t>
      </w:r>
      <w:r w:rsidRPr="00DD07D8">
        <w:rPr>
          <w:rFonts w:ascii="Times New Roman" w:hAnsi="Times New Roman" w:cs="Times New Roman"/>
          <w:i/>
          <w:iCs/>
          <w:sz w:val="24"/>
          <w:szCs w:val="24"/>
        </w:rPr>
        <w:t>The Oxford Handbook of Leadership and Organizations</w:t>
      </w:r>
      <w:r w:rsidRPr="00DD07D8">
        <w:rPr>
          <w:rFonts w:ascii="Times New Roman" w:hAnsi="Times New Roman" w:cs="Times New Roman"/>
          <w:sz w:val="24"/>
          <w:szCs w:val="24"/>
        </w:rPr>
        <w:t>.</w:t>
      </w:r>
    </w:p>
    <w:p w14:paraId="0D3FF39F" w14:textId="46A74A92"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Guest, D. (2017). Human Resource Management and Employee Well-Being: Towards a New Analytic Framework. </w:t>
      </w:r>
      <w:r w:rsidRPr="00DD07D8">
        <w:rPr>
          <w:rFonts w:ascii="Times New Roman" w:hAnsi="Times New Roman" w:cs="Times New Roman"/>
          <w:i/>
          <w:iCs/>
          <w:sz w:val="24"/>
          <w:szCs w:val="24"/>
        </w:rPr>
        <w:t>Human Resource Management Journal</w:t>
      </w:r>
      <w:r w:rsidRPr="00DD07D8">
        <w:rPr>
          <w:rFonts w:ascii="Times New Roman" w:hAnsi="Times New Roman" w:cs="Times New Roman"/>
          <w:sz w:val="24"/>
          <w:szCs w:val="24"/>
        </w:rPr>
        <w:t>, 27(1), 22-38.</w:t>
      </w:r>
    </w:p>
    <w:p w14:paraId="6971D6B4" w14:textId="530D564B"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proofErr w:type="spellStart"/>
      <w:r w:rsidRPr="00DD07D8">
        <w:rPr>
          <w:rFonts w:ascii="Times New Roman" w:hAnsi="Times New Roman" w:cs="Times New Roman"/>
          <w:sz w:val="24"/>
          <w:szCs w:val="24"/>
        </w:rPr>
        <w:t>Kuvaas</w:t>
      </w:r>
      <w:proofErr w:type="spellEnd"/>
      <w:r w:rsidRPr="00DD07D8">
        <w:rPr>
          <w:rFonts w:ascii="Times New Roman" w:hAnsi="Times New Roman" w:cs="Times New Roman"/>
          <w:sz w:val="24"/>
          <w:szCs w:val="24"/>
        </w:rPr>
        <w:t xml:space="preserve">, B. (2006). Work Performance, Affective Commitment, and Work Motivation: The Roles of Pay Administration and Pay Level. </w:t>
      </w:r>
      <w:r w:rsidRPr="00DD07D8">
        <w:rPr>
          <w:rFonts w:ascii="Times New Roman" w:hAnsi="Times New Roman" w:cs="Times New Roman"/>
          <w:i/>
          <w:iCs/>
          <w:sz w:val="24"/>
          <w:szCs w:val="24"/>
        </w:rPr>
        <w:t xml:space="preserve">Journal of Organizational </w:t>
      </w:r>
      <w:proofErr w:type="spellStart"/>
      <w:r w:rsidRPr="00DD07D8">
        <w:rPr>
          <w:rFonts w:ascii="Times New Roman" w:hAnsi="Times New Roman" w:cs="Times New Roman"/>
          <w:i/>
          <w:iCs/>
          <w:sz w:val="24"/>
          <w:szCs w:val="24"/>
        </w:rPr>
        <w:t>Behavior</w:t>
      </w:r>
      <w:proofErr w:type="spellEnd"/>
      <w:r w:rsidRPr="00DD07D8">
        <w:rPr>
          <w:rFonts w:ascii="Times New Roman" w:hAnsi="Times New Roman" w:cs="Times New Roman"/>
          <w:sz w:val="24"/>
          <w:szCs w:val="24"/>
        </w:rPr>
        <w:t>, 27(3), 365-385.</w:t>
      </w:r>
    </w:p>
    <w:p w14:paraId="4F469D38" w14:textId="26EA3D1B"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Latham, G. P., &amp; Pinder, C. C. (2005). Work Motivation Theory and Research at the Dawn of the Twenty-First Century. </w:t>
      </w:r>
      <w:r w:rsidRPr="00DD07D8">
        <w:rPr>
          <w:rFonts w:ascii="Times New Roman" w:hAnsi="Times New Roman" w:cs="Times New Roman"/>
          <w:i/>
          <w:iCs/>
          <w:sz w:val="24"/>
          <w:szCs w:val="24"/>
        </w:rPr>
        <w:t>Annual Review of Psychology</w:t>
      </w:r>
      <w:r w:rsidRPr="00DD07D8">
        <w:rPr>
          <w:rFonts w:ascii="Times New Roman" w:hAnsi="Times New Roman" w:cs="Times New Roman"/>
          <w:sz w:val="24"/>
          <w:szCs w:val="24"/>
        </w:rPr>
        <w:t>, 56, 485-516.</w:t>
      </w:r>
    </w:p>
    <w:p w14:paraId="630A4169" w14:textId="04C1FD48"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Locke, E. A., &amp; Latham, G. P. (2002). Building a Practically Useful Theory of Goal Setting and Task Motivation: A 35-Year Odyssey. </w:t>
      </w:r>
      <w:r w:rsidRPr="00DD07D8">
        <w:rPr>
          <w:rFonts w:ascii="Times New Roman" w:hAnsi="Times New Roman" w:cs="Times New Roman"/>
          <w:i/>
          <w:iCs/>
          <w:sz w:val="24"/>
          <w:szCs w:val="24"/>
        </w:rPr>
        <w:t>American Psychologist</w:t>
      </w:r>
      <w:r w:rsidRPr="00DD07D8">
        <w:rPr>
          <w:rFonts w:ascii="Times New Roman" w:hAnsi="Times New Roman" w:cs="Times New Roman"/>
          <w:sz w:val="24"/>
          <w:szCs w:val="24"/>
        </w:rPr>
        <w:t>, 57(9), 705–717.</w:t>
      </w:r>
    </w:p>
    <w:p w14:paraId="1B7C51B5" w14:textId="5D909F3D"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London, M. (2013). </w:t>
      </w:r>
      <w:r w:rsidRPr="00DD07D8">
        <w:rPr>
          <w:rFonts w:ascii="Times New Roman" w:hAnsi="Times New Roman" w:cs="Times New Roman"/>
          <w:i/>
          <w:iCs/>
          <w:sz w:val="24"/>
          <w:szCs w:val="24"/>
        </w:rPr>
        <w:t>The Power of Feedback: Giving, Seeking, and Using Feedback for Performance Improvement</w:t>
      </w:r>
      <w:r w:rsidRPr="00DD07D8">
        <w:rPr>
          <w:rFonts w:ascii="Times New Roman" w:hAnsi="Times New Roman" w:cs="Times New Roman"/>
          <w:sz w:val="24"/>
          <w:szCs w:val="24"/>
        </w:rPr>
        <w:t>. Routledge.</w:t>
      </w:r>
    </w:p>
    <w:p w14:paraId="0B574A33" w14:textId="331D9B39"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r w:rsidRPr="00DD07D8">
        <w:rPr>
          <w:rFonts w:ascii="Times New Roman" w:hAnsi="Times New Roman" w:cs="Times New Roman"/>
          <w:sz w:val="24"/>
          <w:szCs w:val="24"/>
        </w:rPr>
        <w:t xml:space="preserve">Noe, R. A. (2017). </w:t>
      </w:r>
      <w:r w:rsidRPr="00DD07D8">
        <w:rPr>
          <w:rFonts w:ascii="Times New Roman" w:hAnsi="Times New Roman" w:cs="Times New Roman"/>
          <w:i/>
          <w:iCs/>
          <w:sz w:val="24"/>
          <w:szCs w:val="24"/>
        </w:rPr>
        <w:t>Employee Training and Development</w:t>
      </w:r>
      <w:r w:rsidRPr="00DD07D8">
        <w:rPr>
          <w:rFonts w:ascii="Times New Roman" w:hAnsi="Times New Roman" w:cs="Times New Roman"/>
          <w:sz w:val="24"/>
          <w:szCs w:val="24"/>
        </w:rPr>
        <w:t xml:space="preserve"> (7th Edition). McGraw-Hill Education.</w:t>
      </w:r>
    </w:p>
    <w:p w14:paraId="2EC637E8" w14:textId="21E31E41" w:rsidR="00DD07D8" w:rsidRPr="00DD07D8" w:rsidRDefault="00DD07D8" w:rsidP="00DD07D8">
      <w:pPr>
        <w:pStyle w:val="ListParagraph"/>
        <w:numPr>
          <w:ilvl w:val="0"/>
          <w:numId w:val="7"/>
        </w:numPr>
        <w:spacing w:line="360" w:lineRule="auto"/>
        <w:jc w:val="both"/>
        <w:rPr>
          <w:rFonts w:ascii="Times New Roman" w:hAnsi="Times New Roman" w:cs="Times New Roman"/>
          <w:sz w:val="24"/>
          <w:szCs w:val="24"/>
        </w:rPr>
      </w:pPr>
      <w:proofErr w:type="spellStart"/>
      <w:r w:rsidRPr="00DD07D8">
        <w:rPr>
          <w:rFonts w:ascii="Times New Roman" w:hAnsi="Times New Roman" w:cs="Times New Roman"/>
          <w:sz w:val="24"/>
          <w:szCs w:val="24"/>
        </w:rPr>
        <w:t>Pulakos</w:t>
      </w:r>
      <w:proofErr w:type="spellEnd"/>
      <w:r w:rsidRPr="00DD07D8">
        <w:rPr>
          <w:rFonts w:ascii="Times New Roman" w:hAnsi="Times New Roman" w:cs="Times New Roman"/>
          <w:sz w:val="24"/>
          <w:szCs w:val="24"/>
        </w:rPr>
        <w:t xml:space="preserve">, E. D. (2009). </w:t>
      </w:r>
      <w:r w:rsidRPr="00DD07D8">
        <w:rPr>
          <w:rFonts w:ascii="Times New Roman" w:hAnsi="Times New Roman" w:cs="Times New Roman"/>
          <w:i/>
          <w:iCs/>
          <w:sz w:val="24"/>
          <w:szCs w:val="24"/>
        </w:rPr>
        <w:t>Performance Management: A New Approach for Driving Business Results</w:t>
      </w:r>
      <w:r w:rsidRPr="00DD07D8">
        <w:rPr>
          <w:rFonts w:ascii="Times New Roman" w:hAnsi="Times New Roman" w:cs="Times New Roman"/>
          <w:sz w:val="24"/>
          <w:szCs w:val="24"/>
        </w:rPr>
        <w:t>. Wiley-Blackwell.</w:t>
      </w:r>
    </w:p>
    <w:p w14:paraId="52E6B85A" w14:textId="77777777" w:rsidR="00DD07D8" w:rsidRPr="00B10AA0" w:rsidRDefault="00DD07D8" w:rsidP="00DD07D8">
      <w:pPr>
        <w:spacing w:line="360" w:lineRule="auto"/>
        <w:rPr>
          <w:rFonts w:ascii="Times New Roman" w:hAnsi="Times New Roman" w:cs="Times New Roman"/>
          <w:sz w:val="24"/>
          <w:szCs w:val="24"/>
        </w:rPr>
      </w:pPr>
    </w:p>
    <w:sectPr w:rsidR="00DD07D8" w:rsidRPr="00B10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8D054B"/>
    <w:multiLevelType w:val="hybridMultilevel"/>
    <w:tmpl w:val="60ECC0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F0271E5"/>
    <w:multiLevelType w:val="hybridMultilevel"/>
    <w:tmpl w:val="DC24DCA6"/>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42F03AF8"/>
    <w:multiLevelType w:val="multilevel"/>
    <w:tmpl w:val="0DF836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49DA0078"/>
    <w:multiLevelType w:val="multilevel"/>
    <w:tmpl w:val="40A4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B82C99"/>
    <w:multiLevelType w:val="hybridMultilevel"/>
    <w:tmpl w:val="66E4A0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6DB5777"/>
    <w:multiLevelType w:val="hybridMultilevel"/>
    <w:tmpl w:val="50121CFC"/>
    <w:lvl w:ilvl="0" w:tplc="4A8EABD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4595677"/>
    <w:multiLevelType w:val="hybridMultilevel"/>
    <w:tmpl w:val="CA76C0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CF048DF"/>
    <w:multiLevelType w:val="hybridMultilevel"/>
    <w:tmpl w:val="A932954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47104778">
    <w:abstractNumId w:val="4"/>
  </w:num>
  <w:num w:numId="2" w16cid:durableId="96872764">
    <w:abstractNumId w:val="5"/>
  </w:num>
  <w:num w:numId="3" w16cid:durableId="726758700">
    <w:abstractNumId w:val="1"/>
  </w:num>
  <w:num w:numId="4" w16cid:durableId="1782218276">
    <w:abstractNumId w:val="7"/>
  </w:num>
  <w:num w:numId="5" w16cid:durableId="1966617019">
    <w:abstractNumId w:val="2"/>
  </w:num>
  <w:num w:numId="6" w16cid:durableId="156967445">
    <w:abstractNumId w:val="0"/>
  </w:num>
  <w:num w:numId="7" w16cid:durableId="1228954371">
    <w:abstractNumId w:val="3"/>
  </w:num>
  <w:num w:numId="8" w16cid:durableId="4704900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32A"/>
    <w:rsid w:val="0013532A"/>
    <w:rsid w:val="0020187E"/>
    <w:rsid w:val="007C6718"/>
    <w:rsid w:val="008F7F7B"/>
    <w:rsid w:val="00B10AA0"/>
    <w:rsid w:val="00C30F30"/>
    <w:rsid w:val="00DD07D8"/>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9EEBA"/>
  <w15:chartTrackingRefBased/>
  <w15:docId w15:val="{B30AF5E3-B65E-4748-B688-833FFF79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F30"/>
  </w:style>
  <w:style w:type="paragraph" w:styleId="Heading1">
    <w:name w:val="heading 1"/>
    <w:basedOn w:val="Normal"/>
    <w:next w:val="Normal"/>
    <w:link w:val="Heading1Char"/>
    <w:uiPriority w:val="9"/>
    <w:qFormat/>
    <w:rsid w:val="0013532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3532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532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532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532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5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32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3532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353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53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53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5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32A"/>
    <w:rPr>
      <w:rFonts w:eastAsiaTheme="majorEastAsia" w:cstheme="majorBidi"/>
      <w:color w:val="272727" w:themeColor="text1" w:themeTint="D8"/>
    </w:rPr>
  </w:style>
  <w:style w:type="paragraph" w:styleId="Title">
    <w:name w:val="Title"/>
    <w:basedOn w:val="Normal"/>
    <w:next w:val="Normal"/>
    <w:link w:val="TitleChar"/>
    <w:uiPriority w:val="10"/>
    <w:qFormat/>
    <w:rsid w:val="00135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32A"/>
    <w:pPr>
      <w:spacing w:before="160"/>
      <w:jc w:val="center"/>
    </w:pPr>
    <w:rPr>
      <w:i/>
      <w:iCs/>
      <w:color w:val="404040" w:themeColor="text1" w:themeTint="BF"/>
    </w:rPr>
  </w:style>
  <w:style w:type="character" w:customStyle="1" w:styleId="QuoteChar">
    <w:name w:val="Quote Char"/>
    <w:basedOn w:val="DefaultParagraphFont"/>
    <w:link w:val="Quote"/>
    <w:uiPriority w:val="29"/>
    <w:rsid w:val="0013532A"/>
    <w:rPr>
      <w:i/>
      <w:iCs/>
      <w:color w:val="404040" w:themeColor="text1" w:themeTint="BF"/>
    </w:rPr>
  </w:style>
  <w:style w:type="paragraph" w:styleId="ListParagraph">
    <w:name w:val="List Paragraph"/>
    <w:basedOn w:val="Normal"/>
    <w:uiPriority w:val="34"/>
    <w:qFormat/>
    <w:rsid w:val="0013532A"/>
    <w:pPr>
      <w:ind w:left="720"/>
      <w:contextualSpacing/>
    </w:pPr>
  </w:style>
  <w:style w:type="character" w:styleId="IntenseEmphasis">
    <w:name w:val="Intense Emphasis"/>
    <w:basedOn w:val="DefaultParagraphFont"/>
    <w:uiPriority w:val="21"/>
    <w:qFormat/>
    <w:rsid w:val="0013532A"/>
    <w:rPr>
      <w:i/>
      <w:iCs/>
      <w:color w:val="2F5496" w:themeColor="accent1" w:themeShade="BF"/>
    </w:rPr>
  </w:style>
  <w:style w:type="paragraph" w:styleId="IntenseQuote">
    <w:name w:val="Intense Quote"/>
    <w:basedOn w:val="Normal"/>
    <w:next w:val="Normal"/>
    <w:link w:val="IntenseQuoteChar"/>
    <w:uiPriority w:val="30"/>
    <w:qFormat/>
    <w:rsid w:val="001353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532A"/>
    <w:rPr>
      <w:i/>
      <w:iCs/>
      <w:color w:val="2F5496" w:themeColor="accent1" w:themeShade="BF"/>
    </w:rPr>
  </w:style>
  <w:style w:type="character" w:styleId="IntenseReference">
    <w:name w:val="Intense Reference"/>
    <w:basedOn w:val="DefaultParagraphFont"/>
    <w:uiPriority w:val="32"/>
    <w:qFormat/>
    <w:rsid w:val="0013532A"/>
    <w:rPr>
      <w:b/>
      <w:bCs/>
      <w:smallCaps/>
      <w:color w:val="2F5496" w:themeColor="accent1" w:themeShade="BF"/>
      <w:spacing w:val="5"/>
    </w:rPr>
  </w:style>
  <w:style w:type="paragraph" w:styleId="NormalWeb">
    <w:name w:val="Normal (Web)"/>
    <w:basedOn w:val="Normal"/>
    <w:uiPriority w:val="99"/>
    <w:semiHidden/>
    <w:unhideWhenUsed/>
    <w:rsid w:val="00B10AA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04885">
      <w:bodyDiv w:val="1"/>
      <w:marLeft w:val="0"/>
      <w:marRight w:val="0"/>
      <w:marTop w:val="0"/>
      <w:marBottom w:val="0"/>
      <w:divBdr>
        <w:top w:val="none" w:sz="0" w:space="0" w:color="auto"/>
        <w:left w:val="none" w:sz="0" w:space="0" w:color="auto"/>
        <w:bottom w:val="none" w:sz="0" w:space="0" w:color="auto"/>
        <w:right w:val="none" w:sz="0" w:space="0" w:color="auto"/>
      </w:divBdr>
    </w:div>
    <w:div w:id="52848326">
      <w:bodyDiv w:val="1"/>
      <w:marLeft w:val="0"/>
      <w:marRight w:val="0"/>
      <w:marTop w:val="0"/>
      <w:marBottom w:val="0"/>
      <w:divBdr>
        <w:top w:val="none" w:sz="0" w:space="0" w:color="auto"/>
        <w:left w:val="none" w:sz="0" w:space="0" w:color="auto"/>
        <w:bottom w:val="none" w:sz="0" w:space="0" w:color="auto"/>
        <w:right w:val="none" w:sz="0" w:space="0" w:color="auto"/>
      </w:divBdr>
    </w:div>
    <w:div w:id="64962151">
      <w:bodyDiv w:val="1"/>
      <w:marLeft w:val="0"/>
      <w:marRight w:val="0"/>
      <w:marTop w:val="0"/>
      <w:marBottom w:val="0"/>
      <w:divBdr>
        <w:top w:val="none" w:sz="0" w:space="0" w:color="auto"/>
        <w:left w:val="none" w:sz="0" w:space="0" w:color="auto"/>
        <w:bottom w:val="none" w:sz="0" w:space="0" w:color="auto"/>
        <w:right w:val="none" w:sz="0" w:space="0" w:color="auto"/>
      </w:divBdr>
    </w:div>
    <w:div w:id="92164088">
      <w:bodyDiv w:val="1"/>
      <w:marLeft w:val="0"/>
      <w:marRight w:val="0"/>
      <w:marTop w:val="0"/>
      <w:marBottom w:val="0"/>
      <w:divBdr>
        <w:top w:val="none" w:sz="0" w:space="0" w:color="auto"/>
        <w:left w:val="none" w:sz="0" w:space="0" w:color="auto"/>
        <w:bottom w:val="none" w:sz="0" w:space="0" w:color="auto"/>
        <w:right w:val="none" w:sz="0" w:space="0" w:color="auto"/>
      </w:divBdr>
    </w:div>
    <w:div w:id="124858602">
      <w:bodyDiv w:val="1"/>
      <w:marLeft w:val="0"/>
      <w:marRight w:val="0"/>
      <w:marTop w:val="0"/>
      <w:marBottom w:val="0"/>
      <w:divBdr>
        <w:top w:val="none" w:sz="0" w:space="0" w:color="auto"/>
        <w:left w:val="none" w:sz="0" w:space="0" w:color="auto"/>
        <w:bottom w:val="none" w:sz="0" w:space="0" w:color="auto"/>
        <w:right w:val="none" w:sz="0" w:space="0" w:color="auto"/>
      </w:divBdr>
    </w:div>
    <w:div w:id="153616931">
      <w:bodyDiv w:val="1"/>
      <w:marLeft w:val="0"/>
      <w:marRight w:val="0"/>
      <w:marTop w:val="0"/>
      <w:marBottom w:val="0"/>
      <w:divBdr>
        <w:top w:val="none" w:sz="0" w:space="0" w:color="auto"/>
        <w:left w:val="none" w:sz="0" w:space="0" w:color="auto"/>
        <w:bottom w:val="none" w:sz="0" w:space="0" w:color="auto"/>
        <w:right w:val="none" w:sz="0" w:space="0" w:color="auto"/>
      </w:divBdr>
    </w:div>
    <w:div w:id="184253718">
      <w:bodyDiv w:val="1"/>
      <w:marLeft w:val="0"/>
      <w:marRight w:val="0"/>
      <w:marTop w:val="0"/>
      <w:marBottom w:val="0"/>
      <w:divBdr>
        <w:top w:val="none" w:sz="0" w:space="0" w:color="auto"/>
        <w:left w:val="none" w:sz="0" w:space="0" w:color="auto"/>
        <w:bottom w:val="none" w:sz="0" w:space="0" w:color="auto"/>
        <w:right w:val="none" w:sz="0" w:space="0" w:color="auto"/>
      </w:divBdr>
    </w:div>
    <w:div w:id="246889533">
      <w:bodyDiv w:val="1"/>
      <w:marLeft w:val="0"/>
      <w:marRight w:val="0"/>
      <w:marTop w:val="0"/>
      <w:marBottom w:val="0"/>
      <w:divBdr>
        <w:top w:val="none" w:sz="0" w:space="0" w:color="auto"/>
        <w:left w:val="none" w:sz="0" w:space="0" w:color="auto"/>
        <w:bottom w:val="none" w:sz="0" w:space="0" w:color="auto"/>
        <w:right w:val="none" w:sz="0" w:space="0" w:color="auto"/>
      </w:divBdr>
    </w:div>
    <w:div w:id="559482444">
      <w:bodyDiv w:val="1"/>
      <w:marLeft w:val="0"/>
      <w:marRight w:val="0"/>
      <w:marTop w:val="0"/>
      <w:marBottom w:val="0"/>
      <w:divBdr>
        <w:top w:val="none" w:sz="0" w:space="0" w:color="auto"/>
        <w:left w:val="none" w:sz="0" w:space="0" w:color="auto"/>
        <w:bottom w:val="none" w:sz="0" w:space="0" w:color="auto"/>
        <w:right w:val="none" w:sz="0" w:space="0" w:color="auto"/>
      </w:divBdr>
    </w:div>
    <w:div w:id="579798858">
      <w:bodyDiv w:val="1"/>
      <w:marLeft w:val="0"/>
      <w:marRight w:val="0"/>
      <w:marTop w:val="0"/>
      <w:marBottom w:val="0"/>
      <w:divBdr>
        <w:top w:val="none" w:sz="0" w:space="0" w:color="auto"/>
        <w:left w:val="none" w:sz="0" w:space="0" w:color="auto"/>
        <w:bottom w:val="none" w:sz="0" w:space="0" w:color="auto"/>
        <w:right w:val="none" w:sz="0" w:space="0" w:color="auto"/>
      </w:divBdr>
    </w:div>
    <w:div w:id="616329022">
      <w:bodyDiv w:val="1"/>
      <w:marLeft w:val="0"/>
      <w:marRight w:val="0"/>
      <w:marTop w:val="0"/>
      <w:marBottom w:val="0"/>
      <w:divBdr>
        <w:top w:val="none" w:sz="0" w:space="0" w:color="auto"/>
        <w:left w:val="none" w:sz="0" w:space="0" w:color="auto"/>
        <w:bottom w:val="none" w:sz="0" w:space="0" w:color="auto"/>
        <w:right w:val="none" w:sz="0" w:space="0" w:color="auto"/>
      </w:divBdr>
    </w:div>
    <w:div w:id="698628254">
      <w:bodyDiv w:val="1"/>
      <w:marLeft w:val="0"/>
      <w:marRight w:val="0"/>
      <w:marTop w:val="0"/>
      <w:marBottom w:val="0"/>
      <w:divBdr>
        <w:top w:val="none" w:sz="0" w:space="0" w:color="auto"/>
        <w:left w:val="none" w:sz="0" w:space="0" w:color="auto"/>
        <w:bottom w:val="none" w:sz="0" w:space="0" w:color="auto"/>
        <w:right w:val="none" w:sz="0" w:space="0" w:color="auto"/>
      </w:divBdr>
    </w:div>
    <w:div w:id="754395671">
      <w:bodyDiv w:val="1"/>
      <w:marLeft w:val="0"/>
      <w:marRight w:val="0"/>
      <w:marTop w:val="0"/>
      <w:marBottom w:val="0"/>
      <w:divBdr>
        <w:top w:val="none" w:sz="0" w:space="0" w:color="auto"/>
        <w:left w:val="none" w:sz="0" w:space="0" w:color="auto"/>
        <w:bottom w:val="none" w:sz="0" w:space="0" w:color="auto"/>
        <w:right w:val="none" w:sz="0" w:space="0" w:color="auto"/>
      </w:divBdr>
    </w:div>
    <w:div w:id="813260908">
      <w:bodyDiv w:val="1"/>
      <w:marLeft w:val="0"/>
      <w:marRight w:val="0"/>
      <w:marTop w:val="0"/>
      <w:marBottom w:val="0"/>
      <w:divBdr>
        <w:top w:val="none" w:sz="0" w:space="0" w:color="auto"/>
        <w:left w:val="none" w:sz="0" w:space="0" w:color="auto"/>
        <w:bottom w:val="none" w:sz="0" w:space="0" w:color="auto"/>
        <w:right w:val="none" w:sz="0" w:space="0" w:color="auto"/>
      </w:divBdr>
    </w:div>
    <w:div w:id="929700874">
      <w:bodyDiv w:val="1"/>
      <w:marLeft w:val="0"/>
      <w:marRight w:val="0"/>
      <w:marTop w:val="0"/>
      <w:marBottom w:val="0"/>
      <w:divBdr>
        <w:top w:val="none" w:sz="0" w:space="0" w:color="auto"/>
        <w:left w:val="none" w:sz="0" w:space="0" w:color="auto"/>
        <w:bottom w:val="none" w:sz="0" w:space="0" w:color="auto"/>
        <w:right w:val="none" w:sz="0" w:space="0" w:color="auto"/>
      </w:divBdr>
    </w:div>
    <w:div w:id="1127285839">
      <w:bodyDiv w:val="1"/>
      <w:marLeft w:val="0"/>
      <w:marRight w:val="0"/>
      <w:marTop w:val="0"/>
      <w:marBottom w:val="0"/>
      <w:divBdr>
        <w:top w:val="none" w:sz="0" w:space="0" w:color="auto"/>
        <w:left w:val="none" w:sz="0" w:space="0" w:color="auto"/>
        <w:bottom w:val="none" w:sz="0" w:space="0" w:color="auto"/>
        <w:right w:val="none" w:sz="0" w:space="0" w:color="auto"/>
      </w:divBdr>
    </w:div>
    <w:div w:id="1234776453">
      <w:bodyDiv w:val="1"/>
      <w:marLeft w:val="0"/>
      <w:marRight w:val="0"/>
      <w:marTop w:val="0"/>
      <w:marBottom w:val="0"/>
      <w:divBdr>
        <w:top w:val="none" w:sz="0" w:space="0" w:color="auto"/>
        <w:left w:val="none" w:sz="0" w:space="0" w:color="auto"/>
        <w:bottom w:val="none" w:sz="0" w:space="0" w:color="auto"/>
        <w:right w:val="none" w:sz="0" w:space="0" w:color="auto"/>
      </w:divBdr>
    </w:div>
    <w:div w:id="1265306398">
      <w:bodyDiv w:val="1"/>
      <w:marLeft w:val="0"/>
      <w:marRight w:val="0"/>
      <w:marTop w:val="0"/>
      <w:marBottom w:val="0"/>
      <w:divBdr>
        <w:top w:val="none" w:sz="0" w:space="0" w:color="auto"/>
        <w:left w:val="none" w:sz="0" w:space="0" w:color="auto"/>
        <w:bottom w:val="none" w:sz="0" w:space="0" w:color="auto"/>
        <w:right w:val="none" w:sz="0" w:space="0" w:color="auto"/>
      </w:divBdr>
    </w:div>
    <w:div w:id="1290744345">
      <w:bodyDiv w:val="1"/>
      <w:marLeft w:val="0"/>
      <w:marRight w:val="0"/>
      <w:marTop w:val="0"/>
      <w:marBottom w:val="0"/>
      <w:divBdr>
        <w:top w:val="none" w:sz="0" w:space="0" w:color="auto"/>
        <w:left w:val="none" w:sz="0" w:space="0" w:color="auto"/>
        <w:bottom w:val="none" w:sz="0" w:space="0" w:color="auto"/>
        <w:right w:val="none" w:sz="0" w:space="0" w:color="auto"/>
      </w:divBdr>
    </w:div>
    <w:div w:id="1336764041">
      <w:bodyDiv w:val="1"/>
      <w:marLeft w:val="0"/>
      <w:marRight w:val="0"/>
      <w:marTop w:val="0"/>
      <w:marBottom w:val="0"/>
      <w:divBdr>
        <w:top w:val="none" w:sz="0" w:space="0" w:color="auto"/>
        <w:left w:val="none" w:sz="0" w:space="0" w:color="auto"/>
        <w:bottom w:val="none" w:sz="0" w:space="0" w:color="auto"/>
        <w:right w:val="none" w:sz="0" w:space="0" w:color="auto"/>
      </w:divBdr>
    </w:div>
    <w:div w:id="1343317052">
      <w:bodyDiv w:val="1"/>
      <w:marLeft w:val="0"/>
      <w:marRight w:val="0"/>
      <w:marTop w:val="0"/>
      <w:marBottom w:val="0"/>
      <w:divBdr>
        <w:top w:val="none" w:sz="0" w:space="0" w:color="auto"/>
        <w:left w:val="none" w:sz="0" w:space="0" w:color="auto"/>
        <w:bottom w:val="none" w:sz="0" w:space="0" w:color="auto"/>
        <w:right w:val="none" w:sz="0" w:space="0" w:color="auto"/>
      </w:divBdr>
    </w:div>
    <w:div w:id="1362708034">
      <w:bodyDiv w:val="1"/>
      <w:marLeft w:val="0"/>
      <w:marRight w:val="0"/>
      <w:marTop w:val="0"/>
      <w:marBottom w:val="0"/>
      <w:divBdr>
        <w:top w:val="none" w:sz="0" w:space="0" w:color="auto"/>
        <w:left w:val="none" w:sz="0" w:space="0" w:color="auto"/>
        <w:bottom w:val="none" w:sz="0" w:space="0" w:color="auto"/>
        <w:right w:val="none" w:sz="0" w:space="0" w:color="auto"/>
      </w:divBdr>
    </w:div>
    <w:div w:id="1364282293">
      <w:bodyDiv w:val="1"/>
      <w:marLeft w:val="0"/>
      <w:marRight w:val="0"/>
      <w:marTop w:val="0"/>
      <w:marBottom w:val="0"/>
      <w:divBdr>
        <w:top w:val="none" w:sz="0" w:space="0" w:color="auto"/>
        <w:left w:val="none" w:sz="0" w:space="0" w:color="auto"/>
        <w:bottom w:val="none" w:sz="0" w:space="0" w:color="auto"/>
        <w:right w:val="none" w:sz="0" w:space="0" w:color="auto"/>
      </w:divBdr>
    </w:div>
    <w:div w:id="1419793585">
      <w:bodyDiv w:val="1"/>
      <w:marLeft w:val="0"/>
      <w:marRight w:val="0"/>
      <w:marTop w:val="0"/>
      <w:marBottom w:val="0"/>
      <w:divBdr>
        <w:top w:val="none" w:sz="0" w:space="0" w:color="auto"/>
        <w:left w:val="none" w:sz="0" w:space="0" w:color="auto"/>
        <w:bottom w:val="none" w:sz="0" w:space="0" w:color="auto"/>
        <w:right w:val="none" w:sz="0" w:space="0" w:color="auto"/>
      </w:divBdr>
    </w:div>
    <w:div w:id="1486168622">
      <w:bodyDiv w:val="1"/>
      <w:marLeft w:val="0"/>
      <w:marRight w:val="0"/>
      <w:marTop w:val="0"/>
      <w:marBottom w:val="0"/>
      <w:divBdr>
        <w:top w:val="none" w:sz="0" w:space="0" w:color="auto"/>
        <w:left w:val="none" w:sz="0" w:space="0" w:color="auto"/>
        <w:bottom w:val="none" w:sz="0" w:space="0" w:color="auto"/>
        <w:right w:val="none" w:sz="0" w:space="0" w:color="auto"/>
      </w:divBdr>
    </w:div>
    <w:div w:id="1611090248">
      <w:bodyDiv w:val="1"/>
      <w:marLeft w:val="0"/>
      <w:marRight w:val="0"/>
      <w:marTop w:val="0"/>
      <w:marBottom w:val="0"/>
      <w:divBdr>
        <w:top w:val="none" w:sz="0" w:space="0" w:color="auto"/>
        <w:left w:val="none" w:sz="0" w:space="0" w:color="auto"/>
        <w:bottom w:val="none" w:sz="0" w:space="0" w:color="auto"/>
        <w:right w:val="none" w:sz="0" w:space="0" w:color="auto"/>
      </w:divBdr>
    </w:div>
    <w:div w:id="1620530947">
      <w:bodyDiv w:val="1"/>
      <w:marLeft w:val="0"/>
      <w:marRight w:val="0"/>
      <w:marTop w:val="0"/>
      <w:marBottom w:val="0"/>
      <w:divBdr>
        <w:top w:val="none" w:sz="0" w:space="0" w:color="auto"/>
        <w:left w:val="none" w:sz="0" w:space="0" w:color="auto"/>
        <w:bottom w:val="none" w:sz="0" w:space="0" w:color="auto"/>
        <w:right w:val="none" w:sz="0" w:space="0" w:color="auto"/>
      </w:divBdr>
    </w:div>
    <w:div w:id="1671519168">
      <w:bodyDiv w:val="1"/>
      <w:marLeft w:val="0"/>
      <w:marRight w:val="0"/>
      <w:marTop w:val="0"/>
      <w:marBottom w:val="0"/>
      <w:divBdr>
        <w:top w:val="none" w:sz="0" w:space="0" w:color="auto"/>
        <w:left w:val="none" w:sz="0" w:space="0" w:color="auto"/>
        <w:bottom w:val="none" w:sz="0" w:space="0" w:color="auto"/>
        <w:right w:val="none" w:sz="0" w:space="0" w:color="auto"/>
      </w:divBdr>
    </w:div>
    <w:div w:id="1687974757">
      <w:bodyDiv w:val="1"/>
      <w:marLeft w:val="0"/>
      <w:marRight w:val="0"/>
      <w:marTop w:val="0"/>
      <w:marBottom w:val="0"/>
      <w:divBdr>
        <w:top w:val="none" w:sz="0" w:space="0" w:color="auto"/>
        <w:left w:val="none" w:sz="0" w:space="0" w:color="auto"/>
        <w:bottom w:val="none" w:sz="0" w:space="0" w:color="auto"/>
        <w:right w:val="none" w:sz="0" w:space="0" w:color="auto"/>
      </w:divBdr>
    </w:div>
    <w:div w:id="1713922707">
      <w:bodyDiv w:val="1"/>
      <w:marLeft w:val="0"/>
      <w:marRight w:val="0"/>
      <w:marTop w:val="0"/>
      <w:marBottom w:val="0"/>
      <w:divBdr>
        <w:top w:val="none" w:sz="0" w:space="0" w:color="auto"/>
        <w:left w:val="none" w:sz="0" w:space="0" w:color="auto"/>
        <w:bottom w:val="none" w:sz="0" w:space="0" w:color="auto"/>
        <w:right w:val="none" w:sz="0" w:space="0" w:color="auto"/>
      </w:divBdr>
    </w:div>
    <w:div w:id="1881282567">
      <w:bodyDiv w:val="1"/>
      <w:marLeft w:val="0"/>
      <w:marRight w:val="0"/>
      <w:marTop w:val="0"/>
      <w:marBottom w:val="0"/>
      <w:divBdr>
        <w:top w:val="none" w:sz="0" w:space="0" w:color="auto"/>
        <w:left w:val="none" w:sz="0" w:space="0" w:color="auto"/>
        <w:bottom w:val="none" w:sz="0" w:space="0" w:color="auto"/>
        <w:right w:val="none" w:sz="0" w:space="0" w:color="auto"/>
      </w:divBdr>
    </w:div>
    <w:div w:id="1908832465">
      <w:bodyDiv w:val="1"/>
      <w:marLeft w:val="0"/>
      <w:marRight w:val="0"/>
      <w:marTop w:val="0"/>
      <w:marBottom w:val="0"/>
      <w:divBdr>
        <w:top w:val="none" w:sz="0" w:space="0" w:color="auto"/>
        <w:left w:val="none" w:sz="0" w:space="0" w:color="auto"/>
        <w:bottom w:val="none" w:sz="0" w:space="0" w:color="auto"/>
        <w:right w:val="none" w:sz="0" w:space="0" w:color="auto"/>
      </w:divBdr>
    </w:div>
    <w:div w:id="1933272226">
      <w:bodyDiv w:val="1"/>
      <w:marLeft w:val="0"/>
      <w:marRight w:val="0"/>
      <w:marTop w:val="0"/>
      <w:marBottom w:val="0"/>
      <w:divBdr>
        <w:top w:val="none" w:sz="0" w:space="0" w:color="auto"/>
        <w:left w:val="none" w:sz="0" w:space="0" w:color="auto"/>
        <w:bottom w:val="none" w:sz="0" w:space="0" w:color="auto"/>
        <w:right w:val="none" w:sz="0" w:space="0" w:color="auto"/>
      </w:divBdr>
    </w:div>
    <w:div w:id="2009747948">
      <w:bodyDiv w:val="1"/>
      <w:marLeft w:val="0"/>
      <w:marRight w:val="0"/>
      <w:marTop w:val="0"/>
      <w:marBottom w:val="0"/>
      <w:divBdr>
        <w:top w:val="none" w:sz="0" w:space="0" w:color="auto"/>
        <w:left w:val="none" w:sz="0" w:space="0" w:color="auto"/>
        <w:bottom w:val="none" w:sz="0" w:space="0" w:color="auto"/>
        <w:right w:val="none" w:sz="0" w:space="0" w:color="auto"/>
      </w:divBdr>
    </w:div>
    <w:div w:id="2016149546">
      <w:bodyDiv w:val="1"/>
      <w:marLeft w:val="0"/>
      <w:marRight w:val="0"/>
      <w:marTop w:val="0"/>
      <w:marBottom w:val="0"/>
      <w:divBdr>
        <w:top w:val="none" w:sz="0" w:space="0" w:color="auto"/>
        <w:left w:val="none" w:sz="0" w:space="0" w:color="auto"/>
        <w:bottom w:val="none" w:sz="0" w:space="0" w:color="auto"/>
        <w:right w:val="none" w:sz="0" w:space="0" w:color="auto"/>
      </w:divBdr>
    </w:div>
    <w:div w:id="2038460149">
      <w:bodyDiv w:val="1"/>
      <w:marLeft w:val="0"/>
      <w:marRight w:val="0"/>
      <w:marTop w:val="0"/>
      <w:marBottom w:val="0"/>
      <w:divBdr>
        <w:top w:val="none" w:sz="0" w:space="0" w:color="auto"/>
        <w:left w:val="none" w:sz="0" w:space="0" w:color="auto"/>
        <w:bottom w:val="none" w:sz="0" w:space="0" w:color="auto"/>
        <w:right w:val="none" w:sz="0" w:space="0" w:color="auto"/>
      </w:divBdr>
    </w:div>
    <w:div w:id="2065173268">
      <w:bodyDiv w:val="1"/>
      <w:marLeft w:val="0"/>
      <w:marRight w:val="0"/>
      <w:marTop w:val="0"/>
      <w:marBottom w:val="0"/>
      <w:divBdr>
        <w:top w:val="none" w:sz="0" w:space="0" w:color="auto"/>
        <w:left w:val="none" w:sz="0" w:space="0" w:color="auto"/>
        <w:bottom w:val="none" w:sz="0" w:space="0" w:color="auto"/>
        <w:right w:val="none" w:sz="0" w:space="0" w:color="auto"/>
      </w:divBdr>
    </w:div>
    <w:div w:id="211350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16</Pages>
  <Words>4433</Words>
  <Characters>25271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2025-06-01T09:08:00Z</dcterms:created>
  <dcterms:modified xsi:type="dcterms:W3CDTF">2025-06-01T09:36:00Z</dcterms:modified>
</cp:coreProperties>
</file>