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C67F2" w14:textId="77777777" w:rsidR="00995851" w:rsidRPr="00DA2E13" w:rsidRDefault="00995851" w:rsidP="0099585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7BECABAB" w14:textId="77777777" w:rsidR="00995851" w:rsidRPr="00DA2E13" w:rsidRDefault="00995851" w:rsidP="0099585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7FCDEA96" w14:textId="420B4155"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 xml:space="preserve">In today’s dynamic and competitive global economy, the success of any organization depends significantly on the commitment of its employees. Organizational commitment refers to the psychological attachment an employee has toward their organization, influencing their willingness to remain with the company, work diligently, and align with its goals. For companies like </w:t>
      </w:r>
      <w:r w:rsidRPr="00995851">
        <w:rPr>
          <w:rFonts w:ascii="Times New Roman" w:hAnsi="Times New Roman" w:cs="Times New Roman"/>
          <w:b/>
          <w:bCs/>
          <w:sz w:val="24"/>
          <w:szCs w:val="24"/>
        </w:rPr>
        <w:t>Global Foods</w:t>
      </w:r>
      <w:r w:rsidRPr="00995851">
        <w:rPr>
          <w:rFonts w:ascii="Times New Roman" w:hAnsi="Times New Roman" w:cs="Times New Roman"/>
          <w:sz w:val="24"/>
          <w:szCs w:val="24"/>
        </w:rPr>
        <w:t>, a leading player in the food processing and distribution sector, employee commitment plays a critical role in driving operational excellence and long-term sustainability.</w:t>
      </w:r>
    </w:p>
    <w:p w14:paraId="19AD6C23" w14:textId="4684AAEB"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Global Foods, like many fast-growing firms in the food industry, operates in a high-pressure environment characterized by tight deadlines, health and safety compliance, and the need for consistent quality. In such conditions, having a loyal, engaged, and committed workforce can make a significant difference in productivity, customer satisfaction, and innovation. Employees who are committed to the organization are more likely to perform at high levels, contribute positively to team efforts, and represent the company well to clients and stakeholders.</w:t>
      </w:r>
    </w:p>
    <w:p w14:paraId="2D1A4711" w14:textId="670CE5C0"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However, with increasing workforce diversity, changing employee expectations, and competitive job markets, retaining committed employees has become a challenge. Factors such as inadequate recognition, lack of career growth, work-life imbalance, and poor leadership can reduce employee commitment and lead to higher turnover rates. This can negatively affect production schedules, increase recruitment and training costs, and disrupt team cohesion—especially in an industry like food manufacturing where consistency and efficiency are vital.</w:t>
      </w:r>
    </w:p>
    <w:p w14:paraId="64253489" w14:textId="77D545E5"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 xml:space="preserve">The purpose of this study is to </w:t>
      </w:r>
      <w:proofErr w:type="spellStart"/>
      <w:r w:rsidRPr="00995851">
        <w:rPr>
          <w:rFonts w:ascii="Times New Roman" w:hAnsi="Times New Roman" w:cs="Times New Roman"/>
          <w:sz w:val="24"/>
          <w:szCs w:val="24"/>
        </w:rPr>
        <w:t>analyze</w:t>
      </w:r>
      <w:proofErr w:type="spellEnd"/>
      <w:r w:rsidRPr="00995851">
        <w:rPr>
          <w:rFonts w:ascii="Times New Roman" w:hAnsi="Times New Roman" w:cs="Times New Roman"/>
          <w:sz w:val="24"/>
          <w:szCs w:val="24"/>
        </w:rPr>
        <w:t xml:space="preserve"> the level of organizational commitment among employees of Global Foods and identify the key factors that influence it. The research will explore different dimensions of commitment—affective (emotional attachment), continuance (cost of leaving), and normative (sense of obligation)—and how these relate to workplace conditions, management practices, compensation, and overall job satisfaction.</w:t>
      </w:r>
    </w:p>
    <w:p w14:paraId="025D520D" w14:textId="1211BC98"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 xml:space="preserve">Understanding these elements will help the management of Global Foods assess the strengths and weaknesses of their current employee engagement strategies. The study will also provide insights into whether employees feel aligned with the organization’s values and vision, and whether they see a future for themselves within the company. Such findings can guide </w:t>
      </w:r>
      <w:r w:rsidRPr="00995851">
        <w:rPr>
          <w:rFonts w:ascii="Times New Roman" w:hAnsi="Times New Roman" w:cs="Times New Roman"/>
          <w:sz w:val="24"/>
          <w:szCs w:val="24"/>
        </w:rPr>
        <w:lastRenderedPageBreak/>
        <w:t>leadership in designing effective HR policies, motivation programs, and communication strategies to foster a more committed workforce.</w:t>
      </w:r>
    </w:p>
    <w:p w14:paraId="51216DE0" w14:textId="5A7FFAC6"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This research is particularly relevant now, as organizations recover from the economic and operational disruptions caused by global events such as the COVID-19 pandemic. During such times, organizational commitment can determine how resilient and adaptive a company’s workforce is. Companies that invest in building strong commitment are more likely to enjoy stability, innovation, and higher levels of employee morale.</w:t>
      </w:r>
    </w:p>
    <w:p w14:paraId="58DDF872" w14:textId="79D315BA" w:rsidR="00995851" w:rsidRDefault="00995851" w:rsidP="00995851">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995851">
        <w:t xml:space="preserve"> </w:t>
      </w:r>
      <w:r w:rsidRPr="00995851">
        <w:rPr>
          <w:rFonts w:ascii="Times New Roman" w:hAnsi="Times New Roman" w:cs="Times New Roman"/>
          <w:b/>
          <w:sz w:val="24"/>
          <w:szCs w:val="24"/>
        </w:rPr>
        <w:t xml:space="preserve">organizational </w:t>
      </w:r>
      <w:proofErr w:type="gramStart"/>
      <w:r w:rsidRPr="00995851">
        <w:rPr>
          <w:rFonts w:ascii="Times New Roman" w:hAnsi="Times New Roman" w:cs="Times New Roman"/>
          <w:b/>
          <w:sz w:val="24"/>
          <w:szCs w:val="24"/>
        </w:rPr>
        <w:t>commitment</w:t>
      </w:r>
      <w:r>
        <w:rPr>
          <w:rFonts w:ascii="Times New Roman" w:hAnsi="Times New Roman" w:cs="Times New Roman"/>
          <w:b/>
          <w:sz w:val="24"/>
          <w:szCs w:val="24"/>
        </w:rPr>
        <w:t xml:space="preserve"> </w:t>
      </w:r>
      <w:r w:rsidRPr="00DA2E13">
        <w:rPr>
          <w:rFonts w:ascii="Times New Roman" w:hAnsi="Times New Roman" w:cs="Times New Roman"/>
          <w:b/>
          <w:sz w:val="24"/>
          <w:szCs w:val="24"/>
          <w:lang w:val="en-US"/>
        </w:rPr>
        <w:t>?</w:t>
      </w:r>
      <w:proofErr w:type="gramEnd"/>
    </w:p>
    <w:p w14:paraId="7D22E928" w14:textId="77777777" w:rsidR="00995851" w:rsidRPr="00995851" w:rsidRDefault="00995851" w:rsidP="00995851">
      <w:pPr>
        <w:pStyle w:val="ListParagraph"/>
        <w:numPr>
          <w:ilvl w:val="0"/>
          <w:numId w:val="1"/>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Understanding organizational commitment helps Global Foods retain skilled and experienced employees, reducing turnover costs and ensuring greater operational continuity. When employees are committed, they are less likely to leave the organization, which strengthens workforce stability and knowledge retention.</w:t>
      </w:r>
    </w:p>
    <w:p w14:paraId="3F578DDB" w14:textId="77777777" w:rsidR="00995851" w:rsidRPr="00995851" w:rsidRDefault="00995851" w:rsidP="00995851">
      <w:pPr>
        <w:pStyle w:val="ListParagraph"/>
        <w:numPr>
          <w:ilvl w:val="0"/>
          <w:numId w:val="1"/>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This study enables management to identify the key drivers of employee loyalty, such as leadership style, recognition, and workplace environment. By addressing these areas, Global Foods can build a stronger emotional connection between employees and the organization.</w:t>
      </w:r>
    </w:p>
    <w:p w14:paraId="1CE9DACF" w14:textId="77777777" w:rsidR="00995851" w:rsidRPr="00995851" w:rsidRDefault="00995851" w:rsidP="00995851">
      <w:pPr>
        <w:pStyle w:val="ListParagraph"/>
        <w:numPr>
          <w:ilvl w:val="0"/>
          <w:numId w:val="1"/>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Improved organizational commitment often leads to increased productivity, as employees are more motivated to meet goals and contribute meaningfully. The study helps pinpoint the exact motivational factors that influence performance and job satisfaction.</w:t>
      </w:r>
    </w:p>
    <w:p w14:paraId="527BFF48" w14:textId="77777777" w:rsidR="00995851" w:rsidRPr="00995851" w:rsidRDefault="00995851" w:rsidP="00995851">
      <w:pPr>
        <w:pStyle w:val="ListParagraph"/>
        <w:numPr>
          <w:ilvl w:val="0"/>
          <w:numId w:val="1"/>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A committed workforce tends to provide better customer service, which is crucial in the food industry where quality and reliability are paramount. Through this study, Global Foods can align internal values with customer expectations more effectively.</w:t>
      </w:r>
    </w:p>
    <w:p w14:paraId="79FD3CF4" w14:textId="77777777" w:rsidR="00995851" w:rsidRPr="00995851" w:rsidRDefault="00995851" w:rsidP="00995851">
      <w:pPr>
        <w:pStyle w:val="ListParagraph"/>
        <w:numPr>
          <w:ilvl w:val="0"/>
          <w:numId w:val="1"/>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The research findings support the creation of more effective human resource policies, including training, reward systems, and career development programs. Tailoring these initiatives based on employee feedback enhances engagement and performance.</w:t>
      </w:r>
    </w:p>
    <w:p w14:paraId="031847A4" w14:textId="77777777" w:rsidR="00995851" w:rsidRPr="00995851" w:rsidRDefault="00995851" w:rsidP="00995851">
      <w:pPr>
        <w:pStyle w:val="ListParagraph"/>
        <w:numPr>
          <w:ilvl w:val="0"/>
          <w:numId w:val="1"/>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Better organizational commitment also improves teamwork and communication across departments. The study highlights how a shared sense of purpose can foster collaboration and reduce internal conflict within Global Foods.</w:t>
      </w:r>
    </w:p>
    <w:p w14:paraId="558120BD" w14:textId="77777777" w:rsidR="00995851" w:rsidRPr="00995851" w:rsidRDefault="00995851" w:rsidP="00995851">
      <w:pPr>
        <w:pStyle w:val="ListParagraph"/>
        <w:numPr>
          <w:ilvl w:val="0"/>
          <w:numId w:val="1"/>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This study contributes to strategic planning by showing how workforce commitment impacts long-term business goals. It allows Global Foods to align employee expectations with company objectives, strengthening future growth.</w:t>
      </w:r>
    </w:p>
    <w:p w14:paraId="55D1DB69" w14:textId="77777777" w:rsidR="00995851" w:rsidRPr="00995851" w:rsidRDefault="00995851" w:rsidP="00995851">
      <w:pPr>
        <w:pStyle w:val="ListParagraph"/>
        <w:numPr>
          <w:ilvl w:val="0"/>
          <w:numId w:val="1"/>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lastRenderedPageBreak/>
        <w:t>Understanding commitment levels helps the organization manage change more smoothly, especially during transitions like expansions, mergers, or policy shifts. Committed employees are more likely to support and adapt to change constructively.</w:t>
      </w:r>
    </w:p>
    <w:p w14:paraId="6EDB3970" w14:textId="77777777" w:rsidR="00995851" w:rsidRPr="00995851" w:rsidRDefault="00995851" w:rsidP="00995851">
      <w:pPr>
        <w:pStyle w:val="ListParagraph"/>
        <w:numPr>
          <w:ilvl w:val="0"/>
          <w:numId w:val="1"/>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The research serves as a benchmark for future studies on employee engagement within the company. It establishes a clear understanding of current attitudes and can be used to measure progress over time.</w:t>
      </w:r>
    </w:p>
    <w:p w14:paraId="6FDE88BD" w14:textId="4B19AF2A" w:rsidR="00995851" w:rsidRDefault="00995851" w:rsidP="00995851">
      <w:pPr>
        <w:spacing w:line="360" w:lineRule="auto"/>
        <w:jc w:val="both"/>
        <w:rPr>
          <w:rFonts w:ascii="Times New Roman" w:hAnsi="Times New Roman" w:cs="Times New Roman"/>
          <w:b/>
          <w:sz w:val="24"/>
          <w:szCs w:val="24"/>
        </w:rPr>
      </w:pPr>
      <w:r w:rsidRPr="00995851">
        <w:rPr>
          <w:rFonts w:ascii="Times New Roman" w:hAnsi="Times New Roman" w:cs="Times New Roman"/>
          <w:b/>
          <w:sz w:val="24"/>
          <w:szCs w:val="24"/>
        </w:rPr>
        <w:t>Organisation commitment</w:t>
      </w:r>
      <w:r>
        <w:rPr>
          <w:rFonts w:ascii="Times New Roman" w:hAnsi="Times New Roman" w:cs="Times New Roman"/>
          <w:b/>
          <w:sz w:val="24"/>
          <w:szCs w:val="24"/>
        </w:rPr>
        <w:t xml:space="preserve"> </w:t>
      </w:r>
      <w:r w:rsidRPr="007B042D">
        <w:rPr>
          <w:rFonts w:ascii="Times New Roman" w:hAnsi="Times New Roman" w:cs="Times New Roman"/>
          <w:b/>
          <w:sz w:val="24"/>
          <w:szCs w:val="24"/>
        </w:rPr>
        <w:t>advantages</w:t>
      </w:r>
    </w:p>
    <w:p w14:paraId="625ED04F" w14:textId="77777777" w:rsidR="00995851" w:rsidRPr="00995851" w:rsidRDefault="00995851" w:rsidP="00995851">
      <w:pPr>
        <w:pStyle w:val="ListParagraph"/>
        <w:numPr>
          <w:ilvl w:val="0"/>
          <w:numId w:val="2"/>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The study provides a clear understanding of how committed the employees of Global Foods are toward their organization. This knowledge enables the management to assess the strength of the current workplace culture and employee engagement levels.</w:t>
      </w:r>
    </w:p>
    <w:p w14:paraId="6A6A4BA0" w14:textId="77777777" w:rsidR="00995851" w:rsidRPr="00995851" w:rsidRDefault="00995851" w:rsidP="00995851">
      <w:pPr>
        <w:pStyle w:val="ListParagraph"/>
        <w:numPr>
          <w:ilvl w:val="0"/>
          <w:numId w:val="2"/>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It helps identify which specific factors—such as leadership quality, job satisfaction, or recognition—most influence employee commitment. This targeted insight allows for more effective planning of HR strategies and organizational policies.</w:t>
      </w:r>
    </w:p>
    <w:p w14:paraId="0AE42CAB" w14:textId="77777777" w:rsidR="00995851" w:rsidRPr="00995851" w:rsidRDefault="00995851" w:rsidP="00995851">
      <w:pPr>
        <w:pStyle w:val="ListParagraph"/>
        <w:numPr>
          <w:ilvl w:val="0"/>
          <w:numId w:val="2"/>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One major advantage of this study is its potential to reduce employee turnover. By understanding why employees choose to stay or leave, Global Foods can develop better retention programs and lower recruitment and training costs.</w:t>
      </w:r>
    </w:p>
    <w:p w14:paraId="6E92530B" w14:textId="77777777" w:rsidR="00995851" w:rsidRPr="00995851" w:rsidRDefault="00995851" w:rsidP="00995851">
      <w:pPr>
        <w:pStyle w:val="ListParagraph"/>
        <w:numPr>
          <w:ilvl w:val="0"/>
          <w:numId w:val="2"/>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The study enhances productivity by showing how committed employees contribute more positively to the company’s performance. Committed workers are more likely to take initiative, show dedication, and support team objectives.</w:t>
      </w:r>
    </w:p>
    <w:p w14:paraId="7E88AC4D" w14:textId="77777777" w:rsidR="00995851" w:rsidRPr="00995851" w:rsidRDefault="00995851" w:rsidP="00995851">
      <w:pPr>
        <w:pStyle w:val="ListParagraph"/>
        <w:numPr>
          <w:ilvl w:val="0"/>
          <w:numId w:val="2"/>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It supports improved internal communication and stronger relationships between employees and management. This leads to a more cooperative and trusting work environment, which is essential in fast-paced sectors like food production.</w:t>
      </w:r>
    </w:p>
    <w:p w14:paraId="5C4707F9" w14:textId="77777777" w:rsidR="00995851" w:rsidRPr="00995851" w:rsidRDefault="00995851" w:rsidP="00995851">
      <w:pPr>
        <w:pStyle w:val="ListParagraph"/>
        <w:numPr>
          <w:ilvl w:val="0"/>
          <w:numId w:val="2"/>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The research findings can be used to redesign reward systems and benefits to better reflect employee expectations. Aligning company offerings with what employees value most increases satisfaction and loyalty.</w:t>
      </w:r>
    </w:p>
    <w:p w14:paraId="2C09BAFE" w14:textId="77777777" w:rsidR="00995851" w:rsidRPr="00995851" w:rsidRDefault="00995851" w:rsidP="00995851">
      <w:pPr>
        <w:pStyle w:val="ListParagraph"/>
        <w:numPr>
          <w:ilvl w:val="0"/>
          <w:numId w:val="2"/>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Another advantage is that the study offers valuable data for long-term strategic planning. Understanding employee commitment trends helps Global Foods forecast human capital needs and prepare for future growth or expansion.</w:t>
      </w:r>
    </w:p>
    <w:p w14:paraId="0C576C75" w14:textId="77777777" w:rsidR="00995851" w:rsidRPr="00995851" w:rsidRDefault="00995851" w:rsidP="00995851">
      <w:pPr>
        <w:pStyle w:val="ListParagraph"/>
        <w:numPr>
          <w:ilvl w:val="0"/>
          <w:numId w:val="2"/>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It also enhances the organization’s image and employer brand. When commitment levels are high, employees become brand ambassadors, which helps attract new talent and build a positive reputation in the industry.</w:t>
      </w:r>
    </w:p>
    <w:p w14:paraId="10E8713D" w14:textId="77777777" w:rsidR="00995851" w:rsidRDefault="00995851" w:rsidP="00995851">
      <w:pPr>
        <w:pStyle w:val="ListParagraph"/>
        <w:numPr>
          <w:ilvl w:val="0"/>
          <w:numId w:val="2"/>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lastRenderedPageBreak/>
        <w:t>The study contributes to continuous improvement by highlighting areas where employee expectations are not being met. This feedback allows Global Foods to make informed changes that promote a healthier organizational climate.</w:t>
      </w:r>
    </w:p>
    <w:p w14:paraId="1333E361" w14:textId="23EFBC22" w:rsidR="00995851" w:rsidRDefault="00995851" w:rsidP="00995851">
      <w:pPr>
        <w:pStyle w:val="ListParagraph"/>
        <w:numPr>
          <w:ilvl w:val="0"/>
          <w:numId w:val="2"/>
        </w:numPr>
        <w:spacing w:line="360" w:lineRule="auto"/>
        <w:jc w:val="both"/>
        <w:rPr>
          <w:rFonts w:ascii="Times New Roman" w:hAnsi="Times New Roman" w:cs="Times New Roman"/>
          <w:bCs/>
          <w:sz w:val="24"/>
          <w:szCs w:val="24"/>
        </w:rPr>
      </w:pPr>
      <w:r w:rsidRPr="00995851">
        <w:rPr>
          <w:rFonts w:ascii="Times New Roman" w:hAnsi="Times New Roman" w:cs="Times New Roman"/>
          <w:bCs/>
          <w:sz w:val="24"/>
          <w:szCs w:val="24"/>
        </w:rPr>
        <w:t>Lastly, the research provides a foundation for further academic or professional studies. It opens opportunities for comparative analysis with other companies or industries and contributes to the broader field of human resource management.</w:t>
      </w:r>
    </w:p>
    <w:p w14:paraId="0750C8CD" w14:textId="77777777" w:rsidR="00995851" w:rsidRPr="00995851" w:rsidRDefault="00995851" w:rsidP="00995851">
      <w:pPr>
        <w:pStyle w:val="ListParagraph"/>
        <w:spacing w:line="360" w:lineRule="auto"/>
        <w:ind w:left="360"/>
        <w:jc w:val="both"/>
        <w:rPr>
          <w:rFonts w:ascii="Times New Roman" w:hAnsi="Times New Roman" w:cs="Times New Roman"/>
          <w:bCs/>
          <w:sz w:val="24"/>
          <w:szCs w:val="24"/>
        </w:rPr>
      </w:pPr>
    </w:p>
    <w:p w14:paraId="38544574" w14:textId="77777777" w:rsidR="00995851" w:rsidRDefault="00995851" w:rsidP="00995851">
      <w:pPr>
        <w:spacing w:line="360" w:lineRule="auto"/>
        <w:jc w:val="both"/>
        <w:rPr>
          <w:rFonts w:ascii="Times New Roman" w:hAnsi="Times New Roman" w:cs="Times New Roman"/>
          <w:b/>
          <w:sz w:val="24"/>
          <w:szCs w:val="24"/>
        </w:rPr>
      </w:pPr>
    </w:p>
    <w:p w14:paraId="492ACE5F" w14:textId="77777777" w:rsidR="00995851" w:rsidRDefault="00995851" w:rsidP="00995851">
      <w:pPr>
        <w:spacing w:line="360" w:lineRule="auto"/>
        <w:jc w:val="both"/>
        <w:rPr>
          <w:rFonts w:ascii="Times New Roman" w:hAnsi="Times New Roman" w:cs="Times New Roman"/>
          <w:b/>
          <w:sz w:val="24"/>
          <w:szCs w:val="24"/>
        </w:rPr>
      </w:pPr>
    </w:p>
    <w:p w14:paraId="3CE362A2" w14:textId="77777777" w:rsidR="00E75FD5" w:rsidRDefault="00E75FD5"/>
    <w:p w14:paraId="08274959" w14:textId="77777777" w:rsidR="00995851" w:rsidRDefault="00995851"/>
    <w:p w14:paraId="2E167F7F" w14:textId="77777777" w:rsidR="00995851" w:rsidRDefault="00995851"/>
    <w:p w14:paraId="3A7AA072" w14:textId="77777777" w:rsidR="00995851" w:rsidRDefault="00995851"/>
    <w:p w14:paraId="37FD8C1D" w14:textId="77777777" w:rsidR="00995851" w:rsidRDefault="00995851"/>
    <w:p w14:paraId="19158076" w14:textId="77777777" w:rsidR="00995851" w:rsidRDefault="00995851"/>
    <w:p w14:paraId="0C91F34B" w14:textId="77777777" w:rsidR="00995851" w:rsidRDefault="00995851"/>
    <w:p w14:paraId="6F312694" w14:textId="77777777" w:rsidR="00995851" w:rsidRDefault="00995851"/>
    <w:p w14:paraId="2040AB5C" w14:textId="77777777" w:rsidR="00995851" w:rsidRDefault="00995851"/>
    <w:p w14:paraId="0BAE1087" w14:textId="77777777" w:rsidR="00995851" w:rsidRDefault="00995851"/>
    <w:p w14:paraId="76F70536" w14:textId="77777777" w:rsidR="00995851" w:rsidRDefault="00995851"/>
    <w:p w14:paraId="111DBD7E" w14:textId="77777777" w:rsidR="00995851" w:rsidRDefault="00995851"/>
    <w:p w14:paraId="0F16DD56" w14:textId="77777777" w:rsidR="00995851" w:rsidRDefault="00995851"/>
    <w:p w14:paraId="5F020E6D" w14:textId="77777777" w:rsidR="00995851" w:rsidRDefault="00995851"/>
    <w:p w14:paraId="597F2188" w14:textId="77777777" w:rsidR="00995851" w:rsidRDefault="00995851"/>
    <w:p w14:paraId="231BA5F1" w14:textId="77777777" w:rsidR="00995851" w:rsidRDefault="00995851"/>
    <w:p w14:paraId="51E4BABA" w14:textId="77777777" w:rsidR="00995851" w:rsidRDefault="00995851"/>
    <w:p w14:paraId="7725ABB5" w14:textId="77777777" w:rsidR="00995851" w:rsidRDefault="00995851"/>
    <w:p w14:paraId="5B3FF0A2" w14:textId="77777777" w:rsidR="00995851" w:rsidRDefault="00995851"/>
    <w:p w14:paraId="65991305" w14:textId="77777777" w:rsidR="00995851" w:rsidRDefault="00995851"/>
    <w:p w14:paraId="6C61D7E7" w14:textId="77777777" w:rsidR="00995851" w:rsidRDefault="00995851"/>
    <w:p w14:paraId="48FFFBC9" w14:textId="77777777" w:rsidR="00995851" w:rsidRDefault="00995851"/>
    <w:p w14:paraId="0C8ECB3C" w14:textId="77777777" w:rsidR="00995851" w:rsidRDefault="00995851" w:rsidP="00995851">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29FD2B31" w14:textId="2D66A0DA"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The food processing industry is one of the largest and fastest-growing sectors globally, playing a crucial role in the economic development of both developed and developing nations. It encompasses a wide range of activities such as processing, packaging, distribution, and marketing of food products. In countries like India, the food industry contributes significantly to GDP, employment, and export earnings, making it a key area for investment and innovation. As global consumption patterns evolve and demand for packaged, ready-to-eat, and quality-assured food rises, the industry has become increasingly competitive and regulated.</w:t>
      </w:r>
    </w:p>
    <w:p w14:paraId="706EC9F8" w14:textId="6CBBA1A2"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 xml:space="preserve">Within this broad sector, companies like </w:t>
      </w:r>
      <w:r w:rsidRPr="00995851">
        <w:rPr>
          <w:rFonts w:ascii="Times New Roman" w:hAnsi="Times New Roman" w:cs="Times New Roman"/>
          <w:b/>
          <w:bCs/>
          <w:sz w:val="24"/>
          <w:szCs w:val="24"/>
        </w:rPr>
        <w:t>Global Foods</w:t>
      </w:r>
      <w:r w:rsidRPr="00995851">
        <w:rPr>
          <w:rFonts w:ascii="Times New Roman" w:hAnsi="Times New Roman" w:cs="Times New Roman"/>
          <w:sz w:val="24"/>
          <w:szCs w:val="24"/>
        </w:rPr>
        <w:t xml:space="preserve"> operate in a dynamic environment where efficiency, product safety, quality control, and workforce management are critical. The success of food manufacturing firms depends not only on their production capacity and technology but also on the effectiveness of their human resources. With increased automation, global supply chains, and strict health standards, companies are under constant pressure to deliver consistent quality while maintaining employee morale and productivity.</w:t>
      </w:r>
    </w:p>
    <w:p w14:paraId="654720C2" w14:textId="641509A8"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 xml:space="preserve">Labor plays a central role in the food industry, especially in production, packaging, and logistics. This makes organizational commitment an important concern, as employee turnover, absenteeism, or lack of engagement can directly affect production timelines, quality assurance, and customer satisfaction. Moreover, the food industry often relies on shift-based work, tight schedules, and </w:t>
      </w:r>
      <w:proofErr w:type="spellStart"/>
      <w:r w:rsidRPr="00995851">
        <w:rPr>
          <w:rFonts w:ascii="Times New Roman" w:hAnsi="Times New Roman" w:cs="Times New Roman"/>
          <w:sz w:val="24"/>
          <w:szCs w:val="24"/>
        </w:rPr>
        <w:t>labor-intensive</w:t>
      </w:r>
      <w:proofErr w:type="spellEnd"/>
      <w:r w:rsidRPr="00995851">
        <w:rPr>
          <w:rFonts w:ascii="Times New Roman" w:hAnsi="Times New Roman" w:cs="Times New Roman"/>
          <w:sz w:val="24"/>
          <w:szCs w:val="24"/>
        </w:rPr>
        <w:t xml:space="preserve"> processes, all of which can affect employee well-being and satisfaction. As a result, companies are now focusing more on human capital development and employee retention as strategic priorities.</w:t>
      </w:r>
    </w:p>
    <w:p w14:paraId="74C0A171" w14:textId="4E05B554"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Additionally, the food sector is undergoing significant transformation through technological advancements, digital supply chain integration, and sustainability initiatives. In such a changing landscape, committed employees are key to managing transitions smoothly, maintaining compliance with safety norms, and supporting innovation. High levels of organizational commitment in this sector translate into better teamwork, operational stability, and business continuity—especially important in perishable goods environments where delays or errors can be costly.</w:t>
      </w:r>
    </w:p>
    <w:p w14:paraId="6E7A4DD2" w14:textId="77777777" w:rsidR="00995851" w:rsidRDefault="00995851"/>
    <w:p w14:paraId="1088F0B6" w14:textId="77777777" w:rsidR="00995851" w:rsidRDefault="00995851"/>
    <w:p w14:paraId="0F3BFC66" w14:textId="77777777" w:rsidR="00995851" w:rsidRDefault="00995851"/>
    <w:p w14:paraId="5FCFCFF4" w14:textId="3E3513CC" w:rsidR="00995851" w:rsidRDefault="00995851">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03FECDD6" w14:textId="068A189B"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 xml:space="preserve">In today’s fast-paced and competitive food industry, companies like </w:t>
      </w:r>
      <w:r w:rsidRPr="00995851">
        <w:rPr>
          <w:rFonts w:ascii="Times New Roman" w:hAnsi="Times New Roman" w:cs="Times New Roman"/>
          <w:b/>
          <w:bCs/>
          <w:sz w:val="24"/>
          <w:szCs w:val="24"/>
        </w:rPr>
        <w:t>Global Foods</w:t>
      </w:r>
      <w:r w:rsidRPr="00995851">
        <w:rPr>
          <w:rFonts w:ascii="Times New Roman" w:hAnsi="Times New Roman" w:cs="Times New Roman"/>
          <w:sz w:val="24"/>
          <w:szCs w:val="24"/>
        </w:rPr>
        <w:t xml:space="preserve"> depend heavily on a stable and committed workforce to meet production demands, maintain product quality, and ensure timely delivery. However, despite its operational success, the organization faces challenges such as rising employee turnover, inconsistent performance, and declining levels of employee engagement. These issues suggest a possible gap between organizational expectations and employee motivation or satisfaction.</w:t>
      </w:r>
    </w:p>
    <w:p w14:paraId="612B493B" w14:textId="6D068A33"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 xml:space="preserve">Organizational commitment is a key factor that influences employee retention, productivity, and workplace morale. When employees lack emotional attachment or a sense of belonging to the organization, it can lead to decreased efficiency, absenteeism, and increased recruitment and training costs. In a </w:t>
      </w:r>
      <w:proofErr w:type="spellStart"/>
      <w:r w:rsidRPr="00995851">
        <w:rPr>
          <w:rFonts w:ascii="Times New Roman" w:hAnsi="Times New Roman" w:cs="Times New Roman"/>
          <w:sz w:val="24"/>
          <w:szCs w:val="24"/>
        </w:rPr>
        <w:t>labor-intensive</w:t>
      </w:r>
      <w:proofErr w:type="spellEnd"/>
      <w:r w:rsidRPr="00995851">
        <w:rPr>
          <w:rFonts w:ascii="Times New Roman" w:hAnsi="Times New Roman" w:cs="Times New Roman"/>
          <w:sz w:val="24"/>
          <w:szCs w:val="24"/>
        </w:rPr>
        <w:t xml:space="preserve"> and quality-driven industry like food processing, such disruptions can have a direct impact on customer satisfaction and brand reputation.</w:t>
      </w:r>
    </w:p>
    <w:p w14:paraId="54A54901" w14:textId="64B14C1F" w:rsidR="00995851" w:rsidRPr="00995851" w:rsidRDefault="00995851" w:rsidP="009958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5851">
        <w:rPr>
          <w:rFonts w:ascii="Times New Roman" w:hAnsi="Times New Roman" w:cs="Times New Roman"/>
          <w:sz w:val="24"/>
          <w:szCs w:val="24"/>
        </w:rPr>
        <w:t>The problem arises from not fully understanding what drives or hinders organizational commitment within the workforce at Global Foods. There is a pressing need to explore the internal factors such as leadership practices, recognition systems, work environment, communication, and job security that influence employees’ loyalty and dedication to the company.</w:t>
      </w:r>
    </w:p>
    <w:p w14:paraId="31A4E579" w14:textId="77777777" w:rsidR="00995851" w:rsidRDefault="00995851" w:rsidP="00995851">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70189266" w14:textId="7FA0DFC4" w:rsidR="00995851" w:rsidRPr="00995851" w:rsidRDefault="00995851" w:rsidP="00995851">
      <w:pPr>
        <w:pStyle w:val="ListParagraph"/>
        <w:numPr>
          <w:ilvl w:val="0"/>
          <w:numId w:val="2"/>
        </w:numPr>
        <w:spacing w:line="360" w:lineRule="auto"/>
        <w:jc w:val="both"/>
        <w:rPr>
          <w:rFonts w:ascii="Times New Roman" w:hAnsi="Times New Roman" w:cs="Times New Roman"/>
          <w:sz w:val="24"/>
          <w:szCs w:val="24"/>
        </w:rPr>
      </w:pPr>
      <w:r w:rsidRPr="00995851">
        <w:rPr>
          <w:rFonts w:ascii="Times New Roman" w:hAnsi="Times New Roman" w:cs="Times New Roman"/>
          <w:sz w:val="24"/>
          <w:szCs w:val="24"/>
        </w:rPr>
        <w:t>To assess the current level of organizational commitment among employees at Global Foods.</w:t>
      </w:r>
    </w:p>
    <w:p w14:paraId="79B546D1" w14:textId="348B6A66" w:rsidR="00995851" w:rsidRPr="00995851" w:rsidRDefault="00995851" w:rsidP="00995851">
      <w:pPr>
        <w:pStyle w:val="ListParagraph"/>
        <w:numPr>
          <w:ilvl w:val="0"/>
          <w:numId w:val="2"/>
        </w:numPr>
        <w:spacing w:line="360" w:lineRule="auto"/>
        <w:jc w:val="both"/>
        <w:rPr>
          <w:rFonts w:ascii="Times New Roman" w:hAnsi="Times New Roman" w:cs="Times New Roman"/>
          <w:sz w:val="24"/>
          <w:szCs w:val="24"/>
        </w:rPr>
      </w:pPr>
      <w:r w:rsidRPr="00995851">
        <w:rPr>
          <w:rFonts w:ascii="Times New Roman" w:hAnsi="Times New Roman" w:cs="Times New Roman"/>
          <w:sz w:val="24"/>
          <w:szCs w:val="24"/>
        </w:rPr>
        <w:t>To identify the key factors influencing organizational commitment such as job satisfaction, leadership style, work environment, and recognition.</w:t>
      </w:r>
    </w:p>
    <w:p w14:paraId="3A6AB231" w14:textId="46DB9D4B" w:rsidR="00995851" w:rsidRPr="00995851" w:rsidRDefault="00995851" w:rsidP="00995851">
      <w:pPr>
        <w:pStyle w:val="ListParagraph"/>
        <w:numPr>
          <w:ilvl w:val="0"/>
          <w:numId w:val="2"/>
        </w:numPr>
        <w:spacing w:line="360" w:lineRule="auto"/>
        <w:jc w:val="both"/>
        <w:rPr>
          <w:rFonts w:ascii="Times New Roman" w:hAnsi="Times New Roman" w:cs="Times New Roman"/>
          <w:sz w:val="24"/>
          <w:szCs w:val="24"/>
        </w:rPr>
      </w:pPr>
      <w:r w:rsidRPr="00995851">
        <w:rPr>
          <w:rFonts w:ascii="Times New Roman" w:hAnsi="Times New Roman" w:cs="Times New Roman"/>
          <w:sz w:val="24"/>
          <w:szCs w:val="24"/>
        </w:rPr>
        <w:t>To examine the relationship between organizational commitment and employee performance, retention, and job satisfaction.</w:t>
      </w:r>
    </w:p>
    <w:p w14:paraId="2A42DBCB" w14:textId="10D5D925" w:rsidR="00995851" w:rsidRPr="00995851" w:rsidRDefault="00995851" w:rsidP="00995851">
      <w:pPr>
        <w:pStyle w:val="ListParagraph"/>
        <w:numPr>
          <w:ilvl w:val="0"/>
          <w:numId w:val="2"/>
        </w:numPr>
        <w:spacing w:line="360" w:lineRule="auto"/>
        <w:jc w:val="both"/>
        <w:rPr>
          <w:rFonts w:ascii="Times New Roman" w:hAnsi="Times New Roman" w:cs="Times New Roman"/>
          <w:sz w:val="24"/>
          <w:szCs w:val="24"/>
        </w:rPr>
      </w:pPr>
      <w:r w:rsidRPr="00995851">
        <w:rPr>
          <w:rFonts w:ascii="Times New Roman" w:hAnsi="Times New Roman" w:cs="Times New Roman"/>
          <w:sz w:val="24"/>
          <w:szCs w:val="24"/>
        </w:rPr>
        <w:t>To understand the impact of organizational policies and practices on employees’ emotional attachment and loyalty to the organization.</w:t>
      </w:r>
    </w:p>
    <w:p w14:paraId="61F6B3FD" w14:textId="76C9561D" w:rsidR="00995851" w:rsidRPr="00995851" w:rsidRDefault="00995851" w:rsidP="00995851">
      <w:pPr>
        <w:pStyle w:val="ListParagraph"/>
        <w:numPr>
          <w:ilvl w:val="0"/>
          <w:numId w:val="2"/>
        </w:numPr>
        <w:spacing w:line="360" w:lineRule="auto"/>
        <w:jc w:val="both"/>
        <w:rPr>
          <w:rFonts w:ascii="Times New Roman" w:hAnsi="Times New Roman" w:cs="Times New Roman"/>
          <w:sz w:val="24"/>
          <w:szCs w:val="24"/>
        </w:rPr>
      </w:pPr>
      <w:r w:rsidRPr="00995851">
        <w:rPr>
          <w:rFonts w:ascii="Times New Roman" w:hAnsi="Times New Roman" w:cs="Times New Roman"/>
          <w:sz w:val="24"/>
          <w:szCs w:val="24"/>
        </w:rPr>
        <w:t>To explore differences in commitment levels across departments, age groups, job roles, or experience levels within the company.</w:t>
      </w:r>
    </w:p>
    <w:p w14:paraId="5063E86C" w14:textId="1F675B2F" w:rsidR="00995851" w:rsidRPr="00995851" w:rsidRDefault="00995851" w:rsidP="00995851">
      <w:pPr>
        <w:pStyle w:val="ListParagraph"/>
        <w:numPr>
          <w:ilvl w:val="0"/>
          <w:numId w:val="2"/>
        </w:numPr>
        <w:spacing w:line="360" w:lineRule="auto"/>
        <w:jc w:val="both"/>
        <w:rPr>
          <w:rFonts w:ascii="Times New Roman" w:hAnsi="Times New Roman" w:cs="Times New Roman"/>
          <w:sz w:val="24"/>
          <w:szCs w:val="24"/>
        </w:rPr>
      </w:pPr>
      <w:r w:rsidRPr="00995851">
        <w:rPr>
          <w:rFonts w:ascii="Times New Roman" w:hAnsi="Times New Roman" w:cs="Times New Roman"/>
          <w:sz w:val="24"/>
          <w:szCs w:val="24"/>
        </w:rPr>
        <w:t>To provide practical recommendations to Global Foods for enhancing employee commitment and reducing turnover.</w:t>
      </w:r>
    </w:p>
    <w:p w14:paraId="6CB85508" w14:textId="77777777" w:rsidR="00995851" w:rsidRDefault="00995851" w:rsidP="00995851">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4ABA9DA1" w14:textId="2D77CFD1" w:rsidR="00E0601D" w:rsidRPr="00E0601D" w:rsidRDefault="00E0601D" w:rsidP="00E0601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0601D">
        <w:rPr>
          <w:rFonts w:ascii="Times New Roman" w:hAnsi="Times New Roman" w:cs="Times New Roman"/>
          <w:bCs/>
          <w:sz w:val="24"/>
          <w:szCs w:val="24"/>
        </w:rPr>
        <w:t xml:space="preserve">The scope of this study is focused on examining the level and factors of organizational commitment among employees of </w:t>
      </w:r>
      <w:r w:rsidRPr="00E0601D">
        <w:rPr>
          <w:rFonts w:ascii="Times New Roman" w:hAnsi="Times New Roman" w:cs="Times New Roman"/>
          <w:b/>
          <w:bCs/>
          <w:sz w:val="24"/>
          <w:szCs w:val="24"/>
        </w:rPr>
        <w:t>Global Foods</w:t>
      </w:r>
      <w:r w:rsidRPr="00E0601D">
        <w:rPr>
          <w:rFonts w:ascii="Times New Roman" w:hAnsi="Times New Roman" w:cs="Times New Roman"/>
          <w:bCs/>
          <w:sz w:val="24"/>
          <w:szCs w:val="24"/>
        </w:rPr>
        <w:t xml:space="preserve">, a company operating in the food processing and distribution industry. The study concentrates on understanding how various elements such as leadership </w:t>
      </w:r>
      <w:proofErr w:type="spellStart"/>
      <w:r w:rsidRPr="00E0601D">
        <w:rPr>
          <w:rFonts w:ascii="Times New Roman" w:hAnsi="Times New Roman" w:cs="Times New Roman"/>
          <w:bCs/>
          <w:sz w:val="24"/>
          <w:szCs w:val="24"/>
        </w:rPr>
        <w:t>behavior</w:t>
      </w:r>
      <w:proofErr w:type="spellEnd"/>
      <w:r w:rsidRPr="00E0601D">
        <w:rPr>
          <w:rFonts w:ascii="Times New Roman" w:hAnsi="Times New Roman" w:cs="Times New Roman"/>
          <w:bCs/>
          <w:sz w:val="24"/>
          <w:szCs w:val="24"/>
        </w:rPr>
        <w:t>, work environment, reward systems, job satisfaction, and internal communication influence employees’ commitment to the organization.</w:t>
      </w:r>
    </w:p>
    <w:p w14:paraId="743E026D" w14:textId="736B4231" w:rsidR="00E0601D" w:rsidRPr="00E0601D" w:rsidRDefault="00E0601D" w:rsidP="00E0601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0601D">
        <w:rPr>
          <w:rFonts w:ascii="Times New Roman" w:hAnsi="Times New Roman" w:cs="Times New Roman"/>
          <w:bCs/>
          <w:sz w:val="24"/>
          <w:szCs w:val="24"/>
        </w:rPr>
        <w:t>This research is limited to the employees currently working in selected departments or units within Global Foods, ensuring a representative sample across job roles and experience levels. The study does not include former employees or other external stakeholders. It is conducted within a specific time frame and geographic location relevant to the company’s operational area.</w:t>
      </w:r>
    </w:p>
    <w:p w14:paraId="09F000BE" w14:textId="7021D80B" w:rsidR="00E0601D" w:rsidRPr="00E0601D" w:rsidRDefault="00E0601D" w:rsidP="00E0601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0601D">
        <w:rPr>
          <w:rFonts w:ascii="Times New Roman" w:hAnsi="Times New Roman" w:cs="Times New Roman"/>
          <w:bCs/>
          <w:sz w:val="24"/>
          <w:szCs w:val="24"/>
        </w:rPr>
        <w:t>The findings aim to provide valuable insights for the HR and management teams at Global Foods to improve employee engagement, retention, and organizational performance. However, the results are intended for internal use and may not be generalized to other companies or industries without further study.</w:t>
      </w:r>
    </w:p>
    <w:p w14:paraId="028ED698" w14:textId="77777777" w:rsidR="00E0601D" w:rsidRDefault="00E0601D" w:rsidP="00E0601D">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1B867727" w14:textId="4283B499" w:rsidR="00E0601D" w:rsidRPr="00E0601D" w:rsidRDefault="00E0601D" w:rsidP="00E0601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0601D">
        <w:rPr>
          <w:rFonts w:ascii="Times New Roman" w:hAnsi="Times New Roman" w:cs="Times New Roman"/>
          <w:bCs/>
          <w:sz w:val="24"/>
          <w:szCs w:val="24"/>
        </w:rPr>
        <w:t>This study on organizational commitment at Global Foods has certain limitations that may affect the generalizability and depth of its findings. First, the research is restricted to employees within a single organization, which may limit the applicability of results to other companies in the food industry or different sectors. The sample size, though representative, may not fully capture the diverse perspectives of all employees, especially those in remote or less-accessible departments.</w:t>
      </w:r>
    </w:p>
    <w:p w14:paraId="1095E00C" w14:textId="310919E2" w:rsidR="00E0601D" w:rsidRPr="00E0601D" w:rsidRDefault="00E0601D" w:rsidP="00E0601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0601D">
        <w:rPr>
          <w:rFonts w:ascii="Times New Roman" w:hAnsi="Times New Roman" w:cs="Times New Roman"/>
          <w:bCs/>
          <w:sz w:val="24"/>
          <w:szCs w:val="24"/>
        </w:rPr>
        <w:t>The data collection method primarily relies on self-reported questionnaires and interviews, which are subject to personal bias or social desirability—respondents may provide answers they believe are expected rather than their true opinions. Time constraints also limited the extent of qualitative data collection, such as in-depth interviews or observation, which could have offered richer insights.</w:t>
      </w:r>
    </w:p>
    <w:p w14:paraId="60C0EDC5" w14:textId="39E9F6E2" w:rsidR="00E0601D" w:rsidRPr="00E0601D" w:rsidRDefault="00E0601D" w:rsidP="00E0601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0601D">
        <w:rPr>
          <w:rFonts w:ascii="Times New Roman" w:hAnsi="Times New Roman" w:cs="Times New Roman"/>
          <w:bCs/>
          <w:sz w:val="24"/>
          <w:szCs w:val="24"/>
        </w:rPr>
        <w:t xml:space="preserve">Moreover, external factors such as industry competition, economic conditions, or organizational changes during the study period were not considered in detail, even though they may influence employee commitment. Lastly, the study focuses only on current employees and </w:t>
      </w:r>
      <w:r w:rsidRPr="00E0601D">
        <w:rPr>
          <w:rFonts w:ascii="Times New Roman" w:hAnsi="Times New Roman" w:cs="Times New Roman"/>
          <w:bCs/>
          <w:sz w:val="24"/>
          <w:szCs w:val="24"/>
        </w:rPr>
        <w:lastRenderedPageBreak/>
        <w:t>does not account for the views of former staff, which might have revealed additional reasons for low or high organizational commitment.</w:t>
      </w:r>
    </w:p>
    <w:p w14:paraId="646E8E5C" w14:textId="551430ED" w:rsidR="00E0601D" w:rsidRPr="00E0601D" w:rsidRDefault="00E0601D" w:rsidP="00E0601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0601D">
        <w:rPr>
          <w:rFonts w:ascii="Times New Roman" w:hAnsi="Times New Roman" w:cs="Times New Roman"/>
          <w:bCs/>
          <w:sz w:val="24"/>
          <w:szCs w:val="24"/>
        </w:rPr>
        <w:t>Despite these limitations, the study provides meaningful insights and a useful foundation for future research and decision-making within the organization.</w:t>
      </w:r>
    </w:p>
    <w:p w14:paraId="1CD0612B" w14:textId="77777777" w:rsidR="00E0601D" w:rsidRPr="001A008C" w:rsidRDefault="00E0601D" w:rsidP="00E0601D">
      <w:pPr>
        <w:spacing w:line="360" w:lineRule="auto"/>
        <w:jc w:val="both"/>
        <w:rPr>
          <w:rFonts w:ascii="Times New Roman" w:hAnsi="Times New Roman" w:cs="Times New Roman"/>
          <w:bCs/>
          <w:sz w:val="24"/>
          <w:szCs w:val="24"/>
          <w:lang w:val="en-US"/>
        </w:rPr>
      </w:pPr>
    </w:p>
    <w:p w14:paraId="22CB8811" w14:textId="77777777" w:rsidR="00995851" w:rsidRDefault="00995851" w:rsidP="00995851">
      <w:pPr>
        <w:spacing w:line="360" w:lineRule="auto"/>
        <w:jc w:val="both"/>
        <w:rPr>
          <w:rFonts w:ascii="Times New Roman" w:hAnsi="Times New Roman" w:cs="Times New Roman"/>
          <w:bCs/>
          <w:sz w:val="24"/>
          <w:szCs w:val="24"/>
          <w:lang w:val="en-US"/>
        </w:rPr>
      </w:pPr>
    </w:p>
    <w:p w14:paraId="2FA62D2B" w14:textId="77777777" w:rsidR="00E0601D" w:rsidRDefault="00E0601D" w:rsidP="00995851">
      <w:pPr>
        <w:spacing w:line="360" w:lineRule="auto"/>
        <w:jc w:val="both"/>
        <w:rPr>
          <w:rFonts w:ascii="Times New Roman" w:hAnsi="Times New Roman" w:cs="Times New Roman"/>
          <w:bCs/>
          <w:sz w:val="24"/>
          <w:szCs w:val="24"/>
          <w:lang w:val="en-US"/>
        </w:rPr>
      </w:pPr>
    </w:p>
    <w:p w14:paraId="78CFF8BB" w14:textId="77777777" w:rsidR="00E0601D" w:rsidRDefault="00E0601D" w:rsidP="00995851">
      <w:pPr>
        <w:spacing w:line="360" w:lineRule="auto"/>
        <w:jc w:val="both"/>
        <w:rPr>
          <w:rFonts w:ascii="Times New Roman" w:hAnsi="Times New Roman" w:cs="Times New Roman"/>
          <w:bCs/>
          <w:sz w:val="24"/>
          <w:szCs w:val="24"/>
          <w:lang w:val="en-US"/>
        </w:rPr>
      </w:pPr>
    </w:p>
    <w:p w14:paraId="7B92A9CE" w14:textId="77777777" w:rsidR="00E0601D" w:rsidRDefault="00E0601D" w:rsidP="00995851">
      <w:pPr>
        <w:spacing w:line="360" w:lineRule="auto"/>
        <w:jc w:val="both"/>
        <w:rPr>
          <w:rFonts w:ascii="Times New Roman" w:hAnsi="Times New Roman" w:cs="Times New Roman"/>
          <w:bCs/>
          <w:sz w:val="24"/>
          <w:szCs w:val="24"/>
          <w:lang w:val="en-US"/>
        </w:rPr>
      </w:pPr>
    </w:p>
    <w:p w14:paraId="5D525000" w14:textId="77777777" w:rsidR="00E0601D" w:rsidRDefault="00E0601D" w:rsidP="00995851">
      <w:pPr>
        <w:spacing w:line="360" w:lineRule="auto"/>
        <w:jc w:val="both"/>
        <w:rPr>
          <w:rFonts w:ascii="Times New Roman" w:hAnsi="Times New Roman" w:cs="Times New Roman"/>
          <w:bCs/>
          <w:sz w:val="24"/>
          <w:szCs w:val="24"/>
          <w:lang w:val="en-US"/>
        </w:rPr>
      </w:pPr>
    </w:p>
    <w:p w14:paraId="15BB20DF" w14:textId="77777777" w:rsidR="00E0601D" w:rsidRDefault="00E0601D" w:rsidP="00995851">
      <w:pPr>
        <w:spacing w:line="360" w:lineRule="auto"/>
        <w:jc w:val="both"/>
        <w:rPr>
          <w:rFonts w:ascii="Times New Roman" w:hAnsi="Times New Roman" w:cs="Times New Roman"/>
          <w:bCs/>
          <w:sz w:val="24"/>
          <w:szCs w:val="24"/>
          <w:lang w:val="en-US"/>
        </w:rPr>
      </w:pPr>
    </w:p>
    <w:p w14:paraId="6908FCC7" w14:textId="77777777" w:rsidR="00E0601D" w:rsidRDefault="00E0601D" w:rsidP="00995851">
      <w:pPr>
        <w:spacing w:line="360" w:lineRule="auto"/>
        <w:jc w:val="both"/>
        <w:rPr>
          <w:rFonts w:ascii="Times New Roman" w:hAnsi="Times New Roman" w:cs="Times New Roman"/>
          <w:bCs/>
          <w:sz w:val="24"/>
          <w:szCs w:val="24"/>
          <w:lang w:val="en-US"/>
        </w:rPr>
      </w:pPr>
    </w:p>
    <w:p w14:paraId="73361CD5" w14:textId="77777777" w:rsidR="00E0601D" w:rsidRDefault="00E0601D" w:rsidP="00995851">
      <w:pPr>
        <w:spacing w:line="360" w:lineRule="auto"/>
        <w:jc w:val="both"/>
        <w:rPr>
          <w:rFonts w:ascii="Times New Roman" w:hAnsi="Times New Roman" w:cs="Times New Roman"/>
          <w:bCs/>
          <w:sz w:val="24"/>
          <w:szCs w:val="24"/>
          <w:lang w:val="en-US"/>
        </w:rPr>
      </w:pPr>
    </w:p>
    <w:p w14:paraId="6EB880BE" w14:textId="77777777" w:rsidR="00E0601D" w:rsidRDefault="00E0601D" w:rsidP="00995851">
      <w:pPr>
        <w:spacing w:line="360" w:lineRule="auto"/>
        <w:jc w:val="both"/>
        <w:rPr>
          <w:rFonts w:ascii="Times New Roman" w:hAnsi="Times New Roman" w:cs="Times New Roman"/>
          <w:bCs/>
          <w:sz w:val="24"/>
          <w:szCs w:val="24"/>
          <w:lang w:val="en-US"/>
        </w:rPr>
      </w:pPr>
    </w:p>
    <w:p w14:paraId="62042737" w14:textId="77777777" w:rsidR="00E0601D" w:rsidRDefault="00E0601D" w:rsidP="00995851">
      <w:pPr>
        <w:spacing w:line="360" w:lineRule="auto"/>
        <w:jc w:val="both"/>
        <w:rPr>
          <w:rFonts w:ascii="Times New Roman" w:hAnsi="Times New Roman" w:cs="Times New Roman"/>
          <w:bCs/>
          <w:sz w:val="24"/>
          <w:szCs w:val="24"/>
          <w:lang w:val="en-US"/>
        </w:rPr>
      </w:pPr>
    </w:p>
    <w:p w14:paraId="35C29C21" w14:textId="77777777" w:rsidR="00E0601D" w:rsidRDefault="00E0601D" w:rsidP="00995851">
      <w:pPr>
        <w:spacing w:line="360" w:lineRule="auto"/>
        <w:jc w:val="both"/>
        <w:rPr>
          <w:rFonts w:ascii="Times New Roman" w:hAnsi="Times New Roman" w:cs="Times New Roman"/>
          <w:bCs/>
          <w:sz w:val="24"/>
          <w:szCs w:val="24"/>
          <w:lang w:val="en-US"/>
        </w:rPr>
      </w:pPr>
    </w:p>
    <w:p w14:paraId="5B2E1827" w14:textId="77777777" w:rsidR="00E0601D" w:rsidRDefault="00E0601D" w:rsidP="00995851">
      <w:pPr>
        <w:spacing w:line="360" w:lineRule="auto"/>
        <w:jc w:val="both"/>
        <w:rPr>
          <w:rFonts w:ascii="Times New Roman" w:hAnsi="Times New Roman" w:cs="Times New Roman"/>
          <w:bCs/>
          <w:sz w:val="24"/>
          <w:szCs w:val="24"/>
          <w:lang w:val="en-US"/>
        </w:rPr>
      </w:pPr>
    </w:p>
    <w:p w14:paraId="403D889A" w14:textId="77777777" w:rsidR="00E0601D" w:rsidRDefault="00E0601D" w:rsidP="00995851">
      <w:pPr>
        <w:spacing w:line="360" w:lineRule="auto"/>
        <w:jc w:val="both"/>
        <w:rPr>
          <w:rFonts w:ascii="Times New Roman" w:hAnsi="Times New Roman" w:cs="Times New Roman"/>
          <w:bCs/>
          <w:sz w:val="24"/>
          <w:szCs w:val="24"/>
          <w:lang w:val="en-US"/>
        </w:rPr>
      </w:pPr>
    </w:p>
    <w:p w14:paraId="236582F3" w14:textId="77777777" w:rsidR="00E0601D" w:rsidRDefault="00E0601D" w:rsidP="00995851">
      <w:pPr>
        <w:spacing w:line="360" w:lineRule="auto"/>
        <w:jc w:val="both"/>
        <w:rPr>
          <w:rFonts w:ascii="Times New Roman" w:hAnsi="Times New Roman" w:cs="Times New Roman"/>
          <w:bCs/>
          <w:sz w:val="24"/>
          <w:szCs w:val="24"/>
          <w:lang w:val="en-US"/>
        </w:rPr>
      </w:pPr>
    </w:p>
    <w:p w14:paraId="0440A7A5" w14:textId="77777777" w:rsidR="00E0601D" w:rsidRDefault="00E0601D" w:rsidP="00995851">
      <w:pPr>
        <w:spacing w:line="360" w:lineRule="auto"/>
        <w:jc w:val="both"/>
        <w:rPr>
          <w:rFonts w:ascii="Times New Roman" w:hAnsi="Times New Roman" w:cs="Times New Roman"/>
          <w:bCs/>
          <w:sz w:val="24"/>
          <w:szCs w:val="24"/>
          <w:lang w:val="en-US"/>
        </w:rPr>
      </w:pPr>
    </w:p>
    <w:p w14:paraId="31E8C76C" w14:textId="77777777" w:rsidR="00E0601D" w:rsidRDefault="00E0601D" w:rsidP="00995851">
      <w:pPr>
        <w:spacing w:line="360" w:lineRule="auto"/>
        <w:jc w:val="both"/>
        <w:rPr>
          <w:rFonts w:ascii="Times New Roman" w:hAnsi="Times New Roman" w:cs="Times New Roman"/>
          <w:bCs/>
          <w:sz w:val="24"/>
          <w:szCs w:val="24"/>
          <w:lang w:val="en-US"/>
        </w:rPr>
      </w:pPr>
    </w:p>
    <w:p w14:paraId="46313F21" w14:textId="77777777" w:rsidR="00E0601D" w:rsidRDefault="00E0601D" w:rsidP="00995851">
      <w:pPr>
        <w:spacing w:line="360" w:lineRule="auto"/>
        <w:jc w:val="both"/>
        <w:rPr>
          <w:rFonts w:ascii="Times New Roman" w:hAnsi="Times New Roman" w:cs="Times New Roman"/>
          <w:bCs/>
          <w:sz w:val="24"/>
          <w:szCs w:val="24"/>
          <w:lang w:val="en-US"/>
        </w:rPr>
      </w:pPr>
    </w:p>
    <w:p w14:paraId="0C719E05" w14:textId="77777777" w:rsidR="00E0601D" w:rsidRDefault="00E0601D" w:rsidP="00995851">
      <w:pPr>
        <w:spacing w:line="360" w:lineRule="auto"/>
        <w:jc w:val="both"/>
        <w:rPr>
          <w:rFonts w:ascii="Times New Roman" w:hAnsi="Times New Roman" w:cs="Times New Roman"/>
          <w:bCs/>
          <w:sz w:val="24"/>
          <w:szCs w:val="24"/>
          <w:lang w:val="en-US"/>
        </w:rPr>
      </w:pPr>
    </w:p>
    <w:p w14:paraId="791B4A91" w14:textId="77777777" w:rsidR="00E0601D" w:rsidRDefault="00E0601D" w:rsidP="00995851">
      <w:pPr>
        <w:spacing w:line="360" w:lineRule="auto"/>
        <w:jc w:val="both"/>
        <w:rPr>
          <w:rFonts w:ascii="Times New Roman" w:hAnsi="Times New Roman" w:cs="Times New Roman"/>
          <w:bCs/>
          <w:sz w:val="24"/>
          <w:szCs w:val="24"/>
          <w:lang w:val="en-US"/>
        </w:rPr>
      </w:pPr>
    </w:p>
    <w:p w14:paraId="101B39A0" w14:textId="77777777" w:rsidR="00E0601D" w:rsidRDefault="00E0601D" w:rsidP="00995851">
      <w:pPr>
        <w:spacing w:line="360" w:lineRule="auto"/>
        <w:jc w:val="both"/>
        <w:rPr>
          <w:rFonts w:ascii="Times New Roman" w:hAnsi="Times New Roman" w:cs="Times New Roman"/>
          <w:bCs/>
          <w:sz w:val="24"/>
          <w:szCs w:val="24"/>
          <w:lang w:val="en-US"/>
        </w:rPr>
      </w:pPr>
    </w:p>
    <w:p w14:paraId="494C4DDC" w14:textId="77777777" w:rsidR="00E0601D" w:rsidRPr="00AD7255" w:rsidRDefault="00E0601D" w:rsidP="00E0601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0F53C78B" w14:textId="77777777" w:rsidR="00E0601D" w:rsidRDefault="00E0601D" w:rsidP="00E0601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32177766" w14:textId="58DC7C74" w:rsidR="00E0601D" w:rsidRDefault="00E0601D" w:rsidP="00995851">
      <w:pPr>
        <w:spacing w:line="360" w:lineRule="auto"/>
        <w:jc w:val="both"/>
        <w:rPr>
          <w:rFonts w:ascii="Times New Roman" w:hAnsi="Times New Roman" w:cs="Times New Roman"/>
          <w:bCs/>
          <w:sz w:val="24"/>
          <w:szCs w:val="24"/>
        </w:rPr>
      </w:pPr>
      <w:r w:rsidRPr="00E0601D">
        <w:rPr>
          <w:rFonts w:ascii="Times New Roman" w:hAnsi="Times New Roman" w:cs="Times New Roman"/>
          <w:b/>
          <w:sz w:val="24"/>
          <w:szCs w:val="24"/>
        </w:rPr>
        <w:t>Meyer and Allen</w:t>
      </w:r>
      <w:r w:rsidRPr="00E0601D">
        <w:rPr>
          <w:rFonts w:ascii="Times New Roman" w:hAnsi="Times New Roman" w:cs="Times New Roman"/>
          <w:bCs/>
          <w:sz w:val="24"/>
          <w:szCs w:val="24"/>
        </w:rPr>
        <w:t xml:space="preserve"> developed the three-component model of organizational commitment: affective, continuance, and normative commitment. Affective commitment refers to emotional attachment, continuance relates to the cost of leaving the organization, and normative involves a sense of obligation to remain. Their work emphasizes that commitment is not one-dimensional and varies by personal and organizational context. This model is widely used in HR research and forms the theoretical foundation for many studies in employee </w:t>
      </w:r>
      <w:proofErr w:type="spellStart"/>
      <w:r w:rsidRPr="00E0601D">
        <w:rPr>
          <w:rFonts w:ascii="Times New Roman" w:hAnsi="Times New Roman" w:cs="Times New Roman"/>
          <w:bCs/>
          <w:sz w:val="24"/>
          <w:szCs w:val="24"/>
        </w:rPr>
        <w:t>behavior</w:t>
      </w:r>
      <w:proofErr w:type="spellEnd"/>
      <w:r w:rsidRPr="00E0601D">
        <w:rPr>
          <w:rFonts w:ascii="Times New Roman" w:hAnsi="Times New Roman" w:cs="Times New Roman"/>
          <w:bCs/>
          <w:sz w:val="24"/>
          <w:szCs w:val="24"/>
        </w:rPr>
        <w:t>. In the context of food industries like Global Foods, all three dimensions can influence performance, retention, and loyalty. Their framework helps organizations design targeted strategies to boost long-term employee engagement and morale.</w:t>
      </w:r>
    </w:p>
    <w:p w14:paraId="460AF011" w14:textId="75A15701" w:rsidR="00E0601D" w:rsidRDefault="00E0601D" w:rsidP="00995851">
      <w:pPr>
        <w:spacing w:line="360" w:lineRule="auto"/>
        <w:jc w:val="both"/>
        <w:rPr>
          <w:rFonts w:ascii="Times New Roman" w:hAnsi="Times New Roman" w:cs="Times New Roman"/>
          <w:bCs/>
          <w:sz w:val="24"/>
          <w:szCs w:val="24"/>
        </w:rPr>
      </w:pPr>
      <w:r w:rsidRPr="00E0601D">
        <w:rPr>
          <w:rFonts w:ascii="Times New Roman" w:hAnsi="Times New Roman" w:cs="Times New Roman"/>
          <w:b/>
          <w:bCs/>
          <w:sz w:val="24"/>
          <w:szCs w:val="24"/>
        </w:rPr>
        <w:t>Mowday, Steers, and Porter (1979)</w:t>
      </w:r>
      <w:r>
        <w:rPr>
          <w:rFonts w:ascii="Times New Roman" w:hAnsi="Times New Roman" w:cs="Times New Roman"/>
          <w:bCs/>
          <w:sz w:val="24"/>
          <w:szCs w:val="24"/>
        </w:rPr>
        <w:t xml:space="preserve"> </w:t>
      </w:r>
      <w:r w:rsidRPr="00E0601D">
        <w:rPr>
          <w:rFonts w:ascii="Times New Roman" w:hAnsi="Times New Roman" w:cs="Times New Roman"/>
          <w:bCs/>
          <w:sz w:val="24"/>
          <w:szCs w:val="24"/>
        </w:rPr>
        <w:t>These researchers introduced the Organizational Commitment Questionnaire (OCQ), a tool used to measure employees’ attitudes toward their organization. Their definition of commitment includes a strong belief in organizational goals, a willingness to exert effort, and a desire to remain with the company. Their findings highlighted the importance of leadership and job satisfaction in shaping commitment levels. This study laid the groundwork for evaluating employee perceptions and emotional bonds with their workplace. It is particularly relevant to companies like Global Foods that rely on employee dedication for operational success. High scores on the OCQ often correlate with reduced absenteeism and better team performance.</w:t>
      </w:r>
    </w:p>
    <w:p w14:paraId="45E598DE" w14:textId="160D3DD7" w:rsidR="00E0601D" w:rsidRDefault="00E0601D" w:rsidP="00995851">
      <w:pPr>
        <w:spacing w:line="360" w:lineRule="auto"/>
        <w:jc w:val="both"/>
        <w:rPr>
          <w:rFonts w:ascii="Times New Roman" w:hAnsi="Times New Roman" w:cs="Times New Roman"/>
          <w:bCs/>
          <w:sz w:val="24"/>
          <w:szCs w:val="24"/>
        </w:rPr>
      </w:pPr>
      <w:r w:rsidRPr="00E0601D">
        <w:rPr>
          <w:rFonts w:ascii="Times New Roman" w:hAnsi="Times New Roman" w:cs="Times New Roman"/>
          <w:b/>
          <w:sz w:val="24"/>
          <w:szCs w:val="24"/>
        </w:rPr>
        <w:t>Becker</w:t>
      </w:r>
      <w:r w:rsidRPr="00E0601D">
        <w:rPr>
          <w:rFonts w:ascii="Times New Roman" w:hAnsi="Times New Roman" w:cs="Times New Roman"/>
          <w:bCs/>
          <w:sz w:val="24"/>
          <w:szCs w:val="24"/>
        </w:rPr>
        <w:t xml:space="preserve"> proposed the “side-bet theory,” suggesting that commitment arises from accumulated investments that an employee makes in an organization. These could be economic, social, or psychological. Leaving the organization would result in a loss of these “side-bets,” thus employees stay. His theory aligns closely with continuance commitment in the food industry, where employees may stay due to job security or limited external opportunities. For firms like Global Foods, understanding such investments can help in structuring retention strategies that value employee loyalty. This theory remains important for interpreting decisions of long-tenured employees in stable industries.</w:t>
      </w:r>
    </w:p>
    <w:p w14:paraId="159F5029" w14:textId="5A781335" w:rsidR="00E0601D" w:rsidRDefault="00E0601D" w:rsidP="00995851">
      <w:pPr>
        <w:spacing w:line="360" w:lineRule="auto"/>
        <w:jc w:val="both"/>
        <w:rPr>
          <w:rFonts w:ascii="Times New Roman" w:hAnsi="Times New Roman" w:cs="Times New Roman"/>
          <w:bCs/>
          <w:sz w:val="24"/>
          <w:szCs w:val="24"/>
        </w:rPr>
      </w:pPr>
      <w:r w:rsidRPr="00E0601D">
        <w:rPr>
          <w:rFonts w:ascii="Times New Roman" w:hAnsi="Times New Roman" w:cs="Times New Roman"/>
          <w:b/>
          <w:bCs/>
          <w:sz w:val="24"/>
          <w:szCs w:val="24"/>
        </w:rPr>
        <w:t>O’Reilly and Chatman (1986)</w:t>
      </w:r>
      <w:r>
        <w:rPr>
          <w:rFonts w:ascii="Times New Roman" w:hAnsi="Times New Roman" w:cs="Times New Roman"/>
          <w:bCs/>
          <w:sz w:val="24"/>
          <w:szCs w:val="24"/>
        </w:rPr>
        <w:t xml:space="preserve"> </w:t>
      </w:r>
      <w:r w:rsidRPr="00E0601D">
        <w:rPr>
          <w:rFonts w:ascii="Times New Roman" w:hAnsi="Times New Roman" w:cs="Times New Roman"/>
          <w:bCs/>
          <w:sz w:val="24"/>
          <w:szCs w:val="24"/>
        </w:rPr>
        <w:t xml:space="preserve">They examined commitment based on the psychological attachment of individuals to organizations. Unlike Becker, they emphasized internalization and identification as key drivers. Their study argues that employees stay not just for benefits but because they genuinely identify with the company’s values. In food companies that promote </w:t>
      </w:r>
      <w:r w:rsidRPr="00E0601D">
        <w:rPr>
          <w:rFonts w:ascii="Times New Roman" w:hAnsi="Times New Roman" w:cs="Times New Roman"/>
          <w:bCs/>
          <w:sz w:val="24"/>
          <w:szCs w:val="24"/>
        </w:rPr>
        <w:lastRenderedPageBreak/>
        <w:t>ethical sourcing, sustainability, or community outreach, such value alignment can greatly strengthen affective commitment. Global Foods, if emphasizing its mission and values, could benefit from fostering this kind of emotional connection. Their work supports the use of culture-driven HR policies to build deeper loyalty.</w:t>
      </w:r>
    </w:p>
    <w:p w14:paraId="646FA47B" w14:textId="211CC78F" w:rsidR="00E0601D" w:rsidRDefault="00E0601D" w:rsidP="00995851">
      <w:pPr>
        <w:spacing w:line="360" w:lineRule="auto"/>
        <w:jc w:val="both"/>
        <w:rPr>
          <w:rFonts w:ascii="Times New Roman" w:hAnsi="Times New Roman" w:cs="Times New Roman"/>
          <w:bCs/>
          <w:sz w:val="24"/>
          <w:szCs w:val="24"/>
        </w:rPr>
      </w:pPr>
      <w:r w:rsidRPr="00E0601D">
        <w:rPr>
          <w:rFonts w:ascii="Times New Roman" w:hAnsi="Times New Roman" w:cs="Times New Roman"/>
          <w:b/>
          <w:bCs/>
          <w:sz w:val="24"/>
          <w:szCs w:val="24"/>
        </w:rPr>
        <w:t>Lok and Crawford (2001)</w:t>
      </w:r>
      <w:r>
        <w:rPr>
          <w:rFonts w:ascii="Times New Roman" w:hAnsi="Times New Roman" w:cs="Times New Roman"/>
          <w:bCs/>
          <w:sz w:val="24"/>
          <w:szCs w:val="24"/>
        </w:rPr>
        <w:t xml:space="preserve"> </w:t>
      </w:r>
      <w:r w:rsidRPr="00E0601D">
        <w:rPr>
          <w:rFonts w:ascii="Times New Roman" w:hAnsi="Times New Roman" w:cs="Times New Roman"/>
          <w:bCs/>
          <w:sz w:val="24"/>
          <w:szCs w:val="24"/>
        </w:rPr>
        <w:t xml:space="preserve">This study examined the relationship between organizational culture, leadership style, and commitment. They found that supportive and transformational leadership had a strong positive impact on employee commitment. Organizational culture also played a major role in shaping how employees connect with their workplace. Their research is highly relevant in today’s workplace, where employee engagement depends not just on pay but also on the work atmosphere. For Global Foods, investing in leadership development and cultural alignment can significantly enhance overall commitment. The findings emphasize the role of management </w:t>
      </w:r>
      <w:proofErr w:type="spellStart"/>
      <w:r w:rsidRPr="00E0601D">
        <w:rPr>
          <w:rFonts w:ascii="Times New Roman" w:hAnsi="Times New Roman" w:cs="Times New Roman"/>
          <w:bCs/>
          <w:sz w:val="24"/>
          <w:szCs w:val="24"/>
        </w:rPr>
        <w:t>behavior</w:t>
      </w:r>
      <w:proofErr w:type="spellEnd"/>
      <w:r w:rsidRPr="00E0601D">
        <w:rPr>
          <w:rFonts w:ascii="Times New Roman" w:hAnsi="Times New Roman" w:cs="Times New Roman"/>
          <w:bCs/>
          <w:sz w:val="24"/>
          <w:szCs w:val="24"/>
        </w:rPr>
        <w:t xml:space="preserve"> in influencing workforce dedication.</w:t>
      </w:r>
    </w:p>
    <w:p w14:paraId="427B9A46" w14:textId="173D91DB" w:rsidR="00E0601D" w:rsidRDefault="00E0601D" w:rsidP="00995851">
      <w:pPr>
        <w:spacing w:line="360" w:lineRule="auto"/>
        <w:jc w:val="both"/>
        <w:rPr>
          <w:rFonts w:ascii="Times New Roman" w:hAnsi="Times New Roman" w:cs="Times New Roman"/>
          <w:bCs/>
          <w:sz w:val="24"/>
          <w:szCs w:val="24"/>
        </w:rPr>
      </w:pPr>
      <w:r w:rsidRPr="00E0601D">
        <w:rPr>
          <w:rFonts w:ascii="Times New Roman" w:hAnsi="Times New Roman" w:cs="Times New Roman"/>
          <w:b/>
          <w:sz w:val="24"/>
          <w:szCs w:val="24"/>
        </w:rPr>
        <w:t>Steers</w:t>
      </w:r>
      <w:r w:rsidRPr="00E0601D">
        <w:rPr>
          <w:rFonts w:ascii="Times New Roman" w:hAnsi="Times New Roman" w:cs="Times New Roman"/>
          <w:bCs/>
          <w:sz w:val="24"/>
          <w:szCs w:val="24"/>
        </w:rPr>
        <w:t xml:space="preserve"> focused on how personal and organizational factors influence commitment. He argued that job characteristics, employee needs, and organizational structure all contribute to commitment levels. His research highlighted the dynamic nature of commitment—it can change over time depending on organizational changes. This perspective is helpful for food manufacturing companies that experience high production cycles or workforce shifts. For Global Foods, monitoring and responding to changes in employee expectations can prevent disengagement. The study encourages regular feedback systems to track commitment levels.</w:t>
      </w:r>
    </w:p>
    <w:p w14:paraId="6728E52C" w14:textId="0BC6EF5E" w:rsidR="00E0601D" w:rsidRDefault="00E0601D" w:rsidP="00995851">
      <w:pPr>
        <w:spacing w:line="360" w:lineRule="auto"/>
        <w:jc w:val="both"/>
        <w:rPr>
          <w:rFonts w:ascii="Times New Roman" w:hAnsi="Times New Roman" w:cs="Times New Roman"/>
          <w:bCs/>
          <w:sz w:val="24"/>
          <w:szCs w:val="24"/>
        </w:rPr>
      </w:pPr>
      <w:r w:rsidRPr="00E0601D">
        <w:rPr>
          <w:rFonts w:ascii="Times New Roman" w:hAnsi="Times New Roman" w:cs="Times New Roman"/>
          <w:b/>
          <w:bCs/>
          <w:sz w:val="24"/>
          <w:szCs w:val="24"/>
        </w:rPr>
        <w:t>Allen and Meyer (1996)</w:t>
      </w:r>
      <w:r>
        <w:rPr>
          <w:rFonts w:ascii="Times New Roman" w:hAnsi="Times New Roman" w:cs="Times New Roman"/>
          <w:bCs/>
          <w:sz w:val="24"/>
          <w:szCs w:val="24"/>
        </w:rPr>
        <w:t xml:space="preserve"> </w:t>
      </w:r>
      <w:r w:rsidRPr="00E0601D">
        <w:rPr>
          <w:rFonts w:ascii="Times New Roman" w:hAnsi="Times New Roman" w:cs="Times New Roman"/>
          <w:bCs/>
          <w:sz w:val="24"/>
          <w:szCs w:val="24"/>
        </w:rPr>
        <w:t xml:space="preserve">This follow-up to their earlier work expanded on the application of the three-component model in different sectors. They noted that affective commitment is usually the strongest predictor of performance and positive workplace </w:t>
      </w:r>
      <w:proofErr w:type="spellStart"/>
      <w:r w:rsidRPr="00E0601D">
        <w:rPr>
          <w:rFonts w:ascii="Times New Roman" w:hAnsi="Times New Roman" w:cs="Times New Roman"/>
          <w:bCs/>
          <w:sz w:val="24"/>
          <w:szCs w:val="24"/>
        </w:rPr>
        <w:t>behavior</w:t>
      </w:r>
      <w:proofErr w:type="spellEnd"/>
      <w:r w:rsidRPr="00E0601D">
        <w:rPr>
          <w:rFonts w:ascii="Times New Roman" w:hAnsi="Times New Roman" w:cs="Times New Roman"/>
          <w:bCs/>
          <w:sz w:val="24"/>
          <w:szCs w:val="24"/>
        </w:rPr>
        <w:t>. In contrast, continuance commitment alone may keep employees physically present but disengaged. This insight is particularly useful for HR managers at Global Foods, who need to ensure both retention and enthusiasm among employees. Their research promotes a balanced strategy—one that builds emotional bonds while providing financial stability and ethical guidance.</w:t>
      </w:r>
    </w:p>
    <w:p w14:paraId="2AC24D88" w14:textId="3042B068" w:rsidR="00E0601D" w:rsidRPr="00995851" w:rsidRDefault="00E0601D" w:rsidP="00995851">
      <w:pPr>
        <w:spacing w:line="360" w:lineRule="auto"/>
        <w:jc w:val="both"/>
        <w:rPr>
          <w:rFonts w:ascii="Times New Roman" w:hAnsi="Times New Roman" w:cs="Times New Roman"/>
          <w:bCs/>
          <w:sz w:val="24"/>
          <w:szCs w:val="24"/>
          <w:lang w:val="en-US"/>
        </w:rPr>
      </w:pPr>
      <w:r w:rsidRPr="00E0601D">
        <w:rPr>
          <w:rFonts w:ascii="Times New Roman" w:hAnsi="Times New Roman" w:cs="Times New Roman"/>
          <w:b/>
          <w:sz w:val="24"/>
          <w:szCs w:val="24"/>
        </w:rPr>
        <w:t>Cohen</w:t>
      </w:r>
      <w:r w:rsidRPr="00E0601D">
        <w:rPr>
          <w:rFonts w:ascii="Times New Roman" w:hAnsi="Times New Roman" w:cs="Times New Roman"/>
          <w:bCs/>
          <w:sz w:val="24"/>
          <w:szCs w:val="24"/>
        </w:rPr>
        <w:t xml:space="preserve"> provided an integrated approach to organizational commitment by studying its effects across various career stages. He found that early-career employees value career development, while mid- to late-career employees focus more on job security and recognition. This age-based variation in commitment drivers can help Global Foods tailor engagement efforts for different employee segments. His work stresses the need for personalized HR interventions rather than a one-size-fits-all approach. It supports career path planning and targeted motivation strategies.</w:t>
      </w:r>
    </w:p>
    <w:p w14:paraId="28C7C8B3" w14:textId="77777777" w:rsidR="00E0601D" w:rsidRPr="0078607C" w:rsidRDefault="00E0601D" w:rsidP="00E0601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136B39BF" w14:textId="77777777" w:rsidR="00E0601D" w:rsidRPr="0078607C" w:rsidRDefault="00E0601D" w:rsidP="00E0601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6D1B17B1" w14:textId="24D9B970" w:rsidR="00995851" w:rsidRDefault="00E0601D" w:rsidP="00E0601D">
      <w:pPr>
        <w:spacing w:line="360" w:lineRule="auto"/>
        <w:jc w:val="both"/>
        <w:rPr>
          <w:rFonts w:ascii="Times New Roman" w:hAnsi="Times New Roman" w:cs="Times New Roman"/>
          <w:sz w:val="24"/>
          <w:szCs w:val="24"/>
        </w:rPr>
      </w:pPr>
      <w:r w:rsidRPr="00E0601D">
        <w:rPr>
          <w:rFonts w:ascii="Times New Roman" w:hAnsi="Times New Roman" w:cs="Times New Roman"/>
          <w:sz w:val="24"/>
          <w:szCs w:val="24"/>
        </w:rPr>
        <w:t>This chapter outlines the research design, methods, and procedures adopted to investigate organizational commitment among employees at Global Foods. It describes the approach to data collection, sampling techniques, research tools, and data analysis methods used in the study.</w:t>
      </w:r>
    </w:p>
    <w:p w14:paraId="5D254CB6" w14:textId="77777777" w:rsidR="00E0601D" w:rsidRPr="00E0601D" w:rsidRDefault="00E0601D" w:rsidP="00E0601D">
      <w:pPr>
        <w:spacing w:line="360" w:lineRule="auto"/>
        <w:jc w:val="both"/>
        <w:rPr>
          <w:rFonts w:ascii="Times New Roman" w:hAnsi="Times New Roman" w:cs="Times New Roman"/>
          <w:b/>
          <w:bCs/>
          <w:sz w:val="24"/>
          <w:szCs w:val="24"/>
        </w:rPr>
      </w:pPr>
      <w:r w:rsidRPr="00E0601D">
        <w:rPr>
          <w:rFonts w:ascii="Times New Roman" w:hAnsi="Times New Roman" w:cs="Times New Roman"/>
          <w:b/>
          <w:bCs/>
          <w:sz w:val="24"/>
          <w:szCs w:val="24"/>
        </w:rPr>
        <w:t>Research Design</w:t>
      </w:r>
    </w:p>
    <w:p w14:paraId="7AFCCE76" w14:textId="77777777" w:rsidR="00E0601D" w:rsidRPr="00E0601D" w:rsidRDefault="00E0601D" w:rsidP="00E0601D">
      <w:pPr>
        <w:spacing w:line="360" w:lineRule="auto"/>
        <w:jc w:val="both"/>
        <w:rPr>
          <w:rFonts w:ascii="Times New Roman" w:hAnsi="Times New Roman" w:cs="Times New Roman"/>
          <w:sz w:val="24"/>
          <w:szCs w:val="24"/>
        </w:rPr>
      </w:pPr>
      <w:r w:rsidRPr="00E0601D">
        <w:rPr>
          <w:rFonts w:ascii="Times New Roman" w:hAnsi="Times New Roman" w:cs="Times New Roman"/>
          <w:sz w:val="24"/>
          <w:szCs w:val="24"/>
        </w:rPr>
        <w:t xml:space="preserve">The study employs a descriptive research design aimed at understanding the current levels of organizational commitment and the factors influencing it among Global Foods employees. This approach allows for collecting detailed information and </w:t>
      </w:r>
      <w:proofErr w:type="spellStart"/>
      <w:r w:rsidRPr="00E0601D">
        <w:rPr>
          <w:rFonts w:ascii="Times New Roman" w:hAnsi="Times New Roman" w:cs="Times New Roman"/>
          <w:sz w:val="24"/>
          <w:szCs w:val="24"/>
        </w:rPr>
        <w:t>analyzing</w:t>
      </w:r>
      <w:proofErr w:type="spellEnd"/>
      <w:r w:rsidRPr="00E0601D">
        <w:rPr>
          <w:rFonts w:ascii="Times New Roman" w:hAnsi="Times New Roman" w:cs="Times New Roman"/>
          <w:sz w:val="24"/>
          <w:szCs w:val="24"/>
        </w:rPr>
        <w:t xml:space="preserve"> relationships between variables such as job satisfaction, leadership, and employee loyalty.</w:t>
      </w:r>
    </w:p>
    <w:p w14:paraId="4F8977BB" w14:textId="77777777" w:rsidR="00E0601D" w:rsidRPr="00E0601D" w:rsidRDefault="00E0601D" w:rsidP="00E0601D">
      <w:pPr>
        <w:spacing w:line="360" w:lineRule="auto"/>
        <w:jc w:val="both"/>
        <w:rPr>
          <w:rFonts w:ascii="Times New Roman" w:hAnsi="Times New Roman" w:cs="Times New Roman"/>
          <w:b/>
          <w:bCs/>
          <w:sz w:val="24"/>
          <w:szCs w:val="24"/>
        </w:rPr>
      </w:pPr>
      <w:r w:rsidRPr="00E0601D">
        <w:rPr>
          <w:rFonts w:ascii="Times New Roman" w:hAnsi="Times New Roman" w:cs="Times New Roman"/>
          <w:b/>
          <w:bCs/>
          <w:sz w:val="24"/>
          <w:szCs w:val="24"/>
        </w:rPr>
        <w:t>Population and Sample</w:t>
      </w:r>
    </w:p>
    <w:p w14:paraId="67C32C4E" w14:textId="77777777" w:rsidR="00E0601D" w:rsidRPr="00E0601D" w:rsidRDefault="00E0601D" w:rsidP="00E0601D">
      <w:pPr>
        <w:spacing w:line="360" w:lineRule="auto"/>
        <w:jc w:val="both"/>
        <w:rPr>
          <w:rFonts w:ascii="Times New Roman" w:hAnsi="Times New Roman" w:cs="Times New Roman"/>
          <w:sz w:val="24"/>
          <w:szCs w:val="24"/>
        </w:rPr>
      </w:pPr>
      <w:r w:rsidRPr="00E0601D">
        <w:rPr>
          <w:rFonts w:ascii="Times New Roman" w:hAnsi="Times New Roman" w:cs="Times New Roman"/>
          <w:sz w:val="24"/>
          <w:szCs w:val="24"/>
        </w:rPr>
        <w:t>The population consists of all full-time employees working at Global Foods across various departments, including production, quality control, logistics, and administration. A representative sample of 100 employees was selected using stratified random sampling to ensure proportional representation of different job roles and experience levels.</w:t>
      </w:r>
    </w:p>
    <w:p w14:paraId="45879157" w14:textId="77777777" w:rsidR="00E0601D" w:rsidRPr="00E0601D" w:rsidRDefault="00E0601D" w:rsidP="00E0601D">
      <w:pPr>
        <w:spacing w:line="360" w:lineRule="auto"/>
        <w:jc w:val="both"/>
        <w:rPr>
          <w:rFonts w:ascii="Times New Roman" w:hAnsi="Times New Roman" w:cs="Times New Roman"/>
          <w:b/>
          <w:bCs/>
          <w:sz w:val="24"/>
          <w:szCs w:val="24"/>
        </w:rPr>
      </w:pPr>
      <w:r w:rsidRPr="00E0601D">
        <w:rPr>
          <w:rFonts w:ascii="Times New Roman" w:hAnsi="Times New Roman" w:cs="Times New Roman"/>
          <w:b/>
          <w:bCs/>
          <w:sz w:val="24"/>
          <w:szCs w:val="24"/>
        </w:rPr>
        <w:t>Data Collection Methods</w:t>
      </w:r>
    </w:p>
    <w:p w14:paraId="7CDF8ABF" w14:textId="77777777" w:rsidR="00E0601D" w:rsidRPr="00E0601D" w:rsidRDefault="00E0601D" w:rsidP="00E0601D">
      <w:pPr>
        <w:spacing w:line="360" w:lineRule="auto"/>
        <w:jc w:val="both"/>
        <w:rPr>
          <w:rFonts w:ascii="Times New Roman" w:hAnsi="Times New Roman" w:cs="Times New Roman"/>
          <w:sz w:val="24"/>
          <w:szCs w:val="24"/>
        </w:rPr>
      </w:pPr>
      <w:r w:rsidRPr="00E0601D">
        <w:rPr>
          <w:rFonts w:ascii="Times New Roman" w:hAnsi="Times New Roman" w:cs="Times New Roman"/>
          <w:sz w:val="24"/>
          <w:szCs w:val="24"/>
        </w:rPr>
        <w:t>Primary data was gathered using structured questionnaires distributed to the selected employees. The questionnaire included both closed-ended and Likert scale questions focused on measuring different dimensions of organizational commitment and related factors. Secondary data was collected from company records, previous reports, and relevant literature to support the analysis.</w:t>
      </w:r>
    </w:p>
    <w:p w14:paraId="26DAC0EB" w14:textId="77777777" w:rsidR="00E0601D" w:rsidRPr="00E0601D" w:rsidRDefault="00E0601D" w:rsidP="00E0601D">
      <w:pPr>
        <w:spacing w:line="360" w:lineRule="auto"/>
        <w:jc w:val="both"/>
        <w:rPr>
          <w:rFonts w:ascii="Times New Roman" w:hAnsi="Times New Roman" w:cs="Times New Roman"/>
          <w:b/>
          <w:bCs/>
          <w:sz w:val="24"/>
          <w:szCs w:val="24"/>
        </w:rPr>
      </w:pPr>
      <w:r w:rsidRPr="00E0601D">
        <w:rPr>
          <w:rFonts w:ascii="Times New Roman" w:hAnsi="Times New Roman" w:cs="Times New Roman"/>
          <w:b/>
          <w:bCs/>
          <w:sz w:val="24"/>
          <w:szCs w:val="24"/>
        </w:rPr>
        <w:t>Research Instruments</w:t>
      </w:r>
    </w:p>
    <w:p w14:paraId="3127B0D8" w14:textId="77777777" w:rsidR="00E0601D" w:rsidRPr="00E0601D" w:rsidRDefault="00E0601D" w:rsidP="00E0601D">
      <w:pPr>
        <w:spacing w:line="360" w:lineRule="auto"/>
        <w:jc w:val="both"/>
        <w:rPr>
          <w:rFonts w:ascii="Times New Roman" w:hAnsi="Times New Roman" w:cs="Times New Roman"/>
          <w:sz w:val="24"/>
          <w:szCs w:val="24"/>
        </w:rPr>
      </w:pPr>
      <w:r w:rsidRPr="00E0601D">
        <w:rPr>
          <w:rFonts w:ascii="Times New Roman" w:hAnsi="Times New Roman" w:cs="Times New Roman"/>
          <w:sz w:val="24"/>
          <w:szCs w:val="24"/>
        </w:rPr>
        <w:t>The questionnaire was developed based on established scales like the Organizational Commitment Questionnaire (OCQ) and included sections on affective, continuance, and normative commitment. Additional items addressed demographic details and perceptions about workplace environment and management.</w:t>
      </w:r>
    </w:p>
    <w:p w14:paraId="5AB80E28" w14:textId="77777777" w:rsidR="00E0601D" w:rsidRPr="00E0601D" w:rsidRDefault="00E0601D" w:rsidP="00E0601D">
      <w:pPr>
        <w:spacing w:line="360" w:lineRule="auto"/>
        <w:jc w:val="both"/>
        <w:rPr>
          <w:rFonts w:ascii="Times New Roman" w:hAnsi="Times New Roman" w:cs="Times New Roman"/>
          <w:b/>
          <w:bCs/>
          <w:sz w:val="24"/>
          <w:szCs w:val="24"/>
        </w:rPr>
      </w:pPr>
      <w:r w:rsidRPr="00E0601D">
        <w:rPr>
          <w:rFonts w:ascii="Times New Roman" w:hAnsi="Times New Roman" w:cs="Times New Roman"/>
          <w:b/>
          <w:bCs/>
          <w:sz w:val="24"/>
          <w:szCs w:val="24"/>
        </w:rPr>
        <w:t>Data Analysis</w:t>
      </w:r>
    </w:p>
    <w:p w14:paraId="6203FD81" w14:textId="77777777" w:rsidR="00E0601D" w:rsidRPr="00E0601D" w:rsidRDefault="00E0601D" w:rsidP="00E0601D">
      <w:pPr>
        <w:spacing w:line="360" w:lineRule="auto"/>
        <w:jc w:val="both"/>
        <w:rPr>
          <w:rFonts w:ascii="Times New Roman" w:hAnsi="Times New Roman" w:cs="Times New Roman"/>
          <w:sz w:val="24"/>
          <w:szCs w:val="24"/>
        </w:rPr>
      </w:pPr>
      <w:r w:rsidRPr="00E0601D">
        <w:rPr>
          <w:rFonts w:ascii="Times New Roman" w:hAnsi="Times New Roman" w:cs="Times New Roman"/>
          <w:sz w:val="24"/>
          <w:szCs w:val="24"/>
        </w:rPr>
        <w:lastRenderedPageBreak/>
        <w:t xml:space="preserve">Data collected from the questionnaires was coded and </w:t>
      </w:r>
      <w:proofErr w:type="spellStart"/>
      <w:r w:rsidRPr="00E0601D">
        <w:rPr>
          <w:rFonts w:ascii="Times New Roman" w:hAnsi="Times New Roman" w:cs="Times New Roman"/>
          <w:sz w:val="24"/>
          <w:szCs w:val="24"/>
        </w:rPr>
        <w:t>analyzed</w:t>
      </w:r>
      <w:proofErr w:type="spellEnd"/>
      <w:r w:rsidRPr="00E0601D">
        <w:rPr>
          <w:rFonts w:ascii="Times New Roman" w:hAnsi="Times New Roman" w:cs="Times New Roman"/>
          <w:sz w:val="24"/>
          <w:szCs w:val="24"/>
        </w:rPr>
        <w:t xml:space="preserve"> using statistical tools such as SPSS. Descriptive statistics, including frequency distribution, mean, and percentage analysis, were used to summarize the data. Inferential statistics like correlation and regression analysis were employed to explore relationships between variables.</w:t>
      </w:r>
    </w:p>
    <w:p w14:paraId="4E212A0F" w14:textId="77777777" w:rsidR="00E0601D" w:rsidRPr="00E0601D" w:rsidRDefault="00E0601D" w:rsidP="00E0601D">
      <w:pPr>
        <w:spacing w:line="360" w:lineRule="auto"/>
        <w:jc w:val="both"/>
        <w:rPr>
          <w:rFonts w:ascii="Times New Roman" w:hAnsi="Times New Roman" w:cs="Times New Roman"/>
          <w:b/>
          <w:bCs/>
          <w:sz w:val="24"/>
          <w:szCs w:val="24"/>
        </w:rPr>
      </w:pPr>
      <w:r w:rsidRPr="00E0601D">
        <w:rPr>
          <w:rFonts w:ascii="Times New Roman" w:hAnsi="Times New Roman" w:cs="Times New Roman"/>
          <w:b/>
          <w:bCs/>
          <w:sz w:val="24"/>
          <w:szCs w:val="24"/>
        </w:rPr>
        <w:t>Limitations of Methodology</w:t>
      </w:r>
    </w:p>
    <w:p w14:paraId="69576660" w14:textId="77777777" w:rsidR="00E0601D" w:rsidRPr="00E0601D" w:rsidRDefault="00E0601D" w:rsidP="00E0601D">
      <w:pPr>
        <w:spacing w:line="360" w:lineRule="auto"/>
        <w:jc w:val="both"/>
        <w:rPr>
          <w:rFonts w:ascii="Times New Roman" w:hAnsi="Times New Roman" w:cs="Times New Roman"/>
          <w:sz w:val="24"/>
          <w:szCs w:val="24"/>
        </w:rPr>
      </w:pPr>
      <w:r w:rsidRPr="00E0601D">
        <w:rPr>
          <w:rFonts w:ascii="Times New Roman" w:hAnsi="Times New Roman" w:cs="Times New Roman"/>
          <w:sz w:val="24"/>
          <w:szCs w:val="24"/>
        </w:rPr>
        <w:t>The research relies on self-reported data, which may be subject to response bias. Time and resource constraints limited the sample size and scope. However, efforts were made to ensure reliability and validity through pilot testing of the questionnaire and random sampling.</w:t>
      </w:r>
    </w:p>
    <w:p w14:paraId="58FF646A" w14:textId="77777777" w:rsidR="00E0601D" w:rsidRPr="00E0601D" w:rsidRDefault="00E0601D" w:rsidP="00E0601D">
      <w:pPr>
        <w:spacing w:line="360" w:lineRule="auto"/>
        <w:jc w:val="both"/>
        <w:rPr>
          <w:rFonts w:ascii="Times New Roman" w:hAnsi="Times New Roman" w:cs="Times New Roman"/>
          <w:b/>
          <w:bCs/>
          <w:sz w:val="24"/>
          <w:szCs w:val="24"/>
        </w:rPr>
      </w:pPr>
      <w:r w:rsidRPr="00E0601D">
        <w:rPr>
          <w:rFonts w:ascii="Times New Roman" w:hAnsi="Times New Roman" w:cs="Times New Roman"/>
          <w:b/>
          <w:bCs/>
          <w:sz w:val="24"/>
          <w:szCs w:val="24"/>
        </w:rPr>
        <w:t>Ethical Considerations</w:t>
      </w:r>
    </w:p>
    <w:p w14:paraId="58BC13CB" w14:textId="77777777" w:rsidR="00E0601D" w:rsidRPr="00E0601D" w:rsidRDefault="00E0601D" w:rsidP="00E0601D">
      <w:pPr>
        <w:spacing w:line="360" w:lineRule="auto"/>
        <w:jc w:val="both"/>
        <w:rPr>
          <w:rFonts w:ascii="Times New Roman" w:hAnsi="Times New Roman" w:cs="Times New Roman"/>
          <w:sz w:val="24"/>
          <w:szCs w:val="24"/>
        </w:rPr>
      </w:pPr>
      <w:r w:rsidRPr="00E0601D">
        <w:rPr>
          <w:rFonts w:ascii="Times New Roman" w:hAnsi="Times New Roman" w:cs="Times New Roman"/>
          <w:sz w:val="24"/>
          <w:szCs w:val="24"/>
        </w:rPr>
        <w:t>Confidentiality of respondents was maintained, and participation was voluntary. Data was used solely for academic purposes, and findings were presented anonymously to protect individual identities.</w:t>
      </w:r>
    </w:p>
    <w:p w14:paraId="3BDEC413" w14:textId="77777777" w:rsidR="00E0601D" w:rsidRDefault="00E0601D" w:rsidP="00E0601D">
      <w:pPr>
        <w:spacing w:line="360" w:lineRule="auto"/>
        <w:jc w:val="both"/>
        <w:rPr>
          <w:rFonts w:ascii="Times New Roman" w:hAnsi="Times New Roman" w:cs="Times New Roman"/>
          <w:sz w:val="24"/>
          <w:szCs w:val="24"/>
        </w:rPr>
      </w:pPr>
    </w:p>
    <w:p w14:paraId="37CF5679" w14:textId="77777777" w:rsidR="00E0601D" w:rsidRDefault="00E0601D" w:rsidP="00E0601D">
      <w:pPr>
        <w:spacing w:line="360" w:lineRule="auto"/>
        <w:jc w:val="both"/>
        <w:rPr>
          <w:rFonts w:ascii="Times New Roman" w:hAnsi="Times New Roman" w:cs="Times New Roman"/>
          <w:sz w:val="24"/>
          <w:szCs w:val="24"/>
        </w:rPr>
      </w:pPr>
    </w:p>
    <w:p w14:paraId="1C6D1EFE" w14:textId="77777777" w:rsidR="00E0601D" w:rsidRDefault="00E0601D" w:rsidP="00E0601D">
      <w:pPr>
        <w:spacing w:line="360" w:lineRule="auto"/>
        <w:jc w:val="both"/>
        <w:rPr>
          <w:rFonts w:ascii="Times New Roman" w:hAnsi="Times New Roman" w:cs="Times New Roman"/>
          <w:sz w:val="24"/>
          <w:szCs w:val="24"/>
        </w:rPr>
      </w:pPr>
    </w:p>
    <w:p w14:paraId="4933B2DA" w14:textId="77777777" w:rsidR="00E0601D" w:rsidRDefault="00E0601D" w:rsidP="00E0601D">
      <w:pPr>
        <w:spacing w:line="360" w:lineRule="auto"/>
        <w:jc w:val="both"/>
        <w:rPr>
          <w:rFonts w:ascii="Times New Roman" w:hAnsi="Times New Roman" w:cs="Times New Roman"/>
          <w:sz w:val="24"/>
          <w:szCs w:val="24"/>
        </w:rPr>
      </w:pPr>
    </w:p>
    <w:p w14:paraId="2E8FBB5B" w14:textId="77777777" w:rsidR="00E0601D" w:rsidRDefault="00E0601D" w:rsidP="00E0601D">
      <w:pPr>
        <w:spacing w:line="360" w:lineRule="auto"/>
        <w:jc w:val="both"/>
        <w:rPr>
          <w:rFonts w:ascii="Times New Roman" w:hAnsi="Times New Roman" w:cs="Times New Roman"/>
          <w:sz w:val="24"/>
          <w:szCs w:val="24"/>
        </w:rPr>
      </w:pPr>
    </w:p>
    <w:p w14:paraId="123372D6" w14:textId="77777777" w:rsidR="00E0601D" w:rsidRDefault="00E0601D" w:rsidP="00E0601D">
      <w:pPr>
        <w:spacing w:line="360" w:lineRule="auto"/>
        <w:jc w:val="both"/>
        <w:rPr>
          <w:rFonts w:ascii="Times New Roman" w:hAnsi="Times New Roman" w:cs="Times New Roman"/>
          <w:sz w:val="24"/>
          <w:szCs w:val="24"/>
        </w:rPr>
      </w:pPr>
    </w:p>
    <w:p w14:paraId="71FA5676" w14:textId="77777777" w:rsidR="00E0601D" w:rsidRDefault="00E0601D" w:rsidP="00E0601D">
      <w:pPr>
        <w:spacing w:line="360" w:lineRule="auto"/>
        <w:jc w:val="both"/>
        <w:rPr>
          <w:rFonts w:ascii="Times New Roman" w:hAnsi="Times New Roman" w:cs="Times New Roman"/>
          <w:sz w:val="24"/>
          <w:szCs w:val="24"/>
        </w:rPr>
      </w:pPr>
    </w:p>
    <w:p w14:paraId="7D2652AD" w14:textId="77777777" w:rsidR="00E0601D" w:rsidRDefault="00E0601D" w:rsidP="00E0601D">
      <w:pPr>
        <w:spacing w:line="360" w:lineRule="auto"/>
        <w:jc w:val="both"/>
        <w:rPr>
          <w:rFonts w:ascii="Times New Roman" w:hAnsi="Times New Roman" w:cs="Times New Roman"/>
          <w:sz w:val="24"/>
          <w:szCs w:val="24"/>
        </w:rPr>
      </w:pPr>
    </w:p>
    <w:p w14:paraId="7D150777" w14:textId="77777777" w:rsidR="00E0601D" w:rsidRDefault="00E0601D" w:rsidP="00E0601D">
      <w:pPr>
        <w:spacing w:line="360" w:lineRule="auto"/>
        <w:jc w:val="both"/>
        <w:rPr>
          <w:rFonts w:ascii="Times New Roman" w:hAnsi="Times New Roman" w:cs="Times New Roman"/>
          <w:sz w:val="24"/>
          <w:szCs w:val="24"/>
        </w:rPr>
      </w:pPr>
    </w:p>
    <w:p w14:paraId="7E45EC83" w14:textId="77777777" w:rsidR="00E0601D" w:rsidRDefault="00E0601D" w:rsidP="00E0601D">
      <w:pPr>
        <w:spacing w:line="360" w:lineRule="auto"/>
        <w:jc w:val="both"/>
        <w:rPr>
          <w:rFonts w:ascii="Times New Roman" w:hAnsi="Times New Roman" w:cs="Times New Roman"/>
          <w:sz w:val="24"/>
          <w:szCs w:val="24"/>
        </w:rPr>
      </w:pPr>
    </w:p>
    <w:p w14:paraId="262225AA" w14:textId="77777777" w:rsidR="00E0601D" w:rsidRDefault="00E0601D" w:rsidP="00E0601D">
      <w:pPr>
        <w:spacing w:line="360" w:lineRule="auto"/>
        <w:jc w:val="both"/>
        <w:rPr>
          <w:rFonts w:ascii="Times New Roman" w:hAnsi="Times New Roman" w:cs="Times New Roman"/>
          <w:sz w:val="24"/>
          <w:szCs w:val="24"/>
        </w:rPr>
      </w:pPr>
    </w:p>
    <w:p w14:paraId="6734ADC3" w14:textId="77777777" w:rsidR="00E0601D" w:rsidRDefault="00E0601D" w:rsidP="00E0601D">
      <w:pPr>
        <w:spacing w:line="360" w:lineRule="auto"/>
        <w:jc w:val="both"/>
        <w:rPr>
          <w:rFonts w:ascii="Times New Roman" w:hAnsi="Times New Roman" w:cs="Times New Roman"/>
          <w:sz w:val="24"/>
          <w:szCs w:val="24"/>
        </w:rPr>
      </w:pPr>
    </w:p>
    <w:p w14:paraId="3CFE6106" w14:textId="77777777" w:rsidR="00E0601D" w:rsidRDefault="00E0601D" w:rsidP="00E0601D">
      <w:pPr>
        <w:spacing w:line="360" w:lineRule="auto"/>
        <w:jc w:val="both"/>
        <w:rPr>
          <w:rFonts w:ascii="Times New Roman" w:hAnsi="Times New Roman" w:cs="Times New Roman"/>
          <w:sz w:val="24"/>
          <w:szCs w:val="24"/>
        </w:rPr>
      </w:pPr>
    </w:p>
    <w:p w14:paraId="06BE9EB4" w14:textId="77777777" w:rsidR="00E0601D" w:rsidRDefault="00E0601D" w:rsidP="00E0601D">
      <w:pPr>
        <w:spacing w:line="360" w:lineRule="auto"/>
        <w:jc w:val="both"/>
        <w:rPr>
          <w:rFonts w:ascii="Times New Roman" w:hAnsi="Times New Roman" w:cs="Times New Roman"/>
          <w:sz w:val="24"/>
          <w:szCs w:val="24"/>
        </w:rPr>
      </w:pPr>
    </w:p>
    <w:p w14:paraId="3D805759" w14:textId="77777777" w:rsidR="00E0601D" w:rsidRPr="0078607C" w:rsidRDefault="00E0601D" w:rsidP="00E0601D">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7FA3C52C" w14:textId="77777777" w:rsidR="00E0601D" w:rsidRDefault="00E0601D" w:rsidP="00E0601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8D03301" w14:textId="77777777" w:rsidR="00E0601D" w:rsidRPr="004D7E4B" w:rsidRDefault="00E0601D" w:rsidP="00E0601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E0601D" w:rsidRPr="004D7E4B" w14:paraId="03E62C58" w14:textId="77777777" w:rsidTr="008C213B">
        <w:trPr>
          <w:trHeight w:val="506"/>
        </w:trPr>
        <w:tc>
          <w:tcPr>
            <w:tcW w:w="3077" w:type="dxa"/>
            <w:tcBorders>
              <w:top w:val="single" w:sz="4" w:space="0" w:color="auto"/>
              <w:left w:val="single" w:sz="4" w:space="0" w:color="auto"/>
              <w:bottom w:val="single" w:sz="4" w:space="0" w:color="auto"/>
              <w:right w:val="single" w:sz="4" w:space="0" w:color="auto"/>
            </w:tcBorders>
            <w:hideMark/>
          </w:tcPr>
          <w:p w14:paraId="7737245A" w14:textId="77777777" w:rsidR="00E0601D" w:rsidRPr="004D7E4B" w:rsidRDefault="00E0601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197A7900" w14:textId="77777777" w:rsidR="00E0601D" w:rsidRPr="004D7E4B" w:rsidRDefault="00E0601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A80A27C" w14:textId="77777777" w:rsidR="00E0601D" w:rsidRPr="004D7E4B" w:rsidRDefault="00E0601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E0601D" w:rsidRPr="004D7E4B" w14:paraId="6F289D6F" w14:textId="77777777" w:rsidTr="008C213B">
        <w:trPr>
          <w:trHeight w:val="506"/>
        </w:trPr>
        <w:tc>
          <w:tcPr>
            <w:tcW w:w="3077" w:type="dxa"/>
            <w:tcBorders>
              <w:top w:val="single" w:sz="4" w:space="0" w:color="auto"/>
              <w:left w:val="single" w:sz="4" w:space="0" w:color="auto"/>
              <w:bottom w:val="single" w:sz="4" w:space="0" w:color="auto"/>
              <w:right w:val="single" w:sz="4" w:space="0" w:color="auto"/>
            </w:tcBorders>
            <w:hideMark/>
          </w:tcPr>
          <w:p w14:paraId="303FCF69" w14:textId="50DA801F" w:rsidR="00E0601D" w:rsidRPr="004D7E4B" w:rsidRDefault="00E0601D" w:rsidP="008C213B">
            <w:pPr>
              <w:spacing w:line="360" w:lineRule="auto"/>
              <w:jc w:val="center"/>
              <w:rPr>
                <w:rFonts w:ascii="Times New Roman" w:hAnsi="Times New Roman" w:cs="Times New Roman"/>
                <w:b/>
                <w:sz w:val="24"/>
                <w:szCs w:val="24"/>
                <w:lang w:val="en-US"/>
              </w:rPr>
            </w:pPr>
            <w:r w:rsidRPr="00E0601D">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1B04C5C4" w14:textId="3045001C" w:rsidR="00E0601D" w:rsidRPr="004D7E4B" w:rsidRDefault="00E0601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14</w:t>
            </w:r>
          </w:p>
        </w:tc>
        <w:tc>
          <w:tcPr>
            <w:tcW w:w="3185" w:type="dxa"/>
            <w:tcBorders>
              <w:top w:val="single" w:sz="4" w:space="0" w:color="auto"/>
              <w:left w:val="single" w:sz="4" w:space="0" w:color="auto"/>
              <w:bottom w:val="single" w:sz="4" w:space="0" w:color="auto"/>
              <w:right w:val="single" w:sz="4" w:space="0" w:color="auto"/>
            </w:tcBorders>
            <w:hideMark/>
          </w:tcPr>
          <w:p w14:paraId="2123A2C8" w14:textId="555D7F45" w:rsidR="00E0601D" w:rsidRPr="004D7E4B" w:rsidRDefault="00E0601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14</w:t>
            </w:r>
            <w:r w:rsidRPr="004D7E4B">
              <w:rPr>
                <w:rFonts w:ascii="Times New Roman" w:hAnsi="Times New Roman" w:cs="Times New Roman"/>
                <w:b/>
                <w:sz w:val="24"/>
                <w:szCs w:val="24"/>
                <w:lang w:val="en-US"/>
              </w:rPr>
              <w:t>%</w:t>
            </w:r>
          </w:p>
        </w:tc>
      </w:tr>
      <w:tr w:rsidR="00E0601D" w:rsidRPr="004D7E4B" w14:paraId="2F4D8C1B" w14:textId="77777777" w:rsidTr="008C213B">
        <w:trPr>
          <w:trHeight w:val="506"/>
        </w:trPr>
        <w:tc>
          <w:tcPr>
            <w:tcW w:w="3077" w:type="dxa"/>
            <w:tcBorders>
              <w:top w:val="single" w:sz="4" w:space="0" w:color="auto"/>
              <w:left w:val="single" w:sz="4" w:space="0" w:color="auto"/>
              <w:bottom w:val="single" w:sz="4" w:space="0" w:color="auto"/>
              <w:right w:val="single" w:sz="4" w:space="0" w:color="auto"/>
            </w:tcBorders>
            <w:hideMark/>
          </w:tcPr>
          <w:p w14:paraId="042C8FCF" w14:textId="61AB459A" w:rsidR="00E0601D" w:rsidRPr="004D7E4B" w:rsidRDefault="00E0601D" w:rsidP="008C213B">
            <w:pPr>
              <w:spacing w:line="360" w:lineRule="auto"/>
              <w:jc w:val="center"/>
              <w:rPr>
                <w:rFonts w:ascii="Times New Roman" w:hAnsi="Times New Roman" w:cs="Times New Roman"/>
                <w:b/>
                <w:sz w:val="24"/>
                <w:szCs w:val="24"/>
                <w:lang w:val="en-US"/>
              </w:rPr>
            </w:pPr>
            <w:r w:rsidRPr="00E0601D">
              <w:rPr>
                <w:rFonts w:ascii="Times New Roman" w:hAnsi="Times New Roman" w:cs="Times New Roman"/>
                <w:b/>
                <w:sz w:val="24"/>
                <w:szCs w:val="24"/>
              </w:rPr>
              <w:t>25 - 35 years</w:t>
            </w:r>
          </w:p>
        </w:tc>
        <w:tc>
          <w:tcPr>
            <w:tcW w:w="3185" w:type="dxa"/>
            <w:tcBorders>
              <w:top w:val="single" w:sz="4" w:space="0" w:color="auto"/>
              <w:left w:val="single" w:sz="4" w:space="0" w:color="auto"/>
              <w:bottom w:val="single" w:sz="4" w:space="0" w:color="auto"/>
              <w:right w:val="single" w:sz="4" w:space="0" w:color="auto"/>
            </w:tcBorders>
            <w:hideMark/>
          </w:tcPr>
          <w:p w14:paraId="3C959BA4" w14:textId="5D04F819" w:rsidR="00E0601D" w:rsidRPr="004D7E4B" w:rsidRDefault="00E0601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48</w:t>
            </w:r>
          </w:p>
        </w:tc>
        <w:tc>
          <w:tcPr>
            <w:tcW w:w="3185" w:type="dxa"/>
            <w:tcBorders>
              <w:top w:val="single" w:sz="4" w:space="0" w:color="auto"/>
              <w:left w:val="single" w:sz="4" w:space="0" w:color="auto"/>
              <w:bottom w:val="single" w:sz="4" w:space="0" w:color="auto"/>
              <w:right w:val="single" w:sz="4" w:space="0" w:color="auto"/>
            </w:tcBorders>
            <w:hideMark/>
          </w:tcPr>
          <w:p w14:paraId="5280B932" w14:textId="342982F6" w:rsidR="00E0601D" w:rsidRPr="004D7E4B" w:rsidRDefault="00E0601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8</w:t>
            </w:r>
            <w:r w:rsidRPr="004D7E4B">
              <w:rPr>
                <w:rFonts w:ascii="Times New Roman" w:hAnsi="Times New Roman" w:cs="Times New Roman"/>
                <w:b/>
                <w:sz w:val="24"/>
                <w:szCs w:val="24"/>
                <w:lang w:val="en-US"/>
              </w:rPr>
              <w:t>%</w:t>
            </w:r>
          </w:p>
        </w:tc>
      </w:tr>
      <w:tr w:rsidR="00E0601D" w:rsidRPr="004D7E4B" w14:paraId="5B75BB16" w14:textId="77777777" w:rsidTr="008C213B">
        <w:trPr>
          <w:trHeight w:val="496"/>
        </w:trPr>
        <w:tc>
          <w:tcPr>
            <w:tcW w:w="3077" w:type="dxa"/>
            <w:tcBorders>
              <w:top w:val="single" w:sz="4" w:space="0" w:color="auto"/>
              <w:left w:val="single" w:sz="4" w:space="0" w:color="auto"/>
              <w:bottom w:val="single" w:sz="4" w:space="0" w:color="auto"/>
              <w:right w:val="single" w:sz="4" w:space="0" w:color="auto"/>
            </w:tcBorders>
            <w:hideMark/>
          </w:tcPr>
          <w:p w14:paraId="4D04B296" w14:textId="0DD330C1" w:rsidR="00E0601D" w:rsidRPr="004D7E4B" w:rsidRDefault="00E0601D" w:rsidP="008C213B">
            <w:pPr>
              <w:spacing w:line="360" w:lineRule="auto"/>
              <w:jc w:val="center"/>
              <w:rPr>
                <w:rFonts w:ascii="Times New Roman" w:hAnsi="Times New Roman" w:cs="Times New Roman"/>
                <w:b/>
                <w:sz w:val="24"/>
                <w:szCs w:val="24"/>
                <w:lang w:val="en-US"/>
              </w:rPr>
            </w:pPr>
            <w:r w:rsidRPr="00E0601D">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484408F9" w14:textId="4C99FE28" w:rsidR="00E0601D" w:rsidRPr="004D7E4B" w:rsidRDefault="00E0601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28</w:t>
            </w:r>
          </w:p>
        </w:tc>
        <w:tc>
          <w:tcPr>
            <w:tcW w:w="3185" w:type="dxa"/>
            <w:tcBorders>
              <w:top w:val="single" w:sz="4" w:space="0" w:color="auto"/>
              <w:left w:val="single" w:sz="4" w:space="0" w:color="auto"/>
              <w:bottom w:val="single" w:sz="4" w:space="0" w:color="auto"/>
              <w:right w:val="single" w:sz="4" w:space="0" w:color="auto"/>
            </w:tcBorders>
            <w:hideMark/>
          </w:tcPr>
          <w:p w14:paraId="7519022F" w14:textId="7169F7C1" w:rsidR="00E0601D" w:rsidRPr="004D7E4B" w:rsidRDefault="00E0601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8</w:t>
            </w:r>
            <w:r w:rsidRPr="004D7E4B">
              <w:rPr>
                <w:rFonts w:ascii="Times New Roman" w:hAnsi="Times New Roman" w:cs="Times New Roman"/>
                <w:b/>
                <w:sz w:val="24"/>
                <w:szCs w:val="24"/>
                <w:lang w:val="en-US"/>
              </w:rPr>
              <w:t>%</w:t>
            </w:r>
          </w:p>
        </w:tc>
      </w:tr>
      <w:tr w:rsidR="00E0601D" w:rsidRPr="004D7E4B" w14:paraId="2013D4AF" w14:textId="77777777" w:rsidTr="008C213B">
        <w:trPr>
          <w:trHeight w:val="496"/>
        </w:trPr>
        <w:tc>
          <w:tcPr>
            <w:tcW w:w="3077" w:type="dxa"/>
            <w:tcBorders>
              <w:top w:val="single" w:sz="4" w:space="0" w:color="auto"/>
              <w:left w:val="single" w:sz="4" w:space="0" w:color="auto"/>
              <w:bottom w:val="single" w:sz="4" w:space="0" w:color="auto"/>
              <w:right w:val="single" w:sz="4" w:space="0" w:color="auto"/>
            </w:tcBorders>
            <w:hideMark/>
          </w:tcPr>
          <w:p w14:paraId="4E971821" w14:textId="0CBBB89D" w:rsidR="00E0601D" w:rsidRPr="004D7E4B" w:rsidRDefault="00E0601D" w:rsidP="008C213B">
            <w:pPr>
              <w:spacing w:line="360" w:lineRule="auto"/>
              <w:jc w:val="center"/>
              <w:rPr>
                <w:rFonts w:ascii="Times New Roman" w:hAnsi="Times New Roman" w:cs="Times New Roman"/>
                <w:b/>
                <w:sz w:val="24"/>
                <w:szCs w:val="24"/>
                <w:lang w:val="en-US"/>
              </w:rPr>
            </w:pPr>
            <w:r w:rsidRPr="00E0601D">
              <w:rPr>
                <w:rFonts w:ascii="Times New Roman" w:hAnsi="Times New Roman" w:cs="Times New Roman"/>
                <w:b/>
                <w:sz w:val="24"/>
                <w:szCs w:val="24"/>
              </w:rPr>
              <w:t>Above 45 years</w:t>
            </w:r>
          </w:p>
        </w:tc>
        <w:tc>
          <w:tcPr>
            <w:tcW w:w="3185" w:type="dxa"/>
            <w:tcBorders>
              <w:top w:val="single" w:sz="4" w:space="0" w:color="auto"/>
              <w:left w:val="single" w:sz="4" w:space="0" w:color="auto"/>
              <w:bottom w:val="single" w:sz="4" w:space="0" w:color="auto"/>
              <w:right w:val="single" w:sz="4" w:space="0" w:color="auto"/>
            </w:tcBorders>
            <w:hideMark/>
          </w:tcPr>
          <w:p w14:paraId="15857B5D" w14:textId="77777777" w:rsidR="00E0601D" w:rsidRPr="004D7E4B" w:rsidRDefault="00E0601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3CDA5C4D" w14:textId="77777777" w:rsidR="00E0601D" w:rsidRPr="004D7E4B" w:rsidRDefault="00E0601D" w:rsidP="008C21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E0601D" w:rsidRPr="004D7E4B" w14:paraId="59F4567E" w14:textId="77777777" w:rsidTr="008C213B">
        <w:trPr>
          <w:trHeight w:val="516"/>
        </w:trPr>
        <w:tc>
          <w:tcPr>
            <w:tcW w:w="3077" w:type="dxa"/>
            <w:tcBorders>
              <w:top w:val="single" w:sz="4" w:space="0" w:color="auto"/>
              <w:left w:val="single" w:sz="4" w:space="0" w:color="auto"/>
              <w:bottom w:val="single" w:sz="4" w:space="0" w:color="auto"/>
              <w:right w:val="single" w:sz="4" w:space="0" w:color="auto"/>
            </w:tcBorders>
            <w:hideMark/>
          </w:tcPr>
          <w:p w14:paraId="33D307D4" w14:textId="77777777" w:rsidR="00E0601D" w:rsidRPr="004D7E4B" w:rsidRDefault="00E0601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1E02A14" w14:textId="77777777" w:rsidR="00E0601D" w:rsidRPr="004D7E4B" w:rsidRDefault="00E0601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4FBB27D8" w14:textId="77777777" w:rsidR="00E0601D" w:rsidRPr="004D7E4B" w:rsidRDefault="00E0601D" w:rsidP="008C213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4D15BEC" w14:textId="77777777" w:rsidR="00E0601D" w:rsidRDefault="00E0601D" w:rsidP="00E0601D">
      <w:pPr>
        <w:spacing w:line="360" w:lineRule="auto"/>
        <w:jc w:val="both"/>
        <w:rPr>
          <w:rFonts w:ascii="Times New Roman" w:hAnsi="Times New Roman" w:cs="Times New Roman"/>
          <w:sz w:val="24"/>
          <w:szCs w:val="24"/>
        </w:rPr>
      </w:pPr>
    </w:p>
    <w:p w14:paraId="27ECC721" w14:textId="77777777" w:rsidR="00E0601D" w:rsidRDefault="00E0601D" w:rsidP="00E0601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7ACD5B16" w14:textId="4BFCC7B3" w:rsidR="00E0601D" w:rsidRDefault="00E0601D" w:rsidP="00E0601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0601D">
        <w:rPr>
          <w:rFonts w:ascii="Times New Roman" w:hAnsi="Times New Roman" w:cs="Times New Roman"/>
          <w:bCs/>
          <w:sz w:val="24"/>
          <w:szCs w:val="24"/>
        </w:rPr>
        <w:t>The data on the age distribution of employees at Global Foods indicates a workforce primarily concentrated in the young to middle-age categories. Employees aged between 25 and 35 years make up the largest segment, accounting for 48% of the respondents. This suggests that the company employs a relatively young workforce that may be in the early stages of career development but actively engaged in organizational activities. The 36 to 45 years age group forms the second-largest category at 28%, reflecting a significant portion of mid-career professionals likely holding supervisory or managerial roles, contributing their experience and stability. Respondents below 25 years represent 14%, indicating the presence of fresh entrants and junior staff members. Finally, employees above 45 years constitute 10%, showing a smaller, but valuable, group of senior staff with possibly long tenure and institutional knowledge. This age composition is crucial for organizational commitment, as younger employees might prioritize growth and development, while older employees may value job security and recognition.</w:t>
      </w:r>
    </w:p>
    <w:p w14:paraId="1DDECD2F" w14:textId="77777777" w:rsidR="00E0601D" w:rsidRDefault="00E0601D" w:rsidP="00E0601D">
      <w:pPr>
        <w:spacing w:line="360" w:lineRule="auto"/>
        <w:jc w:val="both"/>
        <w:rPr>
          <w:rFonts w:ascii="Times New Roman" w:hAnsi="Times New Roman" w:cs="Times New Roman"/>
          <w:bCs/>
          <w:sz w:val="24"/>
          <w:szCs w:val="24"/>
        </w:rPr>
      </w:pPr>
    </w:p>
    <w:p w14:paraId="46F4896D" w14:textId="77777777" w:rsidR="00E0601D" w:rsidRDefault="00E0601D" w:rsidP="00E0601D">
      <w:pPr>
        <w:spacing w:line="360" w:lineRule="auto"/>
        <w:jc w:val="both"/>
        <w:rPr>
          <w:rFonts w:ascii="Times New Roman" w:hAnsi="Times New Roman" w:cs="Times New Roman"/>
          <w:bCs/>
          <w:sz w:val="24"/>
          <w:szCs w:val="24"/>
        </w:rPr>
      </w:pPr>
    </w:p>
    <w:p w14:paraId="3E15D289" w14:textId="77777777" w:rsidR="00E0601D" w:rsidRDefault="00E0601D" w:rsidP="00E0601D">
      <w:pPr>
        <w:spacing w:line="360" w:lineRule="auto"/>
        <w:jc w:val="both"/>
        <w:rPr>
          <w:rFonts w:ascii="Times New Roman" w:hAnsi="Times New Roman" w:cs="Times New Roman"/>
          <w:bCs/>
          <w:sz w:val="24"/>
          <w:szCs w:val="24"/>
        </w:rPr>
      </w:pPr>
    </w:p>
    <w:p w14:paraId="00E7A959" w14:textId="77777777" w:rsidR="00E0601D" w:rsidRDefault="00E0601D" w:rsidP="00E0601D">
      <w:pPr>
        <w:spacing w:line="360" w:lineRule="auto"/>
        <w:jc w:val="both"/>
        <w:rPr>
          <w:rFonts w:ascii="Times New Roman" w:hAnsi="Times New Roman" w:cs="Times New Roman"/>
          <w:bCs/>
          <w:sz w:val="24"/>
          <w:szCs w:val="24"/>
        </w:rPr>
      </w:pPr>
    </w:p>
    <w:p w14:paraId="1A331EA4" w14:textId="77777777" w:rsidR="00E0601D" w:rsidRPr="004D7E4B" w:rsidRDefault="00E0601D" w:rsidP="00E0601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lastRenderedPageBreak/>
        <w:t>TABLE – 4.2</w:t>
      </w:r>
    </w:p>
    <w:p w14:paraId="362B3825" w14:textId="77777777" w:rsidR="00E0601D" w:rsidRPr="004D7E4B" w:rsidRDefault="00E0601D" w:rsidP="00E0601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C42333" w:rsidRPr="004D7E4B" w14:paraId="18BF5C3F"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5A80872E" w14:textId="77777777" w:rsidR="00C42333" w:rsidRPr="004D7E4B" w:rsidRDefault="00C42333"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FCED2B2" w14:textId="77777777" w:rsidR="00C42333" w:rsidRPr="004D7E4B" w:rsidRDefault="00C42333"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C75A81F" w14:textId="77777777" w:rsidR="00C42333" w:rsidRPr="004D7E4B" w:rsidRDefault="00C42333"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C42333" w:rsidRPr="004D7E4B" w14:paraId="74EBE839"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00428C19" w14:textId="77777777" w:rsidR="00C42333" w:rsidRPr="004D7E4B" w:rsidRDefault="00C42333" w:rsidP="008C213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40538D5" w14:textId="77777777" w:rsidR="00C42333" w:rsidRPr="004D7E4B" w:rsidRDefault="00C42333"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2761FB21" w14:textId="77777777" w:rsidR="00C42333" w:rsidRPr="004D7E4B" w:rsidRDefault="00C42333"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C42333" w:rsidRPr="004D7E4B" w14:paraId="0D08065E"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1938D0D0" w14:textId="77777777" w:rsidR="00C42333" w:rsidRPr="004D7E4B" w:rsidRDefault="00C42333" w:rsidP="008C213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33AF8A03" w14:textId="77777777" w:rsidR="00C42333" w:rsidRPr="004D7E4B" w:rsidRDefault="00C42333"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704E75BF" w14:textId="77777777" w:rsidR="00C42333" w:rsidRPr="004D7E4B" w:rsidRDefault="00C42333" w:rsidP="008C213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sidRPr="004D7E4B">
              <w:rPr>
                <w:rFonts w:ascii="Times New Roman" w:hAnsi="Times New Roman" w:cs="Times New Roman"/>
                <w:bCs/>
                <w:sz w:val="24"/>
                <w:szCs w:val="24"/>
                <w:lang w:val="en-US"/>
              </w:rPr>
              <w:t>%</w:t>
            </w:r>
          </w:p>
        </w:tc>
      </w:tr>
      <w:tr w:rsidR="00C42333" w:rsidRPr="004D7E4B" w14:paraId="02D98809" w14:textId="77777777" w:rsidTr="008C213B">
        <w:tc>
          <w:tcPr>
            <w:tcW w:w="3002" w:type="dxa"/>
            <w:tcBorders>
              <w:top w:val="single" w:sz="4" w:space="0" w:color="auto"/>
              <w:left w:val="single" w:sz="4" w:space="0" w:color="auto"/>
              <w:bottom w:val="single" w:sz="4" w:space="0" w:color="auto"/>
              <w:right w:val="single" w:sz="4" w:space="0" w:color="auto"/>
            </w:tcBorders>
            <w:hideMark/>
          </w:tcPr>
          <w:p w14:paraId="07E8FFDF" w14:textId="77777777" w:rsidR="00C42333" w:rsidRPr="004D7E4B" w:rsidRDefault="00C42333"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0ACB893" w14:textId="77777777" w:rsidR="00C42333" w:rsidRPr="004D7E4B" w:rsidRDefault="00C42333"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4D319979" w14:textId="77777777" w:rsidR="00C42333" w:rsidRPr="004D7E4B" w:rsidRDefault="00C42333" w:rsidP="008C213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45DDB5C" w14:textId="77777777" w:rsidR="00E0601D" w:rsidRDefault="00E0601D" w:rsidP="00E0601D">
      <w:pPr>
        <w:spacing w:line="360" w:lineRule="auto"/>
        <w:jc w:val="both"/>
        <w:rPr>
          <w:rFonts w:ascii="Times New Roman" w:hAnsi="Times New Roman" w:cs="Times New Roman"/>
          <w:bCs/>
          <w:sz w:val="24"/>
          <w:szCs w:val="24"/>
        </w:rPr>
      </w:pPr>
    </w:p>
    <w:p w14:paraId="290B24ED" w14:textId="77777777" w:rsidR="00C42333" w:rsidRPr="007B042D" w:rsidRDefault="00C42333" w:rsidP="00C42333">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6059EDC6" w14:textId="1A009E1C" w:rsidR="00C42333" w:rsidRPr="00E0601D" w:rsidRDefault="00C42333" w:rsidP="00E0601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42333">
        <w:rPr>
          <w:rFonts w:ascii="Times New Roman" w:hAnsi="Times New Roman" w:cs="Times New Roman"/>
          <w:bCs/>
          <w:sz w:val="24"/>
          <w:szCs w:val="24"/>
        </w:rPr>
        <w:t>The analysis of the gender distribution among employees at Global Foods shows a predominantly male workforce, with males constituting 70% of the respondents. This reflects the typical gender composition found in many food processing and manufacturing sectors, where male employees often fill operational and technical roles. Female employees make up 30% of the workforce, indicating a significant, though smaller, representation. This diversity is important as gender can influence organizational commitment differently due to varying work-life balance needs, career aspirations, and workplace experiences. Understanding this distribution helps the company design gender-sensitive HR policies and engagement strategies to boost commitment across all employee groups.</w:t>
      </w:r>
    </w:p>
    <w:p w14:paraId="332C4850" w14:textId="00B02068" w:rsidR="00E0601D" w:rsidRPr="00E0601D" w:rsidRDefault="00E0601D" w:rsidP="00E0601D">
      <w:pPr>
        <w:spacing w:line="360" w:lineRule="auto"/>
        <w:jc w:val="both"/>
        <w:rPr>
          <w:rFonts w:ascii="Times New Roman" w:hAnsi="Times New Roman" w:cs="Times New Roman"/>
          <w:b/>
          <w:sz w:val="24"/>
          <w:szCs w:val="24"/>
        </w:rPr>
      </w:pPr>
    </w:p>
    <w:p w14:paraId="0AB089CF" w14:textId="77777777" w:rsidR="00E0601D" w:rsidRPr="004D7E4B" w:rsidRDefault="00E0601D" w:rsidP="00E0601D">
      <w:pPr>
        <w:spacing w:line="360" w:lineRule="auto"/>
        <w:rPr>
          <w:rFonts w:ascii="Times New Roman" w:hAnsi="Times New Roman" w:cs="Times New Roman"/>
          <w:b/>
          <w:sz w:val="24"/>
          <w:szCs w:val="24"/>
          <w:lang w:val="en-US"/>
        </w:rPr>
      </w:pPr>
    </w:p>
    <w:p w14:paraId="36DF19C7" w14:textId="77777777" w:rsidR="00E0601D" w:rsidRDefault="00E0601D" w:rsidP="00E0601D">
      <w:pPr>
        <w:spacing w:line="360" w:lineRule="auto"/>
        <w:jc w:val="both"/>
        <w:rPr>
          <w:rFonts w:ascii="Times New Roman" w:hAnsi="Times New Roman" w:cs="Times New Roman"/>
          <w:sz w:val="24"/>
          <w:szCs w:val="24"/>
        </w:rPr>
      </w:pPr>
    </w:p>
    <w:p w14:paraId="18DA21CA" w14:textId="77777777" w:rsidR="00C42333" w:rsidRDefault="00C42333" w:rsidP="00E0601D">
      <w:pPr>
        <w:spacing w:line="360" w:lineRule="auto"/>
        <w:jc w:val="both"/>
        <w:rPr>
          <w:rFonts w:ascii="Times New Roman" w:hAnsi="Times New Roman" w:cs="Times New Roman"/>
          <w:sz w:val="24"/>
          <w:szCs w:val="24"/>
        </w:rPr>
      </w:pPr>
    </w:p>
    <w:p w14:paraId="09ECAB8F" w14:textId="77777777" w:rsidR="00C42333" w:rsidRDefault="00C42333" w:rsidP="00E0601D">
      <w:pPr>
        <w:spacing w:line="360" w:lineRule="auto"/>
        <w:jc w:val="both"/>
        <w:rPr>
          <w:rFonts w:ascii="Times New Roman" w:hAnsi="Times New Roman" w:cs="Times New Roman"/>
          <w:sz w:val="24"/>
          <w:szCs w:val="24"/>
        </w:rPr>
      </w:pPr>
    </w:p>
    <w:p w14:paraId="22AB308F" w14:textId="77777777" w:rsidR="00C42333" w:rsidRDefault="00C42333" w:rsidP="00E0601D">
      <w:pPr>
        <w:spacing w:line="360" w:lineRule="auto"/>
        <w:jc w:val="both"/>
        <w:rPr>
          <w:rFonts w:ascii="Times New Roman" w:hAnsi="Times New Roman" w:cs="Times New Roman"/>
          <w:sz w:val="24"/>
          <w:szCs w:val="24"/>
        </w:rPr>
      </w:pPr>
    </w:p>
    <w:p w14:paraId="7210F677" w14:textId="77777777" w:rsidR="00C42333" w:rsidRDefault="00C42333" w:rsidP="00E0601D">
      <w:pPr>
        <w:spacing w:line="360" w:lineRule="auto"/>
        <w:jc w:val="both"/>
        <w:rPr>
          <w:rFonts w:ascii="Times New Roman" w:hAnsi="Times New Roman" w:cs="Times New Roman"/>
          <w:sz w:val="24"/>
          <w:szCs w:val="24"/>
        </w:rPr>
      </w:pPr>
    </w:p>
    <w:p w14:paraId="26CCE749" w14:textId="77777777" w:rsidR="00C42333" w:rsidRDefault="00C42333" w:rsidP="00E0601D">
      <w:pPr>
        <w:spacing w:line="360" w:lineRule="auto"/>
        <w:jc w:val="both"/>
        <w:rPr>
          <w:rFonts w:ascii="Times New Roman" w:hAnsi="Times New Roman" w:cs="Times New Roman"/>
          <w:sz w:val="24"/>
          <w:szCs w:val="24"/>
        </w:rPr>
      </w:pPr>
    </w:p>
    <w:p w14:paraId="0C843182" w14:textId="77777777" w:rsidR="00C42333" w:rsidRDefault="00C42333" w:rsidP="00E0601D">
      <w:pPr>
        <w:spacing w:line="360" w:lineRule="auto"/>
        <w:jc w:val="both"/>
        <w:rPr>
          <w:rFonts w:ascii="Times New Roman" w:hAnsi="Times New Roman" w:cs="Times New Roman"/>
          <w:sz w:val="24"/>
          <w:szCs w:val="24"/>
        </w:rPr>
      </w:pPr>
    </w:p>
    <w:p w14:paraId="5BB04E21" w14:textId="77777777" w:rsidR="00C42333" w:rsidRDefault="00C42333" w:rsidP="00C42333">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3A82D439" w14:textId="772018BB" w:rsidR="00C42333" w:rsidRPr="00C42333" w:rsidRDefault="00C42333" w:rsidP="00C423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2333">
        <w:rPr>
          <w:rFonts w:ascii="Times New Roman" w:hAnsi="Times New Roman" w:cs="Times New Roman"/>
          <w:sz w:val="24"/>
          <w:szCs w:val="24"/>
        </w:rPr>
        <w:t>The study on organizational commitment at Global Foods reveals that employee loyalty and dedication are influenced by a variety of factors including leadership style, work environment, job satisfaction, and recognition. The findings indicate that while a significant portion of employees exhibit strong emotional attachment to the company, there remain areas where commitment can be further strengthened. Younger employees tend to value career growth opportunities and skill development, whereas more experienced staff prioritize job security and acknowledgment of their contributions.</w:t>
      </w:r>
    </w:p>
    <w:p w14:paraId="4814615A" w14:textId="1C86694E" w:rsidR="00C42333" w:rsidRPr="00C42333" w:rsidRDefault="00C42333" w:rsidP="00C423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2333">
        <w:rPr>
          <w:rFonts w:ascii="Times New Roman" w:hAnsi="Times New Roman" w:cs="Times New Roman"/>
          <w:sz w:val="24"/>
          <w:szCs w:val="24"/>
        </w:rPr>
        <w:t>Gender diversity and age distribution also play important roles in shaping commitment levels, necessitating tailored HR policies that address the unique needs of different employee groups. Enhancing communication channels, fostering a supportive organizational culture, and implementing transparent reward systems can help improve overall commitment, reduce turnover, and boost productivity.</w:t>
      </w:r>
    </w:p>
    <w:p w14:paraId="50E7A0F2" w14:textId="02C3F806" w:rsidR="00C42333" w:rsidRDefault="00C42333" w:rsidP="00C423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2333">
        <w:rPr>
          <w:rFonts w:ascii="Times New Roman" w:hAnsi="Times New Roman" w:cs="Times New Roman"/>
          <w:sz w:val="24"/>
          <w:szCs w:val="24"/>
        </w:rPr>
        <w:t>Ultimately, strengthening organizational commitment at Global Foods is essential not only for employee satisfaction but also for achieving sustainable business growth. By addressing the key drivers of commitment identified in this study, the company can build a motivated, stable workforce capable of adapting to industry challenges and maintaining competitive advantage.</w:t>
      </w:r>
    </w:p>
    <w:p w14:paraId="552CD26E" w14:textId="77777777" w:rsidR="00C42333" w:rsidRDefault="00C42333" w:rsidP="00C42333">
      <w:pPr>
        <w:spacing w:line="360" w:lineRule="auto"/>
        <w:jc w:val="both"/>
        <w:rPr>
          <w:rFonts w:ascii="Times New Roman" w:hAnsi="Times New Roman" w:cs="Times New Roman"/>
          <w:sz w:val="24"/>
          <w:szCs w:val="24"/>
        </w:rPr>
      </w:pPr>
    </w:p>
    <w:p w14:paraId="75AC21A2" w14:textId="77777777" w:rsidR="00C42333" w:rsidRDefault="00C42333" w:rsidP="00C42333">
      <w:pPr>
        <w:spacing w:line="360" w:lineRule="auto"/>
        <w:jc w:val="both"/>
        <w:rPr>
          <w:rFonts w:ascii="Times New Roman" w:hAnsi="Times New Roman" w:cs="Times New Roman"/>
          <w:sz w:val="24"/>
          <w:szCs w:val="24"/>
        </w:rPr>
      </w:pPr>
    </w:p>
    <w:p w14:paraId="145C64CE" w14:textId="77777777" w:rsidR="00C42333" w:rsidRDefault="00C42333" w:rsidP="00C42333">
      <w:pPr>
        <w:spacing w:line="360" w:lineRule="auto"/>
        <w:jc w:val="both"/>
        <w:rPr>
          <w:rFonts w:ascii="Times New Roman" w:hAnsi="Times New Roman" w:cs="Times New Roman"/>
          <w:sz w:val="24"/>
          <w:szCs w:val="24"/>
        </w:rPr>
      </w:pPr>
    </w:p>
    <w:p w14:paraId="3EF7883F" w14:textId="77777777" w:rsidR="00C42333" w:rsidRDefault="00C42333" w:rsidP="00C42333">
      <w:pPr>
        <w:spacing w:line="360" w:lineRule="auto"/>
        <w:jc w:val="both"/>
        <w:rPr>
          <w:rFonts w:ascii="Times New Roman" w:hAnsi="Times New Roman" w:cs="Times New Roman"/>
          <w:sz w:val="24"/>
          <w:szCs w:val="24"/>
        </w:rPr>
      </w:pPr>
    </w:p>
    <w:p w14:paraId="6667591D" w14:textId="77777777" w:rsidR="00C42333" w:rsidRDefault="00C42333" w:rsidP="00C42333">
      <w:pPr>
        <w:spacing w:line="360" w:lineRule="auto"/>
        <w:jc w:val="both"/>
        <w:rPr>
          <w:rFonts w:ascii="Times New Roman" w:hAnsi="Times New Roman" w:cs="Times New Roman"/>
          <w:sz w:val="24"/>
          <w:szCs w:val="24"/>
        </w:rPr>
      </w:pPr>
    </w:p>
    <w:p w14:paraId="1D3DAA65" w14:textId="77777777" w:rsidR="00C42333" w:rsidRDefault="00C42333" w:rsidP="00C42333">
      <w:pPr>
        <w:spacing w:line="360" w:lineRule="auto"/>
        <w:jc w:val="both"/>
        <w:rPr>
          <w:rFonts w:ascii="Times New Roman" w:hAnsi="Times New Roman" w:cs="Times New Roman"/>
          <w:sz w:val="24"/>
          <w:szCs w:val="24"/>
        </w:rPr>
      </w:pPr>
    </w:p>
    <w:p w14:paraId="6CB1A3CF" w14:textId="77777777" w:rsidR="00C42333" w:rsidRDefault="00C42333" w:rsidP="00C42333">
      <w:pPr>
        <w:spacing w:line="360" w:lineRule="auto"/>
        <w:jc w:val="both"/>
        <w:rPr>
          <w:rFonts w:ascii="Times New Roman" w:hAnsi="Times New Roman" w:cs="Times New Roman"/>
          <w:sz w:val="24"/>
          <w:szCs w:val="24"/>
        </w:rPr>
      </w:pPr>
    </w:p>
    <w:p w14:paraId="1C1B3394" w14:textId="77777777" w:rsidR="00C42333" w:rsidRDefault="00C42333" w:rsidP="00C42333">
      <w:pPr>
        <w:spacing w:line="360" w:lineRule="auto"/>
        <w:jc w:val="both"/>
        <w:rPr>
          <w:rFonts w:ascii="Times New Roman" w:hAnsi="Times New Roman" w:cs="Times New Roman"/>
          <w:sz w:val="24"/>
          <w:szCs w:val="24"/>
        </w:rPr>
      </w:pPr>
    </w:p>
    <w:p w14:paraId="5AB63B54" w14:textId="77777777" w:rsidR="00C42333" w:rsidRDefault="00C42333" w:rsidP="00C42333">
      <w:pPr>
        <w:spacing w:line="360" w:lineRule="auto"/>
        <w:jc w:val="both"/>
        <w:rPr>
          <w:rFonts w:ascii="Times New Roman" w:hAnsi="Times New Roman" w:cs="Times New Roman"/>
          <w:sz w:val="24"/>
          <w:szCs w:val="24"/>
        </w:rPr>
      </w:pPr>
    </w:p>
    <w:p w14:paraId="01DAB4E4" w14:textId="77777777" w:rsidR="00C42333" w:rsidRDefault="00C42333" w:rsidP="00C42333">
      <w:pPr>
        <w:spacing w:line="360" w:lineRule="auto"/>
        <w:jc w:val="both"/>
        <w:rPr>
          <w:rFonts w:ascii="Times New Roman" w:hAnsi="Times New Roman" w:cs="Times New Roman"/>
          <w:sz w:val="24"/>
          <w:szCs w:val="24"/>
        </w:rPr>
      </w:pPr>
    </w:p>
    <w:p w14:paraId="6A3DC87D" w14:textId="77777777" w:rsidR="00C42333" w:rsidRPr="007B042D" w:rsidRDefault="00C42333" w:rsidP="00C42333">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B266144" w14:textId="77777777" w:rsidR="00C42333" w:rsidRPr="00C42333" w:rsidRDefault="00C42333" w:rsidP="00C42333">
      <w:pPr>
        <w:pStyle w:val="ListParagraph"/>
        <w:numPr>
          <w:ilvl w:val="0"/>
          <w:numId w:val="4"/>
        </w:numPr>
        <w:spacing w:line="360" w:lineRule="auto"/>
        <w:jc w:val="both"/>
        <w:rPr>
          <w:rFonts w:ascii="Times New Roman" w:hAnsi="Times New Roman" w:cs="Times New Roman"/>
          <w:sz w:val="24"/>
          <w:szCs w:val="24"/>
        </w:rPr>
      </w:pPr>
      <w:r w:rsidRPr="00C42333">
        <w:rPr>
          <w:rFonts w:ascii="Times New Roman" w:hAnsi="Times New Roman" w:cs="Times New Roman"/>
          <w:sz w:val="24"/>
          <w:szCs w:val="24"/>
        </w:rPr>
        <w:t xml:space="preserve">Allen, N. J., &amp; Meyer, J. P. (1996). </w:t>
      </w:r>
      <w:r w:rsidRPr="00C42333">
        <w:rPr>
          <w:rFonts w:ascii="Times New Roman" w:hAnsi="Times New Roman" w:cs="Times New Roman"/>
          <w:i/>
          <w:iCs/>
          <w:sz w:val="24"/>
          <w:szCs w:val="24"/>
        </w:rPr>
        <w:t>Affective, continuance, and normative commitment to the organization: An examination of construct validity</w:t>
      </w:r>
      <w:r w:rsidRPr="00C42333">
        <w:rPr>
          <w:rFonts w:ascii="Times New Roman" w:hAnsi="Times New Roman" w:cs="Times New Roman"/>
          <w:sz w:val="24"/>
          <w:szCs w:val="24"/>
        </w:rPr>
        <w:t xml:space="preserve">. Journal of Vocational </w:t>
      </w:r>
      <w:proofErr w:type="spellStart"/>
      <w:r w:rsidRPr="00C42333">
        <w:rPr>
          <w:rFonts w:ascii="Times New Roman" w:hAnsi="Times New Roman" w:cs="Times New Roman"/>
          <w:sz w:val="24"/>
          <w:szCs w:val="24"/>
        </w:rPr>
        <w:t>Behavior</w:t>
      </w:r>
      <w:proofErr w:type="spellEnd"/>
      <w:r w:rsidRPr="00C42333">
        <w:rPr>
          <w:rFonts w:ascii="Times New Roman" w:hAnsi="Times New Roman" w:cs="Times New Roman"/>
          <w:sz w:val="24"/>
          <w:szCs w:val="24"/>
        </w:rPr>
        <w:t>, 49(3), 252–276.</w:t>
      </w:r>
    </w:p>
    <w:p w14:paraId="0A6E6B49" w14:textId="77777777" w:rsidR="00C42333" w:rsidRPr="00C42333" w:rsidRDefault="00C42333" w:rsidP="00C42333">
      <w:pPr>
        <w:pStyle w:val="ListParagraph"/>
        <w:numPr>
          <w:ilvl w:val="0"/>
          <w:numId w:val="4"/>
        </w:numPr>
        <w:spacing w:line="360" w:lineRule="auto"/>
        <w:jc w:val="both"/>
        <w:rPr>
          <w:rFonts w:ascii="Times New Roman" w:hAnsi="Times New Roman" w:cs="Times New Roman"/>
          <w:sz w:val="24"/>
          <w:szCs w:val="24"/>
        </w:rPr>
      </w:pPr>
      <w:r w:rsidRPr="00C42333">
        <w:rPr>
          <w:rFonts w:ascii="Times New Roman" w:hAnsi="Times New Roman" w:cs="Times New Roman"/>
          <w:sz w:val="24"/>
          <w:szCs w:val="24"/>
        </w:rPr>
        <w:t xml:space="preserve">Becker, H. S. (1960). </w:t>
      </w:r>
      <w:r w:rsidRPr="00C42333">
        <w:rPr>
          <w:rFonts w:ascii="Times New Roman" w:hAnsi="Times New Roman" w:cs="Times New Roman"/>
          <w:i/>
          <w:iCs/>
          <w:sz w:val="24"/>
          <w:szCs w:val="24"/>
        </w:rPr>
        <w:t>Notes on the concept of commitment</w:t>
      </w:r>
      <w:r w:rsidRPr="00C42333">
        <w:rPr>
          <w:rFonts w:ascii="Times New Roman" w:hAnsi="Times New Roman" w:cs="Times New Roman"/>
          <w:sz w:val="24"/>
          <w:szCs w:val="24"/>
        </w:rPr>
        <w:t>. American Journal of Sociology, 66(1), 32–40.</w:t>
      </w:r>
    </w:p>
    <w:p w14:paraId="4916937B" w14:textId="77777777" w:rsidR="00C42333" w:rsidRPr="00C42333" w:rsidRDefault="00C42333" w:rsidP="00C42333">
      <w:pPr>
        <w:pStyle w:val="ListParagraph"/>
        <w:numPr>
          <w:ilvl w:val="0"/>
          <w:numId w:val="4"/>
        </w:numPr>
        <w:spacing w:line="360" w:lineRule="auto"/>
        <w:jc w:val="both"/>
        <w:rPr>
          <w:rFonts w:ascii="Times New Roman" w:hAnsi="Times New Roman" w:cs="Times New Roman"/>
          <w:sz w:val="24"/>
          <w:szCs w:val="24"/>
        </w:rPr>
      </w:pPr>
      <w:r w:rsidRPr="00C42333">
        <w:rPr>
          <w:rFonts w:ascii="Times New Roman" w:hAnsi="Times New Roman" w:cs="Times New Roman"/>
          <w:sz w:val="24"/>
          <w:szCs w:val="24"/>
        </w:rPr>
        <w:t xml:space="preserve">Cohen, A. (2003). </w:t>
      </w:r>
      <w:r w:rsidRPr="00C42333">
        <w:rPr>
          <w:rFonts w:ascii="Times New Roman" w:hAnsi="Times New Roman" w:cs="Times New Roman"/>
          <w:i/>
          <w:iCs/>
          <w:sz w:val="24"/>
          <w:szCs w:val="24"/>
        </w:rPr>
        <w:t>Multiple commitments in the workplace: An integrative approach</w:t>
      </w:r>
      <w:r w:rsidRPr="00C42333">
        <w:rPr>
          <w:rFonts w:ascii="Times New Roman" w:hAnsi="Times New Roman" w:cs="Times New Roman"/>
          <w:sz w:val="24"/>
          <w:szCs w:val="24"/>
        </w:rPr>
        <w:t>. Psychology Press.</w:t>
      </w:r>
    </w:p>
    <w:p w14:paraId="0224A5DC" w14:textId="77777777" w:rsidR="00C42333" w:rsidRPr="00C42333" w:rsidRDefault="00C42333" w:rsidP="00C42333">
      <w:pPr>
        <w:pStyle w:val="ListParagraph"/>
        <w:numPr>
          <w:ilvl w:val="0"/>
          <w:numId w:val="4"/>
        </w:numPr>
        <w:spacing w:line="360" w:lineRule="auto"/>
        <w:jc w:val="both"/>
        <w:rPr>
          <w:rFonts w:ascii="Times New Roman" w:hAnsi="Times New Roman" w:cs="Times New Roman"/>
          <w:sz w:val="24"/>
          <w:szCs w:val="24"/>
        </w:rPr>
      </w:pPr>
      <w:r w:rsidRPr="00C42333">
        <w:rPr>
          <w:rFonts w:ascii="Times New Roman" w:hAnsi="Times New Roman" w:cs="Times New Roman"/>
          <w:sz w:val="24"/>
          <w:szCs w:val="24"/>
        </w:rPr>
        <w:t xml:space="preserve">Lok, P., &amp; Crawford, J. (2001). </w:t>
      </w:r>
      <w:r w:rsidRPr="00C42333">
        <w:rPr>
          <w:rFonts w:ascii="Times New Roman" w:hAnsi="Times New Roman" w:cs="Times New Roman"/>
          <w:i/>
          <w:iCs/>
          <w:sz w:val="24"/>
          <w:szCs w:val="24"/>
        </w:rPr>
        <w:t>Antecedents of organizational commitment and the mediating role of job satisfaction</w:t>
      </w:r>
      <w:r w:rsidRPr="00C42333">
        <w:rPr>
          <w:rFonts w:ascii="Times New Roman" w:hAnsi="Times New Roman" w:cs="Times New Roman"/>
          <w:sz w:val="24"/>
          <w:szCs w:val="24"/>
        </w:rPr>
        <w:t>. Journal of Managerial Psychology, 16(8), 594–613.</w:t>
      </w:r>
    </w:p>
    <w:p w14:paraId="52FBAA09" w14:textId="77777777" w:rsidR="00C42333" w:rsidRPr="00C42333" w:rsidRDefault="00C42333" w:rsidP="00C42333">
      <w:pPr>
        <w:pStyle w:val="ListParagraph"/>
        <w:numPr>
          <w:ilvl w:val="0"/>
          <w:numId w:val="4"/>
        </w:numPr>
        <w:spacing w:line="360" w:lineRule="auto"/>
        <w:jc w:val="both"/>
        <w:rPr>
          <w:rFonts w:ascii="Times New Roman" w:hAnsi="Times New Roman" w:cs="Times New Roman"/>
          <w:sz w:val="24"/>
          <w:szCs w:val="24"/>
        </w:rPr>
      </w:pPr>
      <w:r w:rsidRPr="00C42333">
        <w:rPr>
          <w:rFonts w:ascii="Times New Roman" w:hAnsi="Times New Roman" w:cs="Times New Roman"/>
          <w:sz w:val="24"/>
          <w:szCs w:val="24"/>
        </w:rPr>
        <w:t xml:space="preserve">Mathieu, J. E., &amp; Zajac, D. M. (1990). </w:t>
      </w:r>
      <w:r w:rsidRPr="00C42333">
        <w:rPr>
          <w:rFonts w:ascii="Times New Roman" w:hAnsi="Times New Roman" w:cs="Times New Roman"/>
          <w:i/>
          <w:iCs/>
          <w:sz w:val="24"/>
          <w:szCs w:val="24"/>
        </w:rPr>
        <w:t>A review and meta-analysis of the antecedents, correlates, and consequences of organizational commitment</w:t>
      </w:r>
      <w:r w:rsidRPr="00C42333">
        <w:rPr>
          <w:rFonts w:ascii="Times New Roman" w:hAnsi="Times New Roman" w:cs="Times New Roman"/>
          <w:sz w:val="24"/>
          <w:szCs w:val="24"/>
        </w:rPr>
        <w:t>. Psychological Bulletin, 108(2), 171–194.</w:t>
      </w:r>
    </w:p>
    <w:p w14:paraId="1BB6EF32" w14:textId="77777777" w:rsidR="00C42333" w:rsidRPr="00C42333" w:rsidRDefault="00C42333" w:rsidP="00C42333">
      <w:pPr>
        <w:pStyle w:val="ListParagraph"/>
        <w:numPr>
          <w:ilvl w:val="0"/>
          <w:numId w:val="4"/>
        </w:numPr>
        <w:spacing w:line="360" w:lineRule="auto"/>
        <w:jc w:val="both"/>
        <w:rPr>
          <w:rFonts w:ascii="Times New Roman" w:hAnsi="Times New Roman" w:cs="Times New Roman"/>
          <w:sz w:val="24"/>
          <w:szCs w:val="24"/>
        </w:rPr>
      </w:pPr>
      <w:r w:rsidRPr="00C42333">
        <w:rPr>
          <w:rFonts w:ascii="Times New Roman" w:hAnsi="Times New Roman" w:cs="Times New Roman"/>
          <w:sz w:val="24"/>
          <w:szCs w:val="24"/>
        </w:rPr>
        <w:t xml:space="preserve">Meyer, J. P., &amp; Allen, N. J. (1991). </w:t>
      </w:r>
      <w:r w:rsidRPr="00C42333">
        <w:rPr>
          <w:rFonts w:ascii="Times New Roman" w:hAnsi="Times New Roman" w:cs="Times New Roman"/>
          <w:i/>
          <w:iCs/>
          <w:sz w:val="24"/>
          <w:szCs w:val="24"/>
        </w:rPr>
        <w:t>A three-component conceptualization of organizational commitment</w:t>
      </w:r>
      <w:r w:rsidRPr="00C42333">
        <w:rPr>
          <w:rFonts w:ascii="Times New Roman" w:hAnsi="Times New Roman" w:cs="Times New Roman"/>
          <w:sz w:val="24"/>
          <w:szCs w:val="24"/>
        </w:rPr>
        <w:t>. Human Resource Management Review, 1(1), 61–89.</w:t>
      </w:r>
    </w:p>
    <w:p w14:paraId="54030610" w14:textId="77777777" w:rsidR="00C42333" w:rsidRPr="00C42333" w:rsidRDefault="00C42333" w:rsidP="00C42333">
      <w:pPr>
        <w:pStyle w:val="ListParagraph"/>
        <w:numPr>
          <w:ilvl w:val="0"/>
          <w:numId w:val="4"/>
        </w:numPr>
        <w:spacing w:line="360" w:lineRule="auto"/>
        <w:jc w:val="both"/>
        <w:rPr>
          <w:rFonts w:ascii="Times New Roman" w:hAnsi="Times New Roman" w:cs="Times New Roman"/>
          <w:sz w:val="24"/>
          <w:szCs w:val="24"/>
        </w:rPr>
      </w:pPr>
      <w:r w:rsidRPr="00C42333">
        <w:rPr>
          <w:rFonts w:ascii="Times New Roman" w:hAnsi="Times New Roman" w:cs="Times New Roman"/>
          <w:sz w:val="24"/>
          <w:szCs w:val="24"/>
        </w:rPr>
        <w:t xml:space="preserve">Mowday, R. T., Steers, R. M., &amp; Porter, L. W. (1979). </w:t>
      </w:r>
      <w:r w:rsidRPr="00C42333">
        <w:rPr>
          <w:rFonts w:ascii="Times New Roman" w:hAnsi="Times New Roman" w:cs="Times New Roman"/>
          <w:i/>
          <w:iCs/>
          <w:sz w:val="24"/>
          <w:szCs w:val="24"/>
        </w:rPr>
        <w:t>The measurement of organizational commitment</w:t>
      </w:r>
      <w:r w:rsidRPr="00C42333">
        <w:rPr>
          <w:rFonts w:ascii="Times New Roman" w:hAnsi="Times New Roman" w:cs="Times New Roman"/>
          <w:sz w:val="24"/>
          <w:szCs w:val="24"/>
        </w:rPr>
        <w:t xml:space="preserve">. Journal of Vocational </w:t>
      </w:r>
      <w:proofErr w:type="spellStart"/>
      <w:r w:rsidRPr="00C42333">
        <w:rPr>
          <w:rFonts w:ascii="Times New Roman" w:hAnsi="Times New Roman" w:cs="Times New Roman"/>
          <w:sz w:val="24"/>
          <w:szCs w:val="24"/>
        </w:rPr>
        <w:t>Behavior</w:t>
      </w:r>
      <w:proofErr w:type="spellEnd"/>
      <w:r w:rsidRPr="00C42333">
        <w:rPr>
          <w:rFonts w:ascii="Times New Roman" w:hAnsi="Times New Roman" w:cs="Times New Roman"/>
          <w:sz w:val="24"/>
          <w:szCs w:val="24"/>
        </w:rPr>
        <w:t>, 14(2), 224–247.</w:t>
      </w:r>
    </w:p>
    <w:p w14:paraId="130C76CC" w14:textId="77777777" w:rsidR="00C42333" w:rsidRPr="00C42333" w:rsidRDefault="00C42333" w:rsidP="00C42333">
      <w:pPr>
        <w:pStyle w:val="ListParagraph"/>
        <w:numPr>
          <w:ilvl w:val="0"/>
          <w:numId w:val="4"/>
        </w:numPr>
        <w:spacing w:line="360" w:lineRule="auto"/>
        <w:jc w:val="both"/>
        <w:rPr>
          <w:rFonts w:ascii="Times New Roman" w:hAnsi="Times New Roman" w:cs="Times New Roman"/>
          <w:sz w:val="24"/>
          <w:szCs w:val="24"/>
        </w:rPr>
      </w:pPr>
      <w:r w:rsidRPr="00C42333">
        <w:rPr>
          <w:rFonts w:ascii="Times New Roman" w:hAnsi="Times New Roman" w:cs="Times New Roman"/>
          <w:sz w:val="24"/>
          <w:szCs w:val="24"/>
        </w:rPr>
        <w:t xml:space="preserve">O’Reilly, C. A., &amp; Chatman, J. A. (1986). </w:t>
      </w:r>
      <w:r w:rsidRPr="00C42333">
        <w:rPr>
          <w:rFonts w:ascii="Times New Roman" w:hAnsi="Times New Roman" w:cs="Times New Roman"/>
          <w:i/>
          <w:iCs/>
          <w:sz w:val="24"/>
          <w:szCs w:val="24"/>
        </w:rPr>
        <w:t xml:space="preserve">Organizational commitment and psychological attachment: The effects of compliance, identification, and internalization on prosocial </w:t>
      </w:r>
      <w:proofErr w:type="spellStart"/>
      <w:r w:rsidRPr="00C42333">
        <w:rPr>
          <w:rFonts w:ascii="Times New Roman" w:hAnsi="Times New Roman" w:cs="Times New Roman"/>
          <w:i/>
          <w:iCs/>
          <w:sz w:val="24"/>
          <w:szCs w:val="24"/>
        </w:rPr>
        <w:t>behavior</w:t>
      </w:r>
      <w:proofErr w:type="spellEnd"/>
      <w:r w:rsidRPr="00C42333">
        <w:rPr>
          <w:rFonts w:ascii="Times New Roman" w:hAnsi="Times New Roman" w:cs="Times New Roman"/>
          <w:sz w:val="24"/>
          <w:szCs w:val="24"/>
        </w:rPr>
        <w:t>. Journal of Applied Psychology, 71(3), 492–499.</w:t>
      </w:r>
    </w:p>
    <w:p w14:paraId="6036218F" w14:textId="77777777" w:rsidR="00C42333" w:rsidRPr="00C42333" w:rsidRDefault="00C42333" w:rsidP="00C42333">
      <w:pPr>
        <w:pStyle w:val="ListParagraph"/>
        <w:numPr>
          <w:ilvl w:val="0"/>
          <w:numId w:val="4"/>
        </w:numPr>
        <w:spacing w:line="360" w:lineRule="auto"/>
        <w:jc w:val="both"/>
        <w:rPr>
          <w:rFonts w:ascii="Times New Roman" w:hAnsi="Times New Roman" w:cs="Times New Roman"/>
          <w:sz w:val="24"/>
          <w:szCs w:val="24"/>
        </w:rPr>
      </w:pPr>
      <w:r w:rsidRPr="00C42333">
        <w:rPr>
          <w:rFonts w:ascii="Times New Roman" w:hAnsi="Times New Roman" w:cs="Times New Roman"/>
          <w:sz w:val="24"/>
          <w:szCs w:val="24"/>
        </w:rPr>
        <w:t xml:space="preserve">Reiche, B. S., Kraimer, M. L., &amp; </w:t>
      </w:r>
      <w:proofErr w:type="spellStart"/>
      <w:r w:rsidRPr="00C42333">
        <w:rPr>
          <w:rFonts w:ascii="Times New Roman" w:hAnsi="Times New Roman" w:cs="Times New Roman"/>
          <w:sz w:val="24"/>
          <w:szCs w:val="24"/>
        </w:rPr>
        <w:t>Harzing</w:t>
      </w:r>
      <w:proofErr w:type="spellEnd"/>
      <w:r w:rsidRPr="00C42333">
        <w:rPr>
          <w:rFonts w:ascii="Times New Roman" w:hAnsi="Times New Roman" w:cs="Times New Roman"/>
          <w:sz w:val="24"/>
          <w:szCs w:val="24"/>
        </w:rPr>
        <w:t xml:space="preserve">, A. W. (2011). </w:t>
      </w:r>
      <w:r w:rsidRPr="00C42333">
        <w:rPr>
          <w:rFonts w:ascii="Times New Roman" w:hAnsi="Times New Roman" w:cs="Times New Roman"/>
          <w:i/>
          <w:iCs/>
          <w:sz w:val="24"/>
          <w:szCs w:val="24"/>
        </w:rPr>
        <w:t>International assignments</w:t>
      </w:r>
      <w:r w:rsidRPr="00C42333">
        <w:rPr>
          <w:rFonts w:ascii="Times New Roman" w:hAnsi="Times New Roman" w:cs="Times New Roman"/>
          <w:sz w:val="24"/>
          <w:szCs w:val="24"/>
        </w:rPr>
        <w:t>. Journal of Management, 37(2), 299–334.</w:t>
      </w:r>
    </w:p>
    <w:p w14:paraId="17B266A9" w14:textId="77777777" w:rsidR="00C42333" w:rsidRPr="00C42333" w:rsidRDefault="00C42333" w:rsidP="00C42333">
      <w:pPr>
        <w:pStyle w:val="ListParagraph"/>
        <w:numPr>
          <w:ilvl w:val="0"/>
          <w:numId w:val="4"/>
        </w:numPr>
        <w:spacing w:line="360" w:lineRule="auto"/>
        <w:jc w:val="both"/>
        <w:rPr>
          <w:rFonts w:ascii="Times New Roman" w:hAnsi="Times New Roman" w:cs="Times New Roman"/>
          <w:sz w:val="24"/>
          <w:szCs w:val="24"/>
        </w:rPr>
      </w:pPr>
      <w:r w:rsidRPr="00C42333">
        <w:rPr>
          <w:rFonts w:ascii="Times New Roman" w:hAnsi="Times New Roman" w:cs="Times New Roman"/>
          <w:sz w:val="24"/>
          <w:szCs w:val="24"/>
        </w:rPr>
        <w:t xml:space="preserve">Steers, R. M. (1977). </w:t>
      </w:r>
      <w:r w:rsidRPr="00C42333">
        <w:rPr>
          <w:rFonts w:ascii="Times New Roman" w:hAnsi="Times New Roman" w:cs="Times New Roman"/>
          <w:i/>
          <w:iCs/>
          <w:sz w:val="24"/>
          <w:szCs w:val="24"/>
        </w:rPr>
        <w:t>Antecedents and outcomes of organizational commitment</w:t>
      </w:r>
      <w:r w:rsidRPr="00C42333">
        <w:rPr>
          <w:rFonts w:ascii="Times New Roman" w:hAnsi="Times New Roman" w:cs="Times New Roman"/>
          <w:sz w:val="24"/>
          <w:szCs w:val="24"/>
        </w:rPr>
        <w:t>. Administrative Science Quarterly, 22(1), 46–56.</w:t>
      </w:r>
    </w:p>
    <w:p w14:paraId="258694D8" w14:textId="77777777" w:rsidR="00C42333" w:rsidRPr="00C42333" w:rsidRDefault="00C42333" w:rsidP="00C42333">
      <w:pPr>
        <w:spacing w:line="360" w:lineRule="auto"/>
        <w:jc w:val="both"/>
        <w:rPr>
          <w:rFonts w:ascii="Times New Roman" w:hAnsi="Times New Roman" w:cs="Times New Roman"/>
          <w:sz w:val="24"/>
          <w:szCs w:val="24"/>
        </w:rPr>
      </w:pPr>
    </w:p>
    <w:p w14:paraId="39AC42A8" w14:textId="31D5DDED" w:rsidR="00C42333" w:rsidRPr="00E0601D" w:rsidRDefault="00C42333" w:rsidP="00E060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00C42333" w:rsidRPr="00E060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470BE"/>
    <w:multiLevelType w:val="hybridMultilevel"/>
    <w:tmpl w:val="0F7441F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5BF4265"/>
    <w:multiLevelType w:val="hybridMultilevel"/>
    <w:tmpl w:val="AAFE831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31664FD0"/>
    <w:multiLevelType w:val="hybridMultilevel"/>
    <w:tmpl w:val="39B2EC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3FB2894"/>
    <w:multiLevelType w:val="hybridMultilevel"/>
    <w:tmpl w:val="E2568B8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999967677">
    <w:abstractNumId w:val="3"/>
  </w:num>
  <w:num w:numId="2" w16cid:durableId="573399990">
    <w:abstractNumId w:val="0"/>
  </w:num>
  <w:num w:numId="3" w16cid:durableId="1868257453">
    <w:abstractNumId w:val="2"/>
  </w:num>
  <w:num w:numId="4" w16cid:durableId="1224177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750"/>
    <w:rsid w:val="0020187E"/>
    <w:rsid w:val="004A4750"/>
    <w:rsid w:val="007603C4"/>
    <w:rsid w:val="008F7F7B"/>
    <w:rsid w:val="00995851"/>
    <w:rsid w:val="00C42333"/>
    <w:rsid w:val="00E0601D"/>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3ABE3"/>
  <w15:chartTrackingRefBased/>
  <w15:docId w15:val="{C8ECBB56-9D8E-4D85-95A5-985474615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851"/>
  </w:style>
  <w:style w:type="paragraph" w:styleId="Heading1">
    <w:name w:val="heading 1"/>
    <w:basedOn w:val="Normal"/>
    <w:next w:val="Normal"/>
    <w:link w:val="Heading1Char"/>
    <w:uiPriority w:val="9"/>
    <w:qFormat/>
    <w:rsid w:val="004A47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47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47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47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47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47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7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7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7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7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47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47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47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47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47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7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7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750"/>
    <w:rPr>
      <w:rFonts w:eastAsiaTheme="majorEastAsia" w:cstheme="majorBidi"/>
      <w:color w:val="272727" w:themeColor="text1" w:themeTint="D8"/>
    </w:rPr>
  </w:style>
  <w:style w:type="paragraph" w:styleId="Title">
    <w:name w:val="Title"/>
    <w:basedOn w:val="Normal"/>
    <w:next w:val="Normal"/>
    <w:link w:val="TitleChar"/>
    <w:uiPriority w:val="10"/>
    <w:qFormat/>
    <w:rsid w:val="004A47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7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7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7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750"/>
    <w:pPr>
      <w:spacing w:before="160"/>
      <w:jc w:val="center"/>
    </w:pPr>
    <w:rPr>
      <w:i/>
      <w:iCs/>
      <w:color w:val="404040" w:themeColor="text1" w:themeTint="BF"/>
    </w:rPr>
  </w:style>
  <w:style w:type="character" w:customStyle="1" w:styleId="QuoteChar">
    <w:name w:val="Quote Char"/>
    <w:basedOn w:val="DefaultParagraphFont"/>
    <w:link w:val="Quote"/>
    <w:uiPriority w:val="29"/>
    <w:rsid w:val="004A4750"/>
    <w:rPr>
      <w:i/>
      <w:iCs/>
      <w:color w:val="404040" w:themeColor="text1" w:themeTint="BF"/>
    </w:rPr>
  </w:style>
  <w:style w:type="paragraph" w:styleId="ListParagraph">
    <w:name w:val="List Paragraph"/>
    <w:basedOn w:val="Normal"/>
    <w:uiPriority w:val="34"/>
    <w:qFormat/>
    <w:rsid w:val="004A4750"/>
    <w:pPr>
      <w:ind w:left="720"/>
      <w:contextualSpacing/>
    </w:pPr>
  </w:style>
  <w:style w:type="character" w:styleId="IntenseEmphasis">
    <w:name w:val="Intense Emphasis"/>
    <w:basedOn w:val="DefaultParagraphFont"/>
    <w:uiPriority w:val="21"/>
    <w:qFormat/>
    <w:rsid w:val="004A4750"/>
    <w:rPr>
      <w:i/>
      <w:iCs/>
      <w:color w:val="2F5496" w:themeColor="accent1" w:themeShade="BF"/>
    </w:rPr>
  </w:style>
  <w:style w:type="paragraph" w:styleId="IntenseQuote">
    <w:name w:val="Intense Quote"/>
    <w:basedOn w:val="Normal"/>
    <w:next w:val="Normal"/>
    <w:link w:val="IntenseQuoteChar"/>
    <w:uiPriority w:val="30"/>
    <w:qFormat/>
    <w:rsid w:val="004A47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4750"/>
    <w:rPr>
      <w:i/>
      <w:iCs/>
      <w:color w:val="2F5496" w:themeColor="accent1" w:themeShade="BF"/>
    </w:rPr>
  </w:style>
  <w:style w:type="character" w:styleId="IntenseReference">
    <w:name w:val="Intense Reference"/>
    <w:basedOn w:val="DefaultParagraphFont"/>
    <w:uiPriority w:val="32"/>
    <w:qFormat/>
    <w:rsid w:val="004A47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210310">
      <w:bodyDiv w:val="1"/>
      <w:marLeft w:val="0"/>
      <w:marRight w:val="0"/>
      <w:marTop w:val="0"/>
      <w:marBottom w:val="0"/>
      <w:divBdr>
        <w:top w:val="none" w:sz="0" w:space="0" w:color="auto"/>
        <w:left w:val="none" w:sz="0" w:space="0" w:color="auto"/>
        <w:bottom w:val="none" w:sz="0" w:space="0" w:color="auto"/>
        <w:right w:val="none" w:sz="0" w:space="0" w:color="auto"/>
      </w:divBdr>
    </w:div>
    <w:div w:id="169367828">
      <w:bodyDiv w:val="1"/>
      <w:marLeft w:val="0"/>
      <w:marRight w:val="0"/>
      <w:marTop w:val="0"/>
      <w:marBottom w:val="0"/>
      <w:divBdr>
        <w:top w:val="none" w:sz="0" w:space="0" w:color="auto"/>
        <w:left w:val="none" w:sz="0" w:space="0" w:color="auto"/>
        <w:bottom w:val="none" w:sz="0" w:space="0" w:color="auto"/>
        <w:right w:val="none" w:sz="0" w:space="0" w:color="auto"/>
      </w:divBdr>
    </w:div>
    <w:div w:id="324626878">
      <w:bodyDiv w:val="1"/>
      <w:marLeft w:val="0"/>
      <w:marRight w:val="0"/>
      <w:marTop w:val="0"/>
      <w:marBottom w:val="0"/>
      <w:divBdr>
        <w:top w:val="none" w:sz="0" w:space="0" w:color="auto"/>
        <w:left w:val="none" w:sz="0" w:space="0" w:color="auto"/>
        <w:bottom w:val="none" w:sz="0" w:space="0" w:color="auto"/>
        <w:right w:val="none" w:sz="0" w:space="0" w:color="auto"/>
      </w:divBdr>
    </w:div>
    <w:div w:id="346758528">
      <w:bodyDiv w:val="1"/>
      <w:marLeft w:val="0"/>
      <w:marRight w:val="0"/>
      <w:marTop w:val="0"/>
      <w:marBottom w:val="0"/>
      <w:divBdr>
        <w:top w:val="none" w:sz="0" w:space="0" w:color="auto"/>
        <w:left w:val="none" w:sz="0" w:space="0" w:color="auto"/>
        <w:bottom w:val="none" w:sz="0" w:space="0" w:color="auto"/>
        <w:right w:val="none" w:sz="0" w:space="0" w:color="auto"/>
      </w:divBdr>
    </w:div>
    <w:div w:id="356271658">
      <w:bodyDiv w:val="1"/>
      <w:marLeft w:val="0"/>
      <w:marRight w:val="0"/>
      <w:marTop w:val="0"/>
      <w:marBottom w:val="0"/>
      <w:divBdr>
        <w:top w:val="none" w:sz="0" w:space="0" w:color="auto"/>
        <w:left w:val="none" w:sz="0" w:space="0" w:color="auto"/>
        <w:bottom w:val="none" w:sz="0" w:space="0" w:color="auto"/>
        <w:right w:val="none" w:sz="0" w:space="0" w:color="auto"/>
      </w:divBdr>
    </w:div>
    <w:div w:id="409885065">
      <w:bodyDiv w:val="1"/>
      <w:marLeft w:val="0"/>
      <w:marRight w:val="0"/>
      <w:marTop w:val="0"/>
      <w:marBottom w:val="0"/>
      <w:divBdr>
        <w:top w:val="none" w:sz="0" w:space="0" w:color="auto"/>
        <w:left w:val="none" w:sz="0" w:space="0" w:color="auto"/>
        <w:bottom w:val="none" w:sz="0" w:space="0" w:color="auto"/>
        <w:right w:val="none" w:sz="0" w:space="0" w:color="auto"/>
      </w:divBdr>
    </w:div>
    <w:div w:id="464468280">
      <w:bodyDiv w:val="1"/>
      <w:marLeft w:val="0"/>
      <w:marRight w:val="0"/>
      <w:marTop w:val="0"/>
      <w:marBottom w:val="0"/>
      <w:divBdr>
        <w:top w:val="none" w:sz="0" w:space="0" w:color="auto"/>
        <w:left w:val="none" w:sz="0" w:space="0" w:color="auto"/>
        <w:bottom w:val="none" w:sz="0" w:space="0" w:color="auto"/>
        <w:right w:val="none" w:sz="0" w:space="0" w:color="auto"/>
      </w:divBdr>
    </w:div>
    <w:div w:id="503009760">
      <w:bodyDiv w:val="1"/>
      <w:marLeft w:val="0"/>
      <w:marRight w:val="0"/>
      <w:marTop w:val="0"/>
      <w:marBottom w:val="0"/>
      <w:divBdr>
        <w:top w:val="none" w:sz="0" w:space="0" w:color="auto"/>
        <w:left w:val="none" w:sz="0" w:space="0" w:color="auto"/>
        <w:bottom w:val="none" w:sz="0" w:space="0" w:color="auto"/>
        <w:right w:val="none" w:sz="0" w:space="0" w:color="auto"/>
      </w:divBdr>
    </w:div>
    <w:div w:id="508302088">
      <w:bodyDiv w:val="1"/>
      <w:marLeft w:val="0"/>
      <w:marRight w:val="0"/>
      <w:marTop w:val="0"/>
      <w:marBottom w:val="0"/>
      <w:divBdr>
        <w:top w:val="none" w:sz="0" w:space="0" w:color="auto"/>
        <w:left w:val="none" w:sz="0" w:space="0" w:color="auto"/>
        <w:bottom w:val="none" w:sz="0" w:space="0" w:color="auto"/>
        <w:right w:val="none" w:sz="0" w:space="0" w:color="auto"/>
      </w:divBdr>
    </w:div>
    <w:div w:id="533083780">
      <w:bodyDiv w:val="1"/>
      <w:marLeft w:val="0"/>
      <w:marRight w:val="0"/>
      <w:marTop w:val="0"/>
      <w:marBottom w:val="0"/>
      <w:divBdr>
        <w:top w:val="none" w:sz="0" w:space="0" w:color="auto"/>
        <w:left w:val="none" w:sz="0" w:space="0" w:color="auto"/>
        <w:bottom w:val="none" w:sz="0" w:space="0" w:color="auto"/>
        <w:right w:val="none" w:sz="0" w:space="0" w:color="auto"/>
      </w:divBdr>
    </w:div>
    <w:div w:id="601499173">
      <w:bodyDiv w:val="1"/>
      <w:marLeft w:val="0"/>
      <w:marRight w:val="0"/>
      <w:marTop w:val="0"/>
      <w:marBottom w:val="0"/>
      <w:divBdr>
        <w:top w:val="none" w:sz="0" w:space="0" w:color="auto"/>
        <w:left w:val="none" w:sz="0" w:space="0" w:color="auto"/>
        <w:bottom w:val="none" w:sz="0" w:space="0" w:color="auto"/>
        <w:right w:val="none" w:sz="0" w:space="0" w:color="auto"/>
      </w:divBdr>
    </w:div>
    <w:div w:id="678049540">
      <w:bodyDiv w:val="1"/>
      <w:marLeft w:val="0"/>
      <w:marRight w:val="0"/>
      <w:marTop w:val="0"/>
      <w:marBottom w:val="0"/>
      <w:divBdr>
        <w:top w:val="none" w:sz="0" w:space="0" w:color="auto"/>
        <w:left w:val="none" w:sz="0" w:space="0" w:color="auto"/>
        <w:bottom w:val="none" w:sz="0" w:space="0" w:color="auto"/>
        <w:right w:val="none" w:sz="0" w:space="0" w:color="auto"/>
      </w:divBdr>
    </w:div>
    <w:div w:id="732434893">
      <w:bodyDiv w:val="1"/>
      <w:marLeft w:val="0"/>
      <w:marRight w:val="0"/>
      <w:marTop w:val="0"/>
      <w:marBottom w:val="0"/>
      <w:divBdr>
        <w:top w:val="none" w:sz="0" w:space="0" w:color="auto"/>
        <w:left w:val="none" w:sz="0" w:space="0" w:color="auto"/>
        <w:bottom w:val="none" w:sz="0" w:space="0" w:color="auto"/>
        <w:right w:val="none" w:sz="0" w:space="0" w:color="auto"/>
      </w:divBdr>
    </w:div>
    <w:div w:id="997660354">
      <w:bodyDiv w:val="1"/>
      <w:marLeft w:val="0"/>
      <w:marRight w:val="0"/>
      <w:marTop w:val="0"/>
      <w:marBottom w:val="0"/>
      <w:divBdr>
        <w:top w:val="none" w:sz="0" w:space="0" w:color="auto"/>
        <w:left w:val="none" w:sz="0" w:space="0" w:color="auto"/>
        <w:bottom w:val="none" w:sz="0" w:space="0" w:color="auto"/>
        <w:right w:val="none" w:sz="0" w:space="0" w:color="auto"/>
      </w:divBdr>
    </w:div>
    <w:div w:id="1127236719">
      <w:bodyDiv w:val="1"/>
      <w:marLeft w:val="0"/>
      <w:marRight w:val="0"/>
      <w:marTop w:val="0"/>
      <w:marBottom w:val="0"/>
      <w:divBdr>
        <w:top w:val="none" w:sz="0" w:space="0" w:color="auto"/>
        <w:left w:val="none" w:sz="0" w:space="0" w:color="auto"/>
        <w:bottom w:val="none" w:sz="0" w:space="0" w:color="auto"/>
        <w:right w:val="none" w:sz="0" w:space="0" w:color="auto"/>
      </w:divBdr>
    </w:div>
    <w:div w:id="1252936621">
      <w:bodyDiv w:val="1"/>
      <w:marLeft w:val="0"/>
      <w:marRight w:val="0"/>
      <w:marTop w:val="0"/>
      <w:marBottom w:val="0"/>
      <w:divBdr>
        <w:top w:val="none" w:sz="0" w:space="0" w:color="auto"/>
        <w:left w:val="none" w:sz="0" w:space="0" w:color="auto"/>
        <w:bottom w:val="none" w:sz="0" w:space="0" w:color="auto"/>
        <w:right w:val="none" w:sz="0" w:space="0" w:color="auto"/>
      </w:divBdr>
    </w:div>
    <w:div w:id="1301960417">
      <w:bodyDiv w:val="1"/>
      <w:marLeft w:val="0"/>
      <w:marRight w:val="0"/>
      <w:marTop w:val="0"/>
      <w:marBottom w:val="0"/>
      <w:divBdr>
        <w:top w:val="none" w:sz="0" w:space="0" w:color="auto"/>
        <w:left w:val="none" w:sz="0" w:space="0" w:color="auto"/>
        <w:bottom w:val="none" w:sz="0" w:space="0" w:color="auto"/>
        <w:right w:val="none" w:sz="0" w:space="0" w:color="auto"/>
      </w:divBdr>
    </w:div>
    <w:div w:id="1416826498">
      <w:bodyDiv w:val="1"/>
      <w:marLeft w:val="0"/>
      <w:marRight w:val="0"/>
      <w:marTop w:val="0"/>
      <w:marBottom w:val="0"/>
      <w:divBdr>
        <w:top w:val="none" w:sz="0" w:space="0" w:color="auto"/>
        <w:left w:val="none" w:sz="0" w:space="0" w:color="auto"/>
        <w:bottom w:val="none" w:sz="0" w:space="0" w:color="auto"/>
        <w:right w:val="none" w:sz="0" w:space="0" w:color="auto"/>
      </w:divBdr>
    </w:div>
    <w:div w:id="1471048084">
      <w:bodyDiv w:val="1"/>
      <w:marLeft w:val="0"/>
      <w:marRight w:val="0"/>
      <w:marTop w:val="0"/>
      <w:marBottom w:val="0"/>
      <w:divBdr>
        <w:top w:val="none" w:sz="0" w:space="0" w:color="auto"/>
        <w:left w:val="none" w:sz="0" w:space="0" w:color="auto"/>
        <w:bottom w:val="none" w:sz="0" w:space="0" w:color="auto"/>
        <w:right w:val="none" w:sz="0" w:space="0" w:color="auto"/>
      </w:divBdr>
    </w:div>
    <w:div w:id="1493062368">
      <w:bodyDiv w:val="1"/>
      <w:marLeft w:val="0"/>
      <w:marRight w:val="0"/>
      <w:marTop w:val="0"/>
      <w:marBottom w:val="0"/>
      <w:divBdr>
        <w:top w:val="none" w:sz="0" w:space="0" w:color="auto"/>
        <w:left w:val="none" w:sz="0" w:space="0" w:color="auto"/>
        <w:bottom w:val="none" w:sz="0" w:space="0" w:color="auto"/>
        <w:right w:val="none" w:sz="0" w:space="0" w:color="auto"/>
      </w:divBdr>
    </w:div>
    <w:div w:id="1690835515">
      <w:bodyDiv w:val="1"/>
      <w:marLeft w:val="0"/>
      <w:marRight w:val="0"/>
      <w:marTop w:val="0"/>
      <w:marBottom w:val="0"/>
      <w:divBdr>
        <w:top w:val="none" w:sz="0" w:space="0" w:color="auto"/>
        <w:left w:val="none" w:sz="0" w:space="0" w:color="auto"/>
        <w:bottom w:val="none" w:sz="0" w:space="0" w:color="auto"/>
        <w:right w:val="none" w:sz="0" w:space="0" w:color="auto"/>
      </w:divBdr>
    </w:div>
    <w:div w:id="1776515771">
      <w:bodyDiv w:val="1"/>
      <w:marLeft w:val="0"/>
      <w:marRight w:val="0"/>
      <w:marTop w:val="0"/>
      <w:marBottom w:val="0"/>
      <w:divBdr>
        <w:top w:val="none" w:sz="0" w:space="0" w:color="auto"/>
        <w:left w:val="none" w:sz="0" w:space="0" w:color="auto"/>
        <w:bottom w:val="none" w:sz="0" w:space="0" w:color="auto"/>
        <w:right w:val="none" w:sz="0" w:space="0" w:color="auto"/>
      </w:divBdr>
    </w:div>
    <w:div w:id="1944729607">
      <w:bodyDiv w:val="1"/>
      <w:marLeft w:val="0"/>
      <w:marRight w:val="0"/>
      <w:marTop w:val="0"/>
      <w:marBottom w:val="0"/>
      <w:divBdr>
        <w:top w:val="none" w:sz="0" w:space="0" w:color="auto"/>
        <w:left w:val="none" w:sz="0" w:space="0" w:color="auto"/>
        <w:bottom w:val="none" w:sz="0" w:space="0" w:color="auto"/>
        <w:right w:val="none" w:sz="0" w:space="0" w:color="auto"/>
      </w:divBdr>
    </w:div>
    <w:div w:id="202054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16</Pages>
  <Words>4214</Words>
  <Characters>24025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2025-06-01T05:28:00Z</dcterms:created>
  <dcterms:modified xsi:type="dcterms:W3CDTF">2025-06-01T05:51:00Z</dcterms:modified>
</cp:coreProperties>
</file>