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E5A1E" w:rsidRDefault="00AE5A1E" w:rsidP="00AE5A1E">
      <w:pPr>
        <w:spacing w:line="360" w:lineRule="auto"/>
        <w:jc w:val="center"/>
        <w:rPr>
          <w:rFonts w:ascii="Times New Roman" w:hAnsi="Times New Roman" w:cs="Times New Roman"/>
          <w:b/>
          <w:sz w:val="56"/>
          <w:szCs w:val="56"/>
        </w:rPr>
      </w:pPr>
      <w:r w:rsidRPr="00AE5A1E">
        <w:rPr>
          <w:rFonts w:ascii="Times New Roman" w:hAnsi="Times New Roman" w:cs="Times New Roman"/>
          <w:b/>
          <w:sz w:val="56"/>
          <w:szCs w:val="56"/>
        </w:rPr>
        <w:t>To create a eco-friendly way of packing several varieties of foods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E5A1E" w:rsidRDefault="00AE5A1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A51E6" w:rsidRDefault="003A51E6" w:rsidP="00E53AA4">
      <w:pPr>
        <w:spacing w:line="360" w:lineRule="auto"/>
        <w:jc w:val="both"/>
        <w:rPr>
          <w:rFonts w:ascii="Times New Roman" w:hAnsi="Times New Roman" w:cs="Times New Roman"/>
          <w:b/>
          <w:sz w:val="52"/>
          <w:szCs w:val="52"/>
        </w:rPr>
      </w:pPr>
      <w:r w:rsidRPr="003A51E6">
        <w:rPr>
          <w:rFonts w:ascii="Times New Roman" w:hAnsi="Times New Roman" w:cs="Times New Roman"/>
          <w:sz w:val="32"/>
          <w:szCs w:val="32"/>
        </w:rPr>
        <w:t>Plastics have remained the material of choice, and after serving their intended purpose, a large proportion ends up in the environment where they persist for centuries. The packaging industry is the largest and growing consumer of synthetic plastics derived from fossil fuels. Food packaging plastics account for the bulk of plastic waste that are polluting the environment. Additionally, given the fact that petroleum reserves are finite and facing depletion, there is a need for the development of alternative materials that can serve the same purpose as conventional plastics. This paper reviews the function of packaging materials and highlights the future potential of the adoption of green materials. Biopolymers have emerged as promising green materials although they still have very low market uptake. Polylactic acid (PLA) has emerged as the most favoured bioplastic. However, it is limited by its high cost and some performance drawbacks. Blending with agricultural waste and natural fillers can result in green composites at low cost, low greenhouse gas emissions, and with improved performance for food packaging applications. The continent of Africa is proposed as a rich source of fibres and fillers that can be sustainably exploited to fabricate green composites in a bid to achieve a circular economy.</w:t>
      </w:r>
    </w:p>
    <w:p w:rsidR="00491919" w:rsidRDefault="00491919" w:rsidP="003A51E6">
      <w:pPr>
        <w:tabs>
          <w:tab w:val="left" w:pos="6210"/>
        </w:tabs>
        <w:spacing w:line="360" w:lineRule="auto"/>
        <w:jc w:val="both"/>
        <w:rPr>
          <w:rFonts w:ascii="Times New Roman" w:hAnsi="Times New Roman" w:cs="Times New Roman"/>
          <w:b/>
          <w:sz w:val="40"/>
          <w:szCs w:val="40"/>
        </w:rPr>
      </w:pPr>
    </w:p>
    <w:p w:rsidR="003A51E6" w:rsidRDefault="003A51E6" w:rsidP="003A51E6">
      <w:pPr>
        <w:tabs>
          <w:tab w:val="left" w:pos="6210"/>
        </w:tabs>
        <w:spacing w:line="360" w:lineRule="auto"/>
        <w:jc w:val="both"/>
        <w:rPr>
          <w:rFonts w:ascii="Times New Roman" w:hAnsi="Times New Roman" w:cs="Times New Roman"/>
          <w:sz w:val="40"/>
          <w:szCs w:val="40"/>
        </w:rPr>
      </w:pPr>
    </w:p>
    <w:p w:rsidR="006A300A" w:rsidRPr="003D03F4" w:rsidRDefault="006A300A" w:rsidP="003A51E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D78AC" w:rsidRDefault="00A97720" w:rsidP="009D78A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D78AC">
        <w:rPr>
          <w:rFonts w:ascii="Times New Roman" w:hAnsi="Times New Roman" w:cs="Times New Roman"/>
          <w:sz w:val="32"/>
          <w:szCs w:val="32"/>
          <w:lang w:val="en-IN"/>
        </w:rPr>
        <w:t xml:space="preserve">That existing knowledge on consumer responses to </w:t>
      </w:r>
      <w:r w:rsidRPr="009D78AC">
        <w:rPr>
          <w:rFonts w:ascii="Times New Roman" w:hAnsi="Times New Roman" w:cs="Times New Roman"/>
          <w:sz w:val="32"/>
          <w:szCs w:val="32"/>
          <w:lang w:val="en-IN"/>
        </w:rPr>
        <w:t xml:space="preserve">specific sustainable packaging solutions is limited. </w:t>
      </w:r>
    </w:p>
    <w:p w:rsidR="00000000" w:rsidRPr="009D78AC" w:rsidRDefault="00A97720" w:rsidP="009D78A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D78AC">
        <w:rPr>
          <w:rFonts w:ascii="Times New Roman" w:hAnsi="Times New Roman" w:cs="Times New Roman"/>
          <w:sz w:val="32"/>
          <w:szCs w:val="32"/>
          <w:lang w:val="en-IN"/>
        </w:rPr>
        <w:t xml:space="preserve">Similar to the biscuit packages, participants preferred the appearance of the existing meat package (M0) with comments such as “it looks neater than the others”. </w:t>
      </w:r>
    </w:p>
    <w:p w:rsidR="00000000" w:rsidRPr="009D78AC" w:rsidRDefault="00A97720" w:rsidP="009D78A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D78AC">
        <w:rPr>
          <w:rFonts w:ascii="Times New Roman" w:hAnsi="Times New Roman" w:cs="Times New Roman"/>
          <w:sz w:val="32"/>
          <w:szCs w:val="32"/>
          <w:lang w:val="en-IN"/>
        </w:rPr>
        <w:t>The findings from this study contribu</w:t>
      </w:r>
      <w:r w:rsidRPr="009D78AC">
        <w:rPr>
          <w:rFonts w:ascii="Times New Roman" w:hAnsi="Times New Roman" w:cs="Times New Roman"/>
          <w:sz w:val="32"/>
          <w:szCs w:val="32"/>
          <w:lang w:val="en-IN"/>
        </w:rPr>
        <w:t xml:space="preserve">te to existing knowledge on consumer opinions and reactions to sustainable packaging materials. This study further confirms that price and quality remain key driving forces for consumers’ purchase intent.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51B26" w:rsidRDefault="00A97720" w:rsidP="00E51B26">
      <w:pPr>
        <w:numPr>
          <w:ilvl w:val="0"/>
          <w:numId w:val="45"/>
        </w:numPr>
        <w:spacing w:line="360" w:lineRule="auto"/>
        <w:jc w:val="both"/>
        <w:rPr>
          <w:rFonts w:ascii="Times New Roman" w:hAnsi="Times New Roman" w:cs="Times New Roman"/>
          <w:bCs/>
          <w:sz w:val="32"/>
          <w:szCs w:val="32"/>
          <w:lang w:val="en-IN"/>
        </w:rPr>
      </w:pPr>
      <w:r w:rsidRPr="00E51B26">
        <w:rPr>
          <w:rFonts w:ascii="Times New Roman" w:hAnsi="Times New Roman" w:cs="Times New Roman"/>
          <w:bCs/>
          <w:sz w:val="32"/>
          <w:szCs w:val="32"/>
          <w:lang w:val="en-IN"/>
        </w:rPr>
        <w:t xml:space="preserve">Biopolymers are those polymers that are produced </w:t>
      </w:r>
      <w:r w:rsidRPr="00E51B26">
        <w:rPr>
          <w:rFonts w:ascii="Times New Roman" w:hAnsi="Times New Roman" w:cs="Times New Roman"/>
          <w:bCs/>
          <w:sz w:val="32"/>
          <w:szCs w:val="32"/>
          <w:lang w:val="en-IN"/>
        </w:rPr>
        <w:t>by living organisms or derived from biomass and after serving their purpose, they degrade within a reasonable time period without causing environmental waste problems.</w:t>
      </w:r>
    </w:p>
    <w:p w:rsidR="00000000" w:rsidRPr="00E51B26" w:rsidRDefault="00A97720" w:rsidP="00E51B26">
      <w:pPr>
        <w:numPr>
          <w:ilvl w:val="0"/>
          <w:numId w:val="45"/>
        </w:numPr>
        <w:spacing w:line="360" w:lineRule="auto"/>
        <w:jc w:val="both"/>
        <w:rPr>
          <w:rFonts w:ascii="Times New Roman" w:hAnsi="Times New Roman" w:cs="Times New Roman"/>
          <w:bCs/>
          <w:sz w:val="32"/>
          <w:szCs w:val="32"/>
          <w:lang w:val="en-IN"/>
        </w:rPr>
      </w:pPr>
      <w:r w:rsidRPr="00E51B26">
        <w:rPr>
          <w:rFonts w:ascii="Times New Roman" w:hAnsi="Times New Roman" w:cs="Times New Roman"/>
          <w:bCs/>
          <w:sz w:val="32"/>
          <w:szCs w:val="32"/>
          <w:lang w:val="en-IN"/>
        </w:rPr>
        <w:t>The adoption of biodegradable polymers for packaging can provide a solution to waste-di</w:t>
      </w:r>
      <w:r w:rsidRPr="00E51B26">
        <w:rPr>
          <w:rFonts w:ascii="Times New Roman" w:hAnsi="Times New Roman" w:cs="Times New Roman"/>
          <w:bCs/>
          <w:sz w:val="32"/>
          <w:szCs w:val="32"/>
          <w:lang w:val="en-IN"/>
        </w:rPr>
        <w:t>sposal problems associated with the traditional petroleum-derived packing materials as well as address the fact that crude oil and natural gas resources are limited.</w:t>
      </w:r>
    </w:p>
    <w:p w:rsidR="00F94960" w:rsidRPr="00E51B26" w:rsidRDefault="00A97720" w:rsidP="00E53AA4">
      <w:pPr>
        <w:numPr>
          <w:ilvl w:val="0"/>
          <w:numId w:val="45"/>
        </w:numPr>
        <w:spacing w:line="360" w:lineRule="auto"/>
        <w:jc w:val="both"/>
        <w:rPr>
          <w:rFonts w:ascii="Times New Roman" w:hAnsi="Times New Roman" w:cs="Times New Roman"/>
          <w:bCs/>
          <w:sz w:val="32"/>
          <w:szCs w:val="32"/>
          <w:lang w:val="en-IN"/>
        </w:rPr>
      </w:pPr>
      <w:r w:rsidRPr="00E51B26">
        <w:rPr>
          <w:rFonts w:ascii="Times New Roman" w:hAnsi="Times New Roman" w:cs="Times New Roman"/>
          <w:bCs/>
          <w:sz w:val="32"/>
          <w:szCs w:val="32"/>
          <w:lang w:val="en-IN"/>
        </w:rPr>
        <w:lastRenderedPageBreak/>
        <w:t>This problem is compounded by the use of natural fibre fillers which by nature are hydrop</w:t>
      </w:r>
      <w:r w:rsidRPr="00E51B26">
        <w:rPr>
          <w:rFonts w:ascii="Times New Roman" w:hAnsi="Times New Roman" w:cs="Times New Roman"/>
          <w:bCs/>
          <w:sz w:val="32"/>
          <w:szCs w:val="32"/>
          <w:lang w:val="en-IN"/>
        </w:rPr>
        <w:t>hilic particularly cellulosic fibres</w:t>
      </w:r>
      <w:r w:rsidR="00E51B26">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73FDA" w:rsidRPr="00473FDA" w:rsidRDefault="00473FDA" w:rsidP="00473FDA">
      <w:pPr>
        <w:pStyle w:val="NormalWeb"/>
        <w:numPr>
          <w:ilvl w:val="0"/>
          <w:numId w:val="46"/>
        </w:numPr>
        <w:spacing w:before="0" w:beforeAutospacing="0" w:after="0" w:afterAutospacing="0" w:line="360" w:lineRule="auto"/>
        <w:ind w:left="426"/>
        <w:jc w:val="both"/>
        <w:rPr>
          <w:sz w:val="32"/>
          <w:szCs w:val="32"/>
        </w:rPr>
      </w:pPr>
      <w:r w:rsidRPr="00473FDA">
        <w:rPr>
          <w:sz w:val="32"/>
          <w:szCs w:val="32"/>
        </w:rPr>
        <w:t>Natural fibres, including maize fibres, are renewable resources that have also been proposed for biodegradable/recyclable packaging.</w:t>
      </w:r>
    </w:p>
    <w:p w:rsidR="00473FDA" w:rsidRPr="00473FDA" w:rsidRDefault="00473FDA" w:rsidP="00473FDA">
      <w:pPr>
        <w:pStyle w:val="NormalWeb"/>
        <w:numPr>
          <w:ilvl w:val="0"/>
          <w:numId w:val="46"/>
        </w:numPr>
        <w:spacing w:before="0" w:beforeAutospacing="0" w:after="0" w:afterAutospacing="0" w:line="360" w:lineRule="auto"/>
        <w:ind w:left="426"/>
        <w:jc w:val="both"/>
        <w:rPr>
          <w:sz w:val="32"/>
          <w:szCs w:val="32"/>
        </w:rPr>
      </w:pPr>
      <w:r w:rsidRPr="00473FDA">
        <w:rPr>
          <w:sz w:val="32"/>
          <w:szCs w:val="32"/>
        </w:rPr>
        <w:t>Some researchers have proposed the optimisation of decisions related to industry chain integration and green supply chain management using multi-objective decision making approaches and Pareto-based analysis.</w:t>
      </w:r>
    </w:p>
    <w:p w:rsidR="003A5D44" w:rsidRPr="00473FDA" w:rsidRDefault="00473FDA" w:rsidP="00E53AA4">
      <w:pPr>
        <w:pStyle w:val="NormalWeb"/>
        <w:numPr>
          <w:ilvl w:val="0"/>
          <w:numId w:val="46"/>
        </w:numPr>
        <w:spacing w:before="0" w:beforeAutospacing="0" w:after="0" w:afterAutospacing="0" w:line="360" w:lineRule="auto"/>
        <w:ind w:left="426"/>
        <w:jc w:val="both"/>
        <w:rPr>
          <w:sz w:val="32"/>
          <w:szCs w:val="32"/>
        </w:rPr>
      </w:pPr>
      <w:r w:rsidRPr="00473FDA">
        <w:rPr>
          <w:sz w:val="32"/>
          <w:szCs w:val="32"/>
        </w:rPr>
        <w:t>A large number of agents with antimicrobial properties are being used for the purpose of inhibiting the growth of microorganisms that can lead to deterioration of foodstuffs.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77DC7" w:rsidRDefault="00A97720" w:rsidP="00777DC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77DC7">
        <w:rPr>
          <w:rFonts w:ascii="Times New Roman" w:eastAsia="AdvGulliv-R" w:hAnsi="Times New Roman" w:cs="Times New Roman"/>
          <w:bCs/>
          <w:sz w:val="32"/>
          <w:szCs w:val="32"/>
          <w:lang w:val="en-IN"/>
        </w:rPr>
        <w:t>Some improvements have been achieved, a balance among environmental concerns, economic considerations and product packaging pe</w:t>
      </w:r>
      <w:r w:rsidRPr="00777DC7">
        <w:rPr>
          <w:rFonts w:ascii="Times New Roman" w:eastAsia="AdvGulliv-R" w:hAnsi="Times New Roman" w:cs="Times New Roman"/>
          <w:bCs/>
          <w:sz w:val="32"/>
          <w:szCs w:val="32"/>
          <w:lang w:val="en-IN"/>
        </w:rPr>
        <w:t>rformance is also still lacking.</w:t>
      </w:r>
    </w:p>
    <w:p w:rsidR="00000000" w:rsidRPr="00777DC7" w:rsidRDefault="00A97720" w:rsidP="00777DC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77DC7">
        <w:rPr>
          <w:rFonts w:ascii="Times New Roman" w:eastAsia="AdvGulliv-R" w:hAnsi="Times New Roman" w:cs="Times New Roman"/>
          <w:bCs/>
          <w:sz w:val="32"/>
          <w:szCs w:val="32"/>
          <w:lang w:val="en-IN"/>
        </w:rPr>
        <w:t>There is still great need for basic and applied research to improve their performance, reduce cost and improve their ease of production.</w:t>
      </w:r>
    </w:p>
    <w:p w:rsidR="00000000" w:rsidRPr="00777DC7" w:rsidRDefault="00A97720" w:rsidP="00777DC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77DC7">
        <w:rPr>
          <w:rFonts w:ascii="Times New Roman" w:eastAsia="AdvGulliv-R" w:hAnsi="Times New Roman" w:cs="Times New Roman"/>
          <w:bCs/>
          <w:sz w:val="32"/>
          <w:szCs w:val="32"/>
          <w:lang w:val="en-IN"/>
        </w:rPr>
        <w:t>PLA possesses a wide range of desirable properties including biocompatibility, favou</w:t>
      </w:r>
      <w:r w:rsidRPr="00777DC7">
        <w:rPr>
          <w:rFonts w:ascii="Times New Roman" w:eastAsia="AdvGulliv-R" w:hAnsi="Times New Roman" w:cs="Times New Roman"/>
          <w:bCs/>
          <w:sz w:val="32"/>
          <w:szCs w:val="32"/>
          <w:lang w:val="en-IN"/>
        </w:rPr>
        <w:t>rable mechanical properties and it can be moulded into various shapes making its performance comparable to petroleum-based plastics.</w:t>
      </w:r>
      <w:r w:rsidRPr="00777DC7">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777DC7" w:rsidRDefault="00777DC7"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777DC7" w:rsidRDefault="00777DC7"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909D8" w:rsidP="002909D8">
      <w:pPr>
        <w:spacing w:after="0" w:line="360" w:lineRule="auto"/>
        <w:jc w:val="center"/>
        <w:rPr>
          <w:rFonts w:ascii="Times New Roman" w:hAnsi="Times New Roman" w:cs="Times New Roman"/>
        </w:rPr>
      </w:pPr>
      <w:r w:rsidRPr="002909D8">
        <w:rPr>
          <w:rFonts w:ascii="Times New Roman" w:hAnsi="Times New Roman" w:cs="Times New Roman"/>
        </w:rPr>
        <w:drawing>
          <wp:inline distT="0" distB="0" distL="0" distR="0">
            <wp:extent cx="5943600" cy="359410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35941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3A1FC8" w:rsidRPr="003A1FC8" w:rsidRDefault="003A1FC8" w:rsidP="003A1FC8">
      <w:pPr>
        <w:pStyle w:val="BodyText"/>
        <w:rPr>
          <w:bCs/>
          <w:sz w:val="32"/>
          <w:szCs w:val="32"/>
          <w:lang w:val="en-IN"/>
        </w:rPr>
      </w:pPr>
      <w:r w:rsidRPr="003A1FC8">
        <w:rPr>
          <w:b/>
          <w:sz w:val="36"/>
          <w:szCs w:val="36"/>
          <w:lang w:val="en-IN"/>
        </w:rPr>
        <w:t xml:space="preserve">    </w:t>
      </w:r>
      <w:r w:rsidRPr="003A1FC8">
        <w:rPr>
          <w:bCs/>
          <w:sz w:val="32"/>
          <w:szCs w:val="32"/>
          <w:lang w:val="en-IN"/>
        </w:rPr>
        <w:t>Petrochemical plastics have been used widely since their inception to date. They have remained a preferential choice in food packaging as a result of their properties and low cost of production. However, they have proven to have a grave impact on the environment and its habitants. The food packaging industry is a major consumer of plastic as well as a major source of plastic waste. This has created the need to adopt more sustainable means of food packaging. Using biodegradable polymers will exploit the utilisation of agricultural waste to alleviate the fossil fuel shortage, solve environmental issues involved when using petroleum-based plastics, as well as lead to a circular economy. The interaction between food and the packaging material during processing and storage is important, as are thermal, barrier, and mechanical properties.</w:t>
      </w:r>
      <w:r w:rsidRPr="003A1FC8">
        <w:rPr>
          <w:bCs/>
          <w:sz w:val="32"/>
          <w:szCs w:val="32"/>
        </w:rPr>
        <w:t xml:space="preserve"> </w:t>
      </w:r>
    </w:p>
    <w:p w:rsidR="003A51E6" w:rsidRDefault="003A51E6"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6E59A8" w:rsidRDefault="006E59A8" w:rsidP="009E62B1">
      <w:pPr>
        <w:pStyle w:val="BodyText"/>
        <w:jc w:val="center"/>
        <w:rPr>
          <w:b/>
          <w:iCs/>
          <w:sz w:val="28"/>
          <w:szCs w:val="28"/>
        </w:rPr>
      </w:pPr>
    </w:p>
    <w:p w:rsidR="006E59A8" w:rsidRDefault="006E59A8" w:rsidP="009E62B1">
      <w:pPr>
        <w:pStyle w:val="BodyText"/>
        <w:jc w:val="center"/>
        <w:rPr>
          <w:b/>
          <w:iCs/>
          <w:sz w:val="28"/>
          <w:szCs w:val="28"/>
        </w:rPr>
      </w:pPr>
    </w:p>
    <w:p w:rsidR="006E59A8" w:rsidRDefault="006E59A8" w:rsidP="009E62B1">
      <w:pPr>
        <w:pStyle w:val="BodyText"/>
        <w:jc w:val="center"/>
        <w:rPr>
          <w:b/>
          <w:iCs/>
          <w:sz w:val="28"/>
          <w:szCs w:val="28"/>
        </w:rPr>
      </w:pPr>
    </w:p>
    <w:p w:rsidR="006E59A8" w:rsidRDefault="006E59A8" w:rsidP="009E62B1">
      <w:pPr>
        <w:pStyle w:val="BodyText"/>
        <w:jc w:val="center"/>
        <w:rPr>
          <w:b/>
          <w:iCs/>
          <w:sz w:val="28"/>
          <w:szCs w:val="28"/>
        </w:rPr>
      </w:pPr>
    </w:p>
    <w:p w:rsidR="006E59A8" w:rsidRDefault="006E59A8" w:rsidP="009E62B1">
      <w:pPr>
        <w:pStyle w:val="BodyText"/>
        <w:jc w:val="center"/>
        <w:rPr>
          <w:b/>
          <w:iCs/>
          <w:sz w:val="28"/>
          <w:szCs w:val="28"/>
        </w:rPr>
      </w:pPr>
    </w:p>
    <w:p w:rsidR="006E59A8" w:rsidRDefault="006E59A8" w:rsidP="009E62B1">
      <w:pPr>
        <w:pStyle w:val="BodyText"/>
        <w:jc w:val="center"/>
        <w:rPr>
          <w:b/>
          <w:iCs/>
          <w:sz w:val="28"/>
          <w:szCs w:val="28"/>
        </w:rPr>
      </w:pPr>
    </w:p>
    <w:p w:rsidR="006E59A8" w:rsidRDefault="006E59A8" w:rsidP="009E62B1">
      <w:pPr>
        <w:pStyle w:val="BodyText"/>
        <w:jc w:val="center"/>
        <w:rPr>
          <w:b/>
          <w:iCs/>
          <w:sz w:val="28"/>
          <w:szCs w:val="28"/>
        </w:rPr>
      </w:pPr>
    </w:p>
    <w:p w:rsidR="006E59A8" w:rsidRDefault="006E59A8"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3422B0" w:rsidRDefault="00A97720" w:rsidP="003422B0">
      <w:pPr>
        <w:pStyle w:val="BodyText"/>
        <w:numPr>
          <w:ilvl w:val="0"/>
          <w:numId w:val="42"/>
        </w:numPr>
        <w:rPr>
          <w:sz w:val="32"/>
          <w:szCs w:val="32"/>
          <w:lang w:val="en-IN"/>
        </w:rPr>
      </w:pPr>
      <w:r w:rsidRPr="003422B0">
        <w:rPr>
          <w:sz w:val="32"/>
          <w:szCs w:val="32"/>
          <w:lang w:val="en-IN"/>
        </w:rPr>
        <w:t xml:space="preserve">1. Khalil, H.A.; Davoudpour, Y.; Saurabh, C.K.; Hossain, M.S.; Adnan, A.; Dungani, R.; Paridah, M.; Sarker, M.Z.I.; Fazita, M.N.; Syakir, M. A review on nanocellulosic fibres as new material </w:t>
      </w:r>
      <w:r w:rsidRPr="003422B0">
        <w:rPr>
          <w:sz w:val="32"/>
          <w:szCs w:val="32"/>
          <w:lang w:val="en-IN"/>
        </w:rPr>
        <w:t xml:space="preserve">for sustainable packaging: Process and applications. Renew. Sustain. Energy Rev. 2016, 64, 823–836. </w:t>
      </w:r>
    </w:p>
    <w:p w:rsidR="00000000" w:rsidRPr="003422B0" w:rsidRDefault="00A97720" w:rsidP="003422B0">
      <w:pPr>
        <w:pStyle w:val="BodyText"/>
        <w:numPr>
          <w:ilvl w:val="0"/>
          <w:numId w:val="42"/>
        </w:numPr>
        <w:rPr>
          <w:sz w:val="32"/>
          <w:szCs w:val="32"/>
          <w:lang w:val="en-IN"/>
        </w:rPr>
      </w:pPr>
      <w:r w:rsidRPr="003422B0">
        <w:rPr>
          <w:sz w:val="32"/>
          <w:szCs w:val="32"/>
          <w:lang w:val="en-IN"/>
        </w:rPr>
        <w:t>2. Nurul, M.F.; Jayaraman, K.; Bhattacharyya, D.; Mohamad, M.H.; Saurabh, C.K.; Hussin, M.H.; HPS, A.K. Green composites made of bamboo fabric and poly (l</w:t>
      </w:r>
      <w:r w:rsidRPr="003422B0">
        <w:rPr>
          <w:sz w:val="32"/>
          <w:szCs w:val="32"/>
          <w:lang w:val="en-IN"/>
        </w:rPr>
        <w:t xml:space="preserve">actic) acid for packaging applications—A review. Materials 2016, 9, 435. </w:t>
      </w:r>
    </w:p>
    <w:p w:rsidR="00000000" w:rsidRPr="003422B0" w:rsidRDefault="00A97720" w:rsidP="003422B0">
      <w:pPr>
        <w:pStyle w:val="BodyText"/>
        <w:numPr>
          <w:ilvl w:val="0"/>
          <w:numId w:val="42"/>
        </w:numPr>
        <w:rPr>
          <w:sz w:val="32"/>
          <w:szCs w:val="32"/>
          <w:lang w:val="en-IN"/>
        </w:rPr>
      </w:pPr>
      <w:r w:rsidRPr="003422B0">
        <w:rPr>
          <w:sz w:val="32"/>
          <w:szCs w:val="32"/>
          <w:lang w:val="en-IN"/>
        </w:rPr>
        <w:t>3. Attaran, S.A.; Hassan, A.; Wahit, M.U. Materials for food packaging applications based on bio-based polymer nanocomposites: A review. J. Thermoplast. Compos. Mater. 2015, 30, 143</w:t>
      </w:r>
      <w:r w:rsidRPr="003422B0">
        <w:rPr>
          <w:sz w:val="32"/>
          <w:szCs w:val="32"/>
          <w:lang w:val="en-IN"/>
        </w:rPr>
        <w:t xml:space="preserve">–173. </w:t>
      </w:r>
    </w:p>
    <w:p w:rsidR="00000000" w:rsidRPr="003422B0" w:rsidRDefault="00A97720" w:rsidP="003422B0">
      <w:pPr>
        <w:pStyle w:val="BodyText"/>
        <w:numPr>
          <w:ilvl w:val="0"/>
          <w:numId w:val="42"/>
        </w:numPr>
        <w:rPr>
          <w:sz w:val="32"/>
          <w:szCs w:val="32"/>
          <w:lang w:val="en-IN"/>
        </w:rPr>
      </w:pPr>
      <w:r w:rsidRPr="003422B0">
        <w:rPr>
          <w:sz w:val="32"/>
          <w:szCs w:val="32"/>
          <w:lang w:val="en-IN"/>
        </w:rPr>
        <w:t>4. Cazón, P.; Velazquez, G.; Ramírez, J.A.; Vázquez, M. Polysaccharide-based films and coatings for food packaging: A review. Food Hydrocoll. 2017, 68, 136–148.</w:t>
      </w:r>
    </w:p>
    <w:p w:rsidR="00000000" w:rsidRPr="003422B0" w:rsidRDefault="00A97720" w:rsidP="003422B0">
      <w:pPr>
        <w:pStyle w:val="BodyText"/>
        <w:numPr>
          <w:ilvl w:val="0"/>
          <w:numId w:val="42"/>
        </w:numPr>
        <w:rPr>
          <w:sz w:val="32"/>
          <w:szCs w:val="32"/>
          <w:lang w:val="en-IN"/>
        </w:rPr>
      </w:pPr>
      <w:r w:rsidRPr="003422B0">
        <w:rPr>
          <w:sz w:val="32"/>
          <w:szCs w:val="32"/>
          <w:lang w:val="en-IN"/>
        </w:rPr>
        <w:t>5. Chiellini, E. Environmentally Compatible Food Packaging; Woodhead Publishing: Cambr</w:t>
      </w:r>
      <w:r w:rsidRPr="003422B0">
        <w:rPr>
          <w:sz w:val="32"/>
          <w:szCs w:val="32"/>
          <w:lang w:val="en-IN"/>
        </w:rPr>
        <w:t>idge, UK, 2008.</w:t>
      </w:r>
      <w:r w:rsidRPr="003422B0">
        <w:rPr>
          <w:sz w:val="32"/>
          <w:szCs w:val="32"/>
        </w:rPr>
        <w:t xml:space="preserve"> </w:t>
      </w:r>
    </w:p>
    <w:p w:rsidR="00000000" w:rsidRPr="003422B0" w:rsidRDefault="00A97720" w:rsidP="003422B0">
      <w:pPr>
        <w:pStyle w:val="BodyText"/>
        <w:numPr>
          <w:ilvl w:val="0"/>
          <w:numId w:val="42"/>
        </w:numPr>
        <w:rPr>
          <w:sz w:val="32"/>
          <w:szCs w:val="32"/>
          <w:lang w:val="en-IN"/>
        </w:rPr>
      </w:pPr>
      <w:r w:rsidRPr="003422B0">
        <w:rPr>
          <w:sz w:val="32"/>
          <w:szCs w:val="32"/>
          <w:lang w:val="en-IN"/>
        </w:rPr>
        <w:t xml:space="preserve">6. Ignatyev, I.A.; Thielemans, W.; Vander Beke, B. Recycling of polymers: A review. ChemSusChem 2014, 7, 1579–1593. </w:t>
      </w:r>
    </w:p>
    <w:p w:rsidR="00000000" w:rsidRPr="003422B0" w:rsidRDefault="00A97720" w:rsidP="003422B0">
      <w:pPr>
        <w:pStyle w:val="BodyText"/>
        <w:numPr>
          <w:ilvl w:val="0"/>
          <w:numId w:val="42"/>
        </w:numPr>
        <w:rPr>
          <w:sz w:val="32"/>
          <w:szCs w:val="32"/>
          <w:lang w:val="en-IN"/>
        </w:rPr>
      </w:pPr>
      <w:r w:rsidRPr="003422B0">
        <w:rPr>
          <w:sz w:val="32"/>
          <w:szCs w:val="32"/>
          <w:lang w:val="en-IN"/>
        </w:rPr>
        <w:lastRenderedPageBreak/>
        <w:t>7. Muller, J.; Martínez, C.G.; Chiralt, A. Combination of poly (lactic) acid and starch for biodegradable food packaging</w:t>
      </w:r>
      <w:r w:rsidRPr="003422B0">
        <w:rPr>
          <w:sz w:val="32"/>
          <w:szCs w:val="32"/>
          <w:lang w:val="en-IN"/>
        </w:rPr>
        <w:t xml:space="preserve">. Materials 2017, 10, 952.  </w:t>
      </w:r>
    </w:p>
    <w:p w:rsidR="00000000" w:rsidRPr="003422B0" w:rsidRDefault="00A97720" w:rsidP="003422B0">
      <w:pPr>
        <w:pStyle w:val="BodyText"/>
        <w:numPr>
          <w:ilvl w:val="0"/>
          <w:numId w:val="42"/>
        </w:numPr>
        <w:rPr>
          <w:sz w:val="32"/>
          <w:szCs w:val="32"/>
          <w:lang w:val="en-IN"/>
        </w:rPr>
      </w:pPr>
      <w:r w:rsidRPr="003422B0">
        <w:rPr>
          <w:sz w:val="32"/>
          <w:szCs w:val="32"/>
          <w:lang w:val="en-IN"/>
        </w:rPr>
        <w:t xml:space="preserve">8. Piergiovanni, L.; Limbo, S. Food Packaging Materials; Springer: Basel, Switzerland, 2016. </w:t>
      </w:r>
    </w:p>
    <w:p w:rsidR="00000000" w:rsidRPr="003422B0" w:rsidRDefault="00A97720" w:rsidP="003422B0">
      <w:pPr>
        <w:pStyle w:val="BodyText"/>
        <w:numPr>
          <w:ilvl w:val="0"/>
          <w:numId w:val="42"/>
        </w:numPr>
        <w:rPr>
          <w:sz w:val="32"/>
          <w:szCs w:val="32"/>
          <w:lang w:val="en-IN"/>
        </w:rPr>
      </w:pPr>
      <w:r w:rsidRPr="003422B0">
        <w:rPr>
          <w:sz w:val="32"/>
          <w:szCs w:val="32"/>
          <w:lang w:val="en-IN"/>
        </w:rPr>
        <w:t>9. De Kock, L.; Sadan, Z.; Arp, R.; Upadhyaya, P. A circular economy response to plastic pollution: Current policy landscape and co</w:t>
      </w:r>
      <w:r w:rsidRPr="003422B0">
        <w:rPr>
          <w:sz w:val="32"/>
          <w:szCs w:val="32"/>
          <w:lang w:val="en-IN"/>
        </w:rPr>
        <w:t xml:space="preserve">nsumer perception. S. Afr. J. Sci. 2020, 116, 1–2. </w:t>
      </w:r>
    </w:p>
    <w:p w:rsidR="00000000" w:rsidRPr="003422B0" w:rsidRDefault="00A97720" w:rsidP="003422B0">
      <w:pPr>
        <w:pStyle w:val="BodyText"/>
        <w:numPr>
          <w:ilvl w:val="0"/>
          <w:numId w:val="42"/>
        </w:numPr>
        <w:rPr>
          <w:sz w:val="32"/>
          <w:szCs w:val="32"/>
          <w:lang w:val="en-IN"/>
        </w:rPr>
      </w:pPr>
      <w:r w:rsidRPr="003422B0">
        <w:rPr>
          <w:sz w:val="32"/>
          <w:szCs w:val="32"/>
          <w:lang w:val="en-IN"/>
        </w:rPr>
        <w:t xml:space="preserve">10. Muncke, J. Chemical Migration from Food Packaging to Food. In Reference Module in Food Science; Elsevier: Amsterdam, The Netherlands, 2016; p. 285.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7720" w:rsidRDefault="00A97720" w:rsidP="003654DF">
      <w:pPr>
        <w:spacing w:after="0" w:line="240" w:lineRule="auto"/>
      </w:pPr>
      <w:r>
        <w:separator/>
      </w:r>
    </w:p>
  </w:endnote>
  <w:endnote w:type="continuationSeparator" w:id="1">
    <w:p w:rsidR="00A97720" w:rsidRDefault="00A9772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7720" w:rsidRDefault="00A97720" w:rsidP="003654DF">
      <w:pPr>
        <w:spacing w:after="0" w:line="240" w:lineRule="auto"/>
      </w:pPr>
      <w:r>
        <w:separator/>
      </w:r>
    </w:p>
  </w:footnote>
  <w:footnote w:type="continuationSeparator" w:id="1">
    <w:p w:rsidR="00A97720" w:rsidRDefault="00A9772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61A3C">
        <w:pPr>
          <w:pStyle w:val="Header"/>
          <w:jc w:val="right"/>
        </w:pPr>
        <w:fldSimple w:instr=" PAGE   \* MERGEFORMAT ">
          <w:r w:rsidR="002909D8">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2C1DF6"/>
    <w:multiLevelType w:val="hybridMultilevel"/>
    <w:tmpl w:val="3544C0C0"/>
    <w:lvl w:ilvl="0" w:tplc="423ECFE6">
      <w:start w:val="1"/>
      <w:numFmt w:val="bullet"/>
      <w:lvlText w:val=""/>
      <w:lvlJc w:val="left"/>
      <w:pPr>
        <w:tabs>
          <w:tab w:val="num" w:pos="720"/>
        </w:tabs>
        <w:ind w:left="720" w:hanging="360"/>
      </w:pPr>
      <w:rPr>
        <w:rFonts w:ascii="Wingdings 2" w:hAnsi="Wingdings 2" w:hint="default"/>
      </w:rPr>
    </w:lvl>
    <w:lvl w:ilvl="1" w:tplc="23A49340" w:tentative="1">
      <w:start w:val="1"/>
      <w:numFmt w:val="bullet"/>
      <w:lvlText w:val=""/>
      <w:lvlJc w:val="left"/>
      <w:pPr>
        <w:tabs>
          <w:tab w:val="num" w:pos="1440"/>
        </w:tabs>
        <w:ind w:left="1440" w:hanging="360"/>
      </w:pPr>
      <w:rPr>
        <w:rFonts w:ascii="Wingdings 2" w:hAnsi="Wingdings 2" w:hint="default"/>
      </w:rPr>
    </w:lvl>
    <w:lvl w:ilvl="2" w:tplc="81ECD4B6" w:tentative="1">
      <w:start w:val="1"/>
      <w:numFmt w:val="bullet"/>
      <w:lvlText w:val=""/>
      <w:lvlJc w:val="left"/>
      <w:pPr>
        <w:tabs>
          <w:tab w:val="num" w:pos="2160"/>
        </w:tabs>
        <w:ind w:left="2160" w:hanging="360"/>
      </w:pPr>
      <w:rPr>
        <w:rFonts w:ascii="Wingdings 2" w:hAnsi="Wingdings 2" w:hint="default"/>
      </w:rPr>
    </w:lvl>
    <w:lvl w:ilvl="3" w:tplc="DCEE2E9C" w:tentative="1">
      <w:start w:val="1"/>
      <w:numFmt w:val="bullet"/>
      <w:lvlText w:val=""/>
      <w:lvlJc w:val="left"/>
      <w:pPr>
        <w:tabs>
          <w:tab w:val="num" w:pos="2880"/>
        </w:tabs>
        <w:ind w:left="2880" w:hanging="360"/>
      </w:pPr>
      <w:rPr>
        <w:rFonts w:ascii="Wingdings 2" w:hAnsi="Wingdings 2" w:hint="default"/>
      </w:rPr>
    </w:lvl>
    <w:lvl w:ilvl="4" w:tplc="9B14E328" w:tentative="1">
      <w:start w:val="1"/>
      <w:numFmt w:val="bullet"/>
      <w:lvlText w:val=""/>
      <w:lvlJc w:val="left"/>
      <w:pPr>
        <w:tabs>
          <w:tab w:val="num" w:pos="3600"/>
        </w:tabs>
        <w:ind w:left="3600" w:hanging="360"/>
      </w:pPr>
      <w:rPr>
        <w:rFonts w:ascii="Wingdings 2" w:hAnsi="Wingdings 2" w:hint="default"/>
      </w:rPr>
    </w:lvl>
    <w:lvl w:ilvl="5" w:tplc="119E58CC" w:tentative="1">
      <w:start w:val="1"/>
      <w:numFmt w:val="bullet"/>
      <w:lvlText w:val=""/>
      <w:lvlJc w:val="left"/>
      <w:pPr>
        <w:tabs>
          <w:tab w:val="num" w:pos="4320"/>
        </w:tabs>
        <w:ind w:left="4320" w:hanging="360"/>
      </w:pPr>
      <w:rPr>
        <w:rFonts w:ascii="Wingdings 2" w:hAnsi="Wingdings 2" w:hint="default"/>
      </w:rPr>
    </w:lvl>
    <w:lvl w:ilvl="6" w:tplc="14229B38" w:tentative="1">
      <w:start w:val="1"/>
      <w:numFmt w:val="bullet"/>
      <w:lvlText w:val=""/>
      <w:lvlJc w:val="left"/>
      <w:pPr>
        <w:tabs>
          <w:tab w:val="num" w:pos="5040"/>
        </w:tabs>
        <w:ind w:left="5040" w:hanging="360"/>
      </w:pPr>
      <w:rPr>
        <w:rFonts w:ascii="Wingdings 2" w:hAnsi="Wingdings 2" w:hint="default"/>
      </w:rPr>
    </w:lvl>
    <w:lvl w:ilvl="7" w:tplc="419678CE" w:tentative="1">
      <w:start w:val="1"/>
      <w:numFmt w:val="bullet"/>
      <w:lvlText w:val=""/>
      <w:lvlJc w:val="left"/>
      <w:pPr>
        <w:tabs>
          <w:tab w:val="num" w:pos="5760"/>
        </w:tabs>
        <w:ind w:left="5760" w:hanging="360"/>
      </w:pPr>
      <w:rPr>
        <w:rFonts w:ascii="Wingdings 2" w:hAnsi="Wingdings 2" w:hint="default"/>
      </w:rPr>
    </w:lvl>
    <w:lvl w:ilvl="8" w:tplc="004CC0A4"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54A32D8"/>
    <w:multiLevelType w:val="hybridMultilevel"/>
    <w:tmpl w:val="6F94EE3E"/>
    <w:lvl w:ilvl="0" w:tplc="80E44C26">
      <w:start w:val="1"/>
      <w:numFmt w:val="bullet"/>
      <w:lvlText w:val=""/>
      <w:lvlJc w:val="left"/>
      <w:pPr>
        <w:tabs>
          <w:tab w:val="num" w:pos="720"/>
        </w:tabs>
        <w:ind w:left="720" w:hanging="360"/>
      </w:pPr>
      <w:rPr>
        <w:rFonts w:ascii="Wingdings 2" w:hAnsi="Wingdings 2" w:hint="default"/>
      </w:rPr>
    </w:lvl>
    <w:lvl w:ilvl="1" w:tplc="C9C63252" w:tentative="1">
      <w:start w:val="1"/>
      <w:numFmt w:val="bullet"/>
      <w:lvlText w:val=""/>
      <w:lvlJc w:val="left"/>
      <w:pPr>
        <w:tabs>
          <w:tab w:val="num" w:pos="1440"/>
        </w:tabs>
        <w:ind w:left="1440" w:hanging="360"/>
      </w:pPr>
      <w:rPr>
        <w:rFonts w:ascii="Wingdings 2" w:hAnsi="Wingdings 2" w:hint="default"/>
      </w:rPr>
    </w:lvl>
    <w:lvl w:ilvl="2" w:tplc="CDCA722C" w:tentative="1">
      <w:start w:val="1"/>
      <w:numFmt w:val="bullet"/>
      <w:lvlText w:val=""/>
      <w:lvlJc w:val="left"/>
      <w:pPr>
        <w:tabs>
          <w:tab w:val="num" w:pos="2160"/>
        </w:tabs>
        <w:ind w:left="2160" w:hanging="360"/>
      </w:pPr>
      <w:rPr>
        <w:rFonts w:ascii="Wingdings 2" w:hAnsi="Wingdings 2" w:hint="default"/>
      </w:rPr>
    </w:lvl>
    <w:lvl w:ilvl="3" w:tplc="6EB45156" w:tentative="1">
      <w:start w:val="1"/>
      <w:numFmt w:val="bullet"/>
      <w:lvlText w:val=""/>
      <w:lvlJc w:val="left"/>
      <w:pPr>
        <w:tabs>
          <w:tab w:val="num" w:pos="2880"/>
        </w:tabs>
        <w:ind w:left="2880" w:hanging="360"/>
      </w:pPr>
      <w:rPr>
        <w:rFonts w:ascii="Wingdings 2" w:hAnsi="Wingdings 2" w:hint="default"/>
      </w:rPr>
    </w:lvl>
    <w:lvl w:ilvl="4" w:tplc="C51C7902" w:tentative="1">
      <w:start w:val="1"/>
      <w:numFmt w:val="bullet"/>
      <w:lvlText w:val=""/>
      <w:lvlJc w:val="left"/>
      <w:pPr>
        <w:tabs>
          <w:tab w:val="num" w:pos="3600"/>
        </w:tabs>
        <w:ind w:left="3600" w:hanging="360"/>
      </w:pPr>
      <w:rPr>
        <w:rFonts w:ascii="Wingdings 2" w:hAnsi="Wingdings 2" w:hint="default"/>
      </w:rPr>
    </w:lvl>
    <w:lvl w:ilvl="5" w:tplc="E870BE2A" w:tentative="1">
      <w:start w:val="1"/>
      <w:numFmt w:val="bullet"/>
      <w:lvlText w:val=""/>
      <w:lvlJc w:val="left"/>
      <w:pPr>
        <w:tabs>
          <w:tab w:val="num" w:pos="4320"/>
        </w:tabs>
        <w:ind w:left="4320" w:hanging="360"/>
      </w:pPr>
      <w:rPr>
        <w:rFonts w:ascii="Wingdings 2" w:hAnsi="Wingdings 2" w:hint="default"/>
      </w:rPr>
    </w:lvl>
    <w:lvl w:ilvl="6" w:tplc="FEB65954" w:tentative="1">
      <w:start w:val="1"/>
      <w:numFmt w:val="bullet"/>
      <w:lvlText w:val=""/>
      <w:lvlJc w:val="left"/>
      <w:pPr>
        <w:tabs>
          <w:tab w:val="num" w:pos="5040"/>
        </w:tabs>
        <w:ind w:left="5040" w:hanging="360"/>
      </w:pPr>
      <w:rPr>
        <w:rFonts w:ascii="Wingdings 2" w:hAnsi="Wingdings 2" w:hint="default"/>
      </w:rPr>
    </w:lvl>
    <w:lvl w:ilvl="7" w:tplc="69323380" w:tentative="1">
      <w:start w:val="1"/>
      <w:numFmt w:val="bullet"/>
      <w:lvlText w:val=""/>
      <w:lvlJc w:val="left"/>
      <w:pPr>
        <w:tabs>
          <w:tab w:val="num" w:pos="5760"/>
        </w:tabs>
        <w:ind w:left="5760" w:hanging="360"/>
      </w:pPr>
      <w:rPr>
        <w:rFonts w:ascii="Wingdings 2" w:hAnsi="Wingdings 2" w:hint="default"/>
      </w:rPr>
    </w:lvl>
    <w:lvl w:ilvl="8" w:tplc="130631B4"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A937F81"/>
    <w:multiLevelType w:val="hybridMultilevel"/>
    <w:tmpl w:val="A636F852"/>
    <w:lvl w:ilvl="0" w:tplc="27AC59E8">
      <w:start w:val="1"/>
      <w:numFmt w:val="bullet"/>
      <w:lvlText w:val=""/>
      <w:lvlJc w:val="left"/>
      <w:pPr>
        <w:tabs>
          <w:tab w:val="num" w:pos="720"/>
        </w:tabs>
        <w:ind w:left="720" w:hanging="360"/>
      </w:pPr>
      <w:rPr>
        <w:rFonts w:ascii="Wingdings 2" w:hAnsi="Wingdings 2" w:hint="default"/>
      </w:rPr>
    </w:lvl>
    <w:lvl w:ilvl="1" w:tplc="6D328B1E" w:tentative="1">
      <w:start w:val="1"/>
      <w:numFmt w:val="bullet"/>
      <w:lvlText w:val=""/>
      <w:lvlJc w:val="left"/>
      <w:pPr>
        <w:tabs>
          <w:tab w:val="num" w:pos="1440"/>
        </w:tabs>
        <w:ind w:left="1440" w:hanging="360"/>
      </w:pPr>
      <w:rPr>
        <w:rFonts w:ascii="Wingdings 2" w:hAnsi="Wingdings 2" w:hint="default"/>
      </w:rPr>
    </w:lvl>
    <w:lvl w:ilvl="2" w:tplc="A31AAB6C" w:tentative="1">
      <w:start w:val="1"/>
      <w:numFmt w:val="bullet"/>
      <w:lvlText w:val=""/>
      <w:lvlJc w:val="left"/>
      <w:pPr>
        <w:tabs>
          <w:tab w:val="num" w:pos="2160"/>
        </w:tabs>
        <w:ind w:left="2160" w:hanging="360"/>
      </w:pPr>
      <w:rPr>
        <w:rFonts w:ascii="Wingdings 2" w:hAnsi="Wingdings 2" w:hint="default"/>
      </w:rPr>
    </w:lvl>
    <w:lvl w:ilvl="3" w:tplc="FFC6F172" w:tentative="1">
      <w:start w:val="1"/>
      <w:numFmt w:val="bullet"/>
      <w:lvlText w:val=""/>
      <w:lvlJc w:val="left"/>
      <w:pPr>
        <w:tabs>
          <w:tab w:val="num" w:pos="2880"/>
        </w:tabs>
        <w:ind w:left="2880" w:hanging="360"/>
      </w:pPr>
      <w:rPr>
        <w:rFonts w:ascii="Wingdings 2" w:hAnsi="Wingdings 2" w:hint="default"/>
      </w:rPr>
    </w:lvl>
    <w:lvl w:ilvl="4" w:tplc="5130FBC6" w:tentative="1">
      <w:start w:val="1"/>
      <w:numFmt w:val="bullet"/>
      <w:lvlText w:val=""/>
      <w:lvlJc w:val="left"/>
      <w:pPr>
        <w:tabs>
          <w:tab w:val="num" w:pos="3600"/>
        </w:tabs>
        <w:ind w:left="3600" w:hanging="360"/>
      </w:pPr>
      <w:rPr>
        <w:rFonts w:ascii="Wingdings 2" w:hAnsi="Wingdings 2" w:hint="default"/>
      </w:rPr>
    </w:lvl>
    <w:lvl w:ilvl="5" w:tplc="97CE33A4" w:tentative="1">
      <w:start w:val="1"/>
      <w:numFmt w:val="bullet"/>
      <w:lvlText w:val=""/>
      <w:lvlJc w:val="left"/>
      <w:pPr>
        <w:tabs>
          <w:tab w:val="num" w:pos="4320"/>
        </w:tabs>
        <w:ind w:left="4320" w:hanging="360"/>
      </w:pPr>
      <w:rPr>
        <w:rFonts w:ascii="Wingdings 2" w:hAnsi="Wingdings 2" w:hint="default"/>
      </w:rPr>
    </w:lvl>
    <w:lvl w:ilvl="6" w:tplc="8F8EA826" w:tentative="1">
      <w:start w:val="1"/>
      <w:numFmt w:val="bullet"/>
      <w:lvlText w:val=""/>
      <w:lvlJc w:val="left"/>
      <w:pPr>
        <w:tabs>
          <w:tab w:val="num" w:pos="5040"/>
        </w:tabs>
        <w:ind w:left="5040" w:hanging="360"/>
      </w:pPr>
      <w:rPr>
        <w:rFonts w:ascii="Wingdings 2" w:hAnsi="Wingdings 2" w:hint="default"/>
      </w:rPr>
    </w:lvl>
    <w:lvl w:ilvl="7" w:tplc="4A6C6C9C" w:tentative="1">
      <w:start w:val="1"/>
      <w:numFmt w:val="bullet"/>
      <w:lvlText w:val=""/>
      <w:lvlJc w:val="left"/>
      <w:pPr>
        <w:tabs>
          <w:tab w:val="num" w:pos="5760"/>
        </w:tabs>
        <w:ind w:left="5760" w:hanging="360"/>
      </w:pPr>
      <w:rPr>
        <w:rFonts w:ascii="Wingdings 2" w:hAnsi="Wingdings 2" w:hint="default"/>
      </w:rPr>
    </w:lvl>
    <w:lvl w:ilvl="8" w:tplc="0DAA6DCC"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CE6223B"/>
    <w:multiLevelType w:val="hybridMultilevel"/>
    <w:tmpl w:val="BB38DB48"/>
    <w:lvl w:ilvl="0" w:tplc="16283E50">
      <w:start w:val="1"/>
      <w:numFmt w:val="bullet"/>
      <w:lvlText w:val=""/>
      <w:lvlJc w:val="left"/>
      <w:pPr>
        <w:tabs>
          <w:tab w:val="num" w:pos="720"/>
        </w:tabs>
        <w:ind w:left="720" w:hanging="360"/>
      </w:pPr>
      <w:rPr>
        <w:rFonts w:ascii="Wingdings 2" w:hAnsi="Wingdings 2" w:hint="default"/>
      </w:rPr>
    </w:lvl>
    <w:lvl w:ilvl="1" w:tplc="0CBA8E0E" w:tentative="1">
      <w:start w:val="1"/>
      <w:numFmt w:val="bullet"/>
      <w:lvlText w:val=""/>
      <w:lvlJc w:val="left"/>
      <w:pPr>
        <w:tabs>
          <w:tab w:val="num" w:pos="1440"/>
        </w:tabs>
        <w:ind w:left="1440" w:hanging="360"/>
      </w:pPr>
      <w:rPr>
        <w:rFonts w:ascii="Wingdings 2" w:hAnsi="Wingdings 2" w:hint="default"/>
      </w:rPr>
    </w:lvl>
    <w:lvl w:ilvl="2" w:tplc="4D04EDD8" w:tentative="1">
      <w:start w:val="1"/>
      <w:numFmt w:val="bullet"/>
      <w:lvlText w:val=""/>
      <w:lvlJc w:val="left"/>
      <w:pPr>
        <w:tabs>
          <w:tab w:val="num" w:pos="2160"/>
        </w:tabs>
        <w:ind w:left="2160" w:hanging="360"/>
      </w:pPr>
      <w:rPr>
        <w:rFonts w:ascii="Wingdings 2" w:hAnsi="Wingdings 2" w:hint="default"/>
      </w:rPr>
    </w:lvl>
    <w:lvl w:ilvl="3" w:tplc="2DC68BD2" w:tentative="1">
      <w:start w:val="1"/>
      <w:numFmt w:val="bullet"/>
      <w:lvlText w:val=""/>
      <w:lvlJc w:val="left"/>
      <w:pPr>
        <w:tabs>
          <w:tab w:val="num" w:pos="2880"/>
        </w:tabs>
        <w:ind w:left="2880" w:hanging="360"/>
      </w:pPr>
      <w:rPr>
        <w:rFonts w:ascii="Wingdings 2" w:hAnsi="Wingdings 2" w:hint="default"/>
      </w:rPr>
    </w:lvl>
    <w:lvl w:ilvl="4" w:tplc="94061C9E" w:tentative="1">
      <w:start w:val="1"/>
      <w:numFmt w:val="bullet"/>
      <w:lvlText w:val=""/>
      <w:lvlJc w:val="left"/>
      <w:pPr>
        <w:tabs>
          <w:tab w:val="num" w:pos="3600"/>
        </w:tabs>
        <w:ind w:left="3600" w:hanging="360"/>
      </w:pPr>
      <w:rPr>
        <w:rFonts w:ascii="Wingdings 2" w:hAnsi="Wingdings 2" w:hint="default"/>
      </w:rPr>
    </w:lvl>
    <w:lvl w:ilvl="5" w:tplc="3454E434" w:tentative="1">
      <w:start w:val="1"/>
      <w:numFmt w:val="bullet"/>
      <w:lvlText w:val=""/>
      <w:lvlJc w:val="left"/>
      <w:pPr>
        <w:tabs>
          <w:tab w:val="num" w:pos="4320"/>
        </w:tabs>
        <w:ind w:left="4320" w:hanging="360"/>
      </w:pPr>
      <w:rPr>
        <w:rFonts w:ascii="Wingdings 2" w:hAnsi="Wingdings 2" w:hint="default"/>
      </w:rPr>
    </w:lvl>
    <w:lvl w:ilvl="6" w:tplc="46F22590" w:tentative="1">
      <w:start w:val="1"/>
      <w:numFmt w:val="bullet"/>
      <w:lvlText w:val=""/>
      <w:lvlJc w:val="left"/>
      <w:pPr>
        <w:tabs>
          <w:tab w:val="num" w:pos="5040"/>
        </w:tabs>
        <w:ind w:left="5040" w:hanging="360"/>
      </w:pPr>
      <w:rPr>
        <w:rFonts w:ascii="Wingdings 2" w:hAnsi="Wingdings 2" w:hint="default"/>
      </w:rPr>
    </w:lvl>
    <w:lvl w:ilvl="7" w:tplc="87101B84" w:tentative="1">
      <w:start w:val="1"/>
      <w:numFmt w:val="bullet"/>
      <w:lvlText w:val=""/>
      <w:lvlJc w:val="left"/>
      <w:pPr>
        <w:tabs>
          <w:tab w:val="num" w:pos="5760"/>
        </w:tabs>
        <w:ind w:left="5760" w:hanging="360"/>
      </w:pPr>
      <w:rPr>
        <w:rFonts w:ascii="Wingdings 2" w:hAnsi="Wingdings 2" w:hint="default"/>
      </w:rPr>
    </w:lvl>
    <w:lvl w:ilvl="8" w:tplc="0A98C58C"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40C0023"/>
    <w:multiLevelType w:val="hybridMultilevel"/>
    <w:tmpl w:val="EBB64D76"/>
    <w:lvl w:ilvl="0" w:tplc="37006F5E">
      <w:start w:val="1"/>
      <w:numFmt w:val="bullet"/>
      <w:lvlText w:val=""/>
      <w:lvlJc w:val="left"/>
      <w:pPr>
        <w:tabs>
          <w:tab w:val="num" w:pos="720"/>
        </w:tabs>
        <w:ind w:left="720" w:hanging="360"/>
      </w:pPr>
      <w:rPr>
        <w:rFonts w:ascii="Wingdings 2" w:hAnsi="Wingdings 2" w:hint="default"/>
      </w:rPr>
    </w:lvl>
    <w:lvl w:ilvl="1" w:tplc="00A4E5A0" w:tentative="1">
      <w:start w:val="1"/>
      <w:numFmt w:val="bullet"/>
      <w:lvlText w:val=""/>
      <w:lvlJc w:val="left"/>
      <w:pPr>
        <w:tabs>
          <w:tab w:val="num" w:pos="1440"/>
        </w:tabs>
        <w:ind w:left="1440" w:hanging="360"/>
      </w:pPr>
      <w:rPr>
        <w:rFonts w:ascii="Wingdings 2" w:hAnsi="Wingdings 2" w:hint="default"/>
      </w:rPr>
    </w:lvl>
    <w:lvl w:ilvl="2" w:tplc="AC245D8E" w:tentative="1">
      <w:start w:val="1"/>
      <w:numFmt w:val="bullet"/>
      <w:lvlText w:val=""/>
      <w:lvlJc w:val="left"/>
      <w:pPr>
        <w:tabs>
          <w:tab w:val="num" w:pos="2160"/>
        </w:tabs>
        <w:ind w:left="2160" w:hanging="360"/>
      </w:pPr>
      <w:rPr>
        <w:rFonts w:ascii="Wingdings 2" w:hAnsi="Wingdings 2" w:hint="default"/>
      </w:rPr>
    </w:lvl>
    <w:lvl w:ilvl="3" w:tplc="6E5C1866" w:tentative="1">
      <w:start w:val="1"/>
      <w:numFmt w:val="bullet"/>
      <w:lvlText w:val=""/>
      <w:lvlJc w:val="left"/>
      <w:pPr>
        <w:tabs>
          <w:tab w:val="num" w:pos="2880"/>
        </w:tabs>
        <w:ind w:left="2880" w:hanging="360"/>
      </w:pPr>
      <w:rPr>
        <w:rFonts w:ascii="Wingdings 2" w:hAnsi="Wingdings 2" w:hint="default"/>
      </w:rPr>
    </w:lvl>
    <w:lvl w:ilvl="4" w:tplc="51F0BA4C" w:tentative="1">
      <w:start w:val="1"/>
      <w:numFmt w:val="bullet"/>
      <w:lvlText w:val=""/>
      <w:lvlJc w:val="left"/>
      <w:pPr>
        <w:tabs>
          <w:tab w:val="num" w:pos="3600"/>
        </w:tabs>
        <w:ind w:left="3600" w:hanging="360"/>
      </w:pPr>
      <w:rPr>
        <w:rFonts w:ascii="Wingdings 2" w:hAnsi="Wingdings 2" w:hint="default"/>
      </w:rPr>
    </w:lvl>
    <w:lvl w:ilvl="5" w:tplc="7CB4A5F8" w:tentative="1">
      <w:start w:val="1"/>
      <w:numFmt w:val="bullet"/>
      <w:lvlText w:val=""/>
      <w:lvlJc w:val="left"/>
      <w:pPr>
        <w:tabs>
          <w:tab w:val="num" w:pos="4320"/>
        </w:tabs>
        <w:ind w:left="4320" w:hanging="360"/>
      </w:pPr>
      <w:rPr>
        <w:rFonts w:ascii="Wingdings 2" w:hAnsi="Wingdings 2" w:hint="default"/>
      </w:rPr>
    </w:lvl>
    <w:lvl w:ilvl="6" w:tplc="C05C211A" w:tentative="1">
      <w:start w:val="1"/>
      <w:numFmt w:val="bullet"/>
      <w:lvlText w:val=""/>
      <w:lvlJc w:val="left"/>
      <w:pPr>
        <w:tabs>
          <w:tab w:val="num" w:pos="5040"/>
        </w:tabs>
        <w:ind w:left="5040" w:hanging="360"/>
      </w:pPr>
      <w:rPr>
        <w:rFonts w:ascii="Wingdings 2" w:hAnsi="Wingdings 2" w:hint="default"/>
      </w:rPr>
    </w:lvl>
    <w:lvl w:ilvl="7" w:tplc="46FED206" w:tentative="1">
      <w:start w:val="1"/>
      <w:numFmt w:val="bullet"/>
      <w:lvlText w:val=""/>
      <w:lvlJc w:val="left"/>
      <w:pPr>
        <w:tabs>
          <w:tab w:val="num" w:pos="5760"/>
        </w:tabs>
        <w:ind w:left="5760" w:hanging="360"/>
      </w:pPr>
      <w:rPr>
        <w:rFonts w:ascii="Wingdings 2" w:hAnsi="Wingdings 2" w:hint="default"/>
      </w:rPr>
    </w:lvl>
    <w:lvl w:ilvl="8" w:tplc="B532BD04"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3E15EF4"/>
    <w:multiLevelType w:val="hybridMultilevel"/>
    <w:tmpl w:val="E6784A5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6"/>
  </w:num>
  <w:num w:numId="10">
    <w:abstractNumId w:val="1"/>
  </w:num>
  <w:num w:numId="11">
    <w:abstractNumId w:val="11"/>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7"/>
  </w:num>
  <w:num w:numId="20">
    <w:abstractNumId w:val="7"/>
  </w:num>
  <w:num w:numId="21">
    <w:abstractNumId w:val="46"/>
  </w:num>
  <w:num w:numId="22">
    <w:abstractNumId w:val="21"/>
  </w:num>
  <w:num w:numId="23">
    <w:abstractNumId w:val="43"/>
  </w:num>
  <w:num w:numId="24">
    <w:abstractNumId w:val="44"/>
  </w:num>
  <w:num w:numId="25">
    <w:abstractNumId w:val="33"/>
  </w:num>
  <w:num w:numId="26">
    <w:abstractNumId w:val="20"/>
  </w:num>
  <w:num w:numId="27">
    <w:abstractNumId w:val="4"/>
  </w:num>
  <w:num w:numId="28">
    <w:abstractNumId w:val="12"/>
  </w:num>
  <w:num w:numId="29">
    <w:abstractNumId w:val="34"/>
  </w:num>
  <w:num w:numId="30">
    <w:abstractNumId w:val="40"/>
  </w:num>
  <w:num w:numId="31">
    <w:abstractNumId w:val="31"/>
  </w:num>
  <w:num w:numId="32">
    <w:abstractNumId w:val="2"/>
  </w:num>
  <w:num w:numId="33">
    <w:abstractNumId w:val="30"/>
  </w:num>
  <w:num w:numId="34">
    <w:abstractNumId w:val="25"/>
  </w:num>
  <w:num w:numId="35">
    <w:abstractNumId w:val="16"/>
  </w:num>
  <w:num w:numId="36">
    <w:abstractNumId w:val="13"/>
  </w:num>
  <w:num w:numId="37">
    <w:abstractNumId w:val="9"/>
  </w:num>
  <w:num w:numId="38">
    <w:abstractNumId w:val="39"/>
  </w:num>
  <w:num w:numId="39">
    <w:abstractNumId w:val="19"/>
  </w:num>
  <w:num w:numId="40">
    <w:abstractNumId w:val="14"/>
  </w:num>
  <w:num w:numId="41">
    <w:abstractNumId w:val="26"/>
  </w:num>
  <w:num w:numId="42">
    <w:abstractNumId w:val="15"/>
  </w:num>
  <w:num w:numId="43">
    <w:abstractNumId w:val="3"/>
  </w:num>
  <w:num w:numId="44">
    <w:abstractNumId w:val="24"/>
  </w:num>
  <w:num w:numId="45">
    <w:abstractNumId w:val="10"/>
  </w:num>
  <w:num w:numId="46">
    <w:abstractNumId w:val="29"/>
  </w:num>
  <w:num w:numId="47">
    <w:abstractNumId w:val="1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9D8"/>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2B0"/>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1FC8"/>
    <w:rsid w:val="003A51E6"/>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3FDA"/>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1A2B"/>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59A8"/>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77DC7"/>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D78AC"/>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97720"/>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5A1E"/>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1A3C"/>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1B2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2965920">
      <w:bodyDiv w:val="1"/>
      <w:marLeft w:val="0"/>
      <w:marRight w:val="0"/>
      <w:marTop w:val="0"/>
      <w:marBottom w:val="0"/>
      <w:divBdr>
        <w:top w:val="none" w:sz="0" w:space="0" w:color="auto"/>
        <w:left w:val="none" w:sz="0" w:space="0" w:color="auto"/>
        <w:bottom w:val="none" w:sz="0" w:space="0" w:color="auto"/>
        <w:right w:val="none" w:sz="0" w:space="0" w:color="auto"/>
      </w:divBdr>
      <w:divsChild>
        <w:div w:id="1506629069">
          <w:marLeft w:val="576"/>
          <w:marRight w:val="0"/>
          <w:marTop w:val="120"/>
          <w:marBottom w:val="0"/>
          <w:divBdr>
            <w:top w:val="none" w:sz="0" w:space="0" w:color="auto"/>
            <w:left w:val="none" w:sz="0" w:space="0" w:color="auto"/>
            <w:bottom w:val="none" w:sz="0" w:space="0" w:color="auto"/>
            <w:right w:val="none" w:sz="0" w:space="0" w:color="auto"/>
          </w:divBdr>
        </w:div>
        <w:div w:id="948203911">
          <w:marLeft w:val="576"/>
          <w:marRight w:val="0"/>
          <w:marTop w:val="120"/>
          <w:marBottom w:val="0"/>
          <w:divBdr>
            <w:top w:val="none" w:sz="0" w:space="0" w:color="auto"/>
            <w:left w:val="none" w:sz="0" w:space="0" w:color="auto"/>
            <w:bottom w:val="none" w:sz="0" w:space="0" w:color="auto"/>
            <w:right w:val="none" w:sz="0" w:space="0" w:color="auto"/>
          </w:divBdr>
        </w:div>
        <w:div w:id="41175739">
          <w:marLeft w:val="576"/>
          <w:marRight w:val="0"/>
          <w:marTop w:val="120"/>
          <w:marBottom w:val="0"/>
          <w:divBdr>
            <w:top w:val="none" w:sz="0" w:space="0" w:color="auto"/>
            <w:left w:val="none" w:sz="0" w:space="0" w:color="auto"/>
            <w:bottom w:val="none" w:sz="0" w:space="0" w:color="auto"/>
            <w:right w:val="none" w:sz="0" w:space="0" w:color="auto"/>
          </w:divBdr>
        </w:div>
        <w:div w:id="2080663239">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2524055">
      <w:bodyDiv w:val="1"/>
      <w:marLeft w:val="0"/>
      <w:marRight w:val="0"/>
      <w:marTop w:val="0"/>
      <w:marBottom w:val="0"/>
      <w:divBdr>
        <w:top w:val="none" w:sz="0" w:space="0" w:color="auto"/>
        <w:left w:val="none" w:sz="0" w:space="0" w:color="auto"/>
        <w:bottom w:val="none" w:sz="0" w:space="0" w:color="auto"/>
        <w:right w:val="none" w:sz="0" w:space="0" w:color="auto"/>
      </w:divBdr>
      <w:divsChild>
        <w:div w:id="2037730089">
          <w:marLeft w:val="576"/>
          <w:marRight w:val="0"/>
          <w:marTop w:val="120"/>
          <w:marBottom w:val="0"/>
          <w:divBdr>
            <w:top w:val="none" w:sz="0" w:space="0" w:color="auto"/>
            <w:left w:val="none" w:sz="0" w:space="0" w:color="auto"/>
            <w:bottom w:val="none" w:sz="0" w:space="0" w:color="auto"/>
            <w:right w:val="none" w:sz="0" w:space="0" w:color="auto"/>
          </w:divBdr>
        </w:div>
        <w:div w:id="254168538">
          <w:marLeft w:val="576"/>
          <w:marRight w:val="0"/>
          <w:marTop w:val="120"/>
          <w:marBottom w:val="0"/>
          <w:divBdr>
            <w:top w:val="none" w:sz="0" w:space="0" w:color="auto"/>
            <w:left w:val="none" w:sz="0" w:space="0" w:color="auto"/>
            <w:bottom w:val="none" w:sz="0" w:space="0" w:color="auto"/>
            <w:right w:val="none" w:sz="0" w:space="0" w:color="auto"/>
          </w:divBdr>
        </w:div>
        <w:div w:id="935359026">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5759454">
      <w:bodyDiv w:val="1"/>
      <w:marLeft w:val="0"/>
      <w:marRight w:val="0"/>
      <w:marTop w:val="0"/>
      <w:marBottom w:val="0"/>
      <w:divBdr>
        <w:top w:val="none" w:sz="0" w:space="0" w:color="auto"/>
        <w:left w:val="none" w:sz="0" w:space="0" w:color="auto"/>
        <w:bottom w:val="none" w:sz="0" w:space="0" w:color="auto"/>
        <w:right w:val="none" w:sz="0" w:space="0" w:color="auto"/>
      </w:divBdr>
      <w:divsChild>
        <w:div w:id="420949417">
          <w:marLeft w:val="576"/>
          <w:marRight w:val="0"/>
          <w:marTop w:val="120"/>
          <w:marBottom w:val="0"/>
          <w:divBdr>
            <w:top w:val="none" w:sz="0" w:space="0" w:color="auto"/>
            <w:left w:val="none" w:sz="0" w:space="0" w:color="auto"/>
            <w:bottom w:val="none" w:sz="0" w:space="0" w:color="auto"/>
            <w:right w:val="none" w:sz="0" w:space="0" w:color="auto"/>
          </w:divBdr>
        </w:div>
        <w:div w:id="1221018566">
          <w:marLeft w:val="576"/>
          <w:marRight w:val="0"/>
          <w:marTop w:val="120"/>
          <w:marBottom w:val="0"/>
          <w:divBdr>
            <w:top w:val="none" w:sz="0" w:space="0" w:color="auto"/>
            <w:left w:val="none" w:sz="0" w:space="0" w:color="auto"/>
            <w:bottom w:val="none" w:sz="0" w:space="0" w:color="auto"/>
            <w:right w:val="none" w:sz="0" w:space="0" w:color="auto"/>
          </w:divBdr>
        </w:div>
        <w:div w:id="396515443">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5989359">
      <w:bodyDiv w:val="1"/>
      <w:marLeft w:val="0"/>
      <w:marRight w:val="0"/>
      <w:marTop w:val="0"/>
      <w:marBottom w:val="0"/>
      <w:divBdr>
        <w:top w:val="none" w:sz="0" w:space="0" w:color="auto"/>
        <w:left w:val="none" w:sz="0" w:space="0" w:color="auto"/>
        <w:bottom w:val="none" w:sz="0" w:space="0" w:color="auto"/>
        <w:right w:val="none" w:sz="0" w:space="0" w:color="auto"/>
      </w:divBdr>
      <w:divsChild>
        <w:div w:id="257718328">
          <w:marLeft w:val="576"/>
          <w:marRight w:val="0"/>
          <w:marTop w:val="120"/>
          <w:marBottom w:val="0"/>
          <w:divBdr>
            <w:top w:val="none" w:sz="0" w:space="0" w:color="auto"/>
            <w:left w:val="none" w:sz="0" w:space="0" w:color="auto"/>
            <w:bottom w:val="none" w:sz="0" w:space="0" w:color="auto"/>
            <w:right w:val="none" w:sz="0" w:space="0" w:color="auto"/>
          </w:divBdr>
        </w:div>
        <w:div w:id="749011313">
          <w:marLeft w:val="576"/>
          <w:marRight w:val="0"/>
          <w:marTop w:val="120"/>
          <w:marBottom w:val="0"/>
          <w:divBdr>
            <w:top w:val="none" w:sz="0" w:space="0" w:color="auto"/>
            <w:left w:val="none" w:sz="0" w:space="0" w:color="auto"/>
            <w:bottom w:val="none" w:sz="0" w:space="0" w:color="auto"/>
            <w:right w:val="none" w:sz="0" w:space="0" w:color="auto"/>
          </w:divBdr>
        </w:div>
        <w:div w:id="1581013838">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5734233">
      <w:bodyDiv w:val="1"/>
      <w:marLeft w:val="0"/>
      <w:marRight w:val="0"/>
      <w:marTop w:val="0"/>
      <w:marBottom w:val="0"/>
      <w:divBdr>
        <w:top w:val="none" w:sz="0" w:space="0" w:color="auto"/>
        <w:left w:val="none" w:sz="0" w:space="0" w:color="auto"/>
        <w:bottom w:val="none" w:sz="0" w:space="0" w:color="auto"/>
        <w:right w:val="none" w:sz="0" w:space="0" w:color="auto"/>
      </w:divBdr>
      <w:divsChild>
        <w:div w:id="1954172354">
          <w:marLeft w:val="576"/>
          <w:marRight w:val="0"/>
          <w:marTop w:val="120"/>
          <w:marBottom w:val="0"/>
          <w:divBdr>
            <w:top w:val="none" w:sz="0" w:space="0" w:color="auto"/>
            <w:left w:val="none" w:sz="0" w:space="0" w:color="auto"/>
            <w:bottom w:val="none" w:sz="0" w:space="0" w:color="auto"/>
            <w:right w:val="none" w:sz="0" w:space="0" w:color="auto"/>
          </w:divBdr>
        </w:div>
        <w:div w:id="398284018">
          <w:marLeft w:val="576"/>
          <w:marRight w:val="0"/>
          <w:marTop w:val="120"/>
          <w:marBottom w:val="0"/>
          <w:divBdr>
            <w:top w:val="none" w:sz="0" w:space="0" w:color="auto"/>
            <w:left w:val="none" w:sz="0" w:space="0" w:color="auto"/>
            <w:bottom w:val="none" w:sz="0" w:space="0" w:color="auto"/>
            <w:right w:val="none" w:sz="0" w:space="0" w:color="auto"/>
          </w:divBdr>
        </w:div>
        <w:div w:id="1615743411">
          <w:marLeft w:val="576"/>
          <w:marRight w:val="0"/>
          <w:marTop w:val="120"/>
          <w:marBottom w:val="0"/>
          <w:divBdr>
            <w:top w:val="none" w:sz="0" w:space="0" w:color="auto"/>
            <w:left w:val="none" w:sz="0" w:space="0" w:color="auto"/>
            <w:bottom w:val="none" w:sz="0" w:space="0" w:color="auto"/>
            <w:right w:val="none" w:sz="0" w:space="0" w:color="auto"/>
          </w:divBdr>
        </w:div>
        <w:div w:id="1706635272">
          <w:marLeft w:val="576"/>
          <w:marRight w:val="0"/>
          <w:marTop w:val="120"/>
          <w:marBottom w:val="0"/>
          <w:divBdr>
            <w:top w:val="none" w:sz="0" w:space="0" w:color="auto"/>
            <w:left w:val="none" w:sz="0" w:space="0" w:color="auto"/>
            <w:bottom w:val="none" w:sz="0" w:space="0" w:color="auto"/>
            <w:right w:val="none" w:sz="0" w:space="0" w:color="auto"/>
          </w:divBdr>
        </w:div>
        <w:div w:id="792600314">
          <w:marLeft w:val="576"/>
          <w:marRight w:val="0"/>
          <w:marTop w:val="120"/>
          <w:marBottom w:val="0"/>
          <w:divBdr>
            <w:top w:val="none" w:sz="0" w:space="0" w:color="auto"/>
            <w:left w:val="none" w:sz="0" w:space="0" w:color="auto"/>
            <w:bottom w:val="none" w:sz="0" w:space="0" w:color="auto"/>
            <w:right w:val="none" w:sz="0" w:space="0" w:color="auto"/>
          </w:divBdr>
        </w:div>
        <w:div w:id="2145846989">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0272001">
      <w:bodyDiv w:val="1"/>
      <w:marLeft w:val="0"/>
      <w:marRight w:val="0"/>
      <w:marTop w:val="0"/>
      <w:marBottom w:val="0"/>
      <w:divBdr>
        <w:top w:val="none" w:sz="0" w:space="0" w:color="auto"/>
        <w:left w:val="none" w:sz="0" w:space="0" w:color="auto"/>
        <w:bottom w:val="none" w:sz="0" w:space="0" w:color="auto"/>
        <w:right w:val="none" w:sz="0" w:space="0" w:color="auto"/>
      </w:divBdr>
      <w:divsChild>
        <w:div w:id="2091733669">
          <w:marLeft w:val="576"/>
          <w:marRight w:val="0"/>
          <w:marTop w:val="120"/>
          <w:marBottom w:val="0"/>
          <w:divBdr>
            <w:top w:val="none" w:sz="0" w:space="0" w:color="auto"/>
            <w:left w:val="none" w:sz="0" w:space="0" w:color="auto"/>
            <w:bottom w:val="none" w:sz="0" w:space="0" w:color="auto"/>
            <w:right w:val="none" w:sz="0" w:space="0" w:color="auto"/>
          </w:divBdr>
        </w:div>
        <w:div w:id="824973388">
          <w:marLeft w:val="576"/>
          <w:marRight w:val="0"/>
          <w:marTop w:val="120"/>
          <w:marBottom w:val="0"/>
          <w:divBdr>
            <w:top w:val="none" w:sz="0" w:space="0" w:color="auto"/>
            <w:left w:val="none" w:sz="0" w:space="0" w:color="auto"/>
            <w:bottom w:val="none" w:sz="0" w:space="0" w:color="auto"/>
            <w:right w:val="none" w:sz="0" w:space="0" w:color="auto"/>
          </w:divBdr>
        </w:div>
        <w:div w:id="749154841">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0629434">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13</Pages>
  <Words>1531</Words>
  <Characters>8730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2022-04-18T12:00:00Z</dcterms:modified>
</cp:coreProperties>
</file>