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4A118E" w:rsidRDefault="004A118E" w:rsidP="004A118E">
      <w:pPr>
        <w:spacing w:line="360" w:lineRule="auto"/>
        <w:jc w:val="center"/>
        <w:rPr>
          <w:rFonts w:ascii="Times New Roman" w:hAnsi="Times New Roman" w:cs="Times New Roman"/>
          <w:b/>
          <w:sz w:val="56"/>
          <w:szCs w:val="56"/>
        </w:rPr>
      </w:pPr>
      <w:r w:rsidRPr="004A118E">
        <w:rPr>
          <w:rFonts w:ascii="Times New Roman" w:hAnsi="Times New Roman" w:cs="Times New Roman"/>
          <w:b/>
          <w:sz w:val="56"/>
          <w:szCs w:val="56"/>
        </w:rPr>
        <w:t>Green Transformation of ports to achieve Net Zero Carbon Emissions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4A118E" w:rsidRDefault="004A118E"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91919" w:rsidRPr="0014749F" w:rsidRDefault="0014749F" w:rsidP="0014749F">
      <w:pPr>
        <w:spacing w:line="360" w:lineRule="auto"/>
        <w:jc w:val="both"/>
        <w:rPr>
          <w:rFonts w:ascii="Times New Roman" w:hAnsi="Times New Roman" w:cs="Times New Roman"/>
          <w:b/>
          <w:sz w:val="52"/>
          <w:szCs w:val="52"/>
        </w:rPr>
      </w:pPr>
      <w:r w:rsidRPr="0014749F">
        <w:rPr>
          <w:rFonts w:ascii="Times New Roman" w:hAnsi="Times New Roman" w:cs="Times New Roman"/>
          <w:sz w:val="32"/>
          <w:szCs w:val="32"/>
        </w:rPr>
        <w:t>Ports form a vital link in the global maritime supply chain, and adherence to the UN sustainable goals in each port development and operation is all-important. Improving the sustainability performance of port infrastructure requires identifying all relevant aspects of sustainability, defining suitable performance measures, applying tools for quantification, and proposing intervention measures if needed. We present a framework for assessing and managing the sustainability performance of port infrastructure incorporating these elements. We apply the framework to quay walls in the Port of Rotterdam (PoR); however, the information to assess only four out of fourteen sustainability themes was available. This fact underlines the need for sustainability monitoring and reporting. We also present a case study of a quay wall in PoR. Based on the vision of PoR and literature, the sustainability theme ‘air pollutants’ was given priority, the selected performance measure being the Greenhouse Gas (GHG) emissions. Dubocalc was chosen as a quantification tool and estimated a total emission of 1.9 kt of CO2eq for a 100-m length of quay wall over a 100-year lifecycle. The measures proposed to achieve climate neutrality in 2050 include using renewable energy for the Impressed Current Cathodic Protection and the temporary drainage systems, electrified transport and machinery, hydrogen as dredging fuel, and steel with hydrogen as a reduction-agent in the future. These could result in a total GHG reduction of 86% by the year 2050.</w:t>
      </w:r>
      <w:r w:rsidR="001C4FD2">
        <w:rPr>
          <w:rFonts w:ascii="Times New Roman" w:hAnsi="Times New Roman" w:cs="Times New Roman"/>
          <w:sz w:val="40"/>
          <w:szCs w:val="40"/>
        </w:rPr>
        <w:t xml:space="preserve">                      </w:t>
      </w:r>
    </w:p>
    <w:p w:rsidR="006A300A" w:rsidRPr="003D03F4" w:rsidRDefault="006A300A" w:rsidP="0014749F">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7E5526" w:rsidRDefault="0051525B" w:rsidP="007E5526">
      <w:pPr>
        <w:pStyle w:val="ListParagraph"/>
        <w:numPr>
          <w:ilvl w:val="0"/>
          <w:numId w:val="46"/>
        </w:numPr>
        <w:autoSpaceDE w:val="0"/>
        <w:autoSpaceDN w:val="0"/>
        <w:adjustRightInd w:val="0"/>
        <w:spacing w:line="360" w:lineRule="auto"/>
        <w:jc w:val="both"/>
        <w:rPr>
          <w:rFonts w:ascii="Times New Roman" w:hAnsi="Times New Roman" w:cs="Times New Roman"/>
          <w:sz w:val="32"/>
          <w:szCs w:val="32"/>
          <w:lang w:val="en-IN"/>
        </w:rPr>
      </w:pPr>
      <w:r w:rsidRPr="007E5526">
        <w:rPr>
          <w:rFonts w:ascii="Times New Roman" w:hAnsi="Times New Roman" w:cs="Times New Roman"/>
          <w:sz w:val="32"/>
          <w:szCs w:val="32"/>
          <w:lang w:val="en-IN"/>
        </w:rPr>
        <w:t xml:space="preserve">While many ports choose not to act beyond complying with existing environmental regulations in their city, region or country, in many cases they have exercised their potential for addressing both </w:t>
      </w:r>
      <w:r w:rsidRPr="007E5526">
        <w:rPr>
          <w:rFonts w:ascii="Times New Roman" w:hAnsi="Times New Roman" w:cs="Times New Roman"/>
          <w:sz w:val="32"/>
          <w:szCs w:val="32"/>
          <w:lang w:val="en-IN"/>
        </w:rPr>
        <w:t>social and environmental externalities.</w:t>
      </w:r>
    </w:p>
    <w:p w:rsidR="00000000" w:rsidRPr="007E5526" w:rsidRDefault="0051525B" w:rsidP="007E5526">
      <w:pPr>
        <w:pStyle w:val="ListParagraph"/>
        <w:numPr>
          <w:ilvl w:val="0"/>
          <w:numId w:val="46"/>
        </w:numPr>
        <w:autoSpaceDE w:val="0"/>
        <w:autoSpaceDN w:val="0"/>
        <w:adjustRightInd w:val="0"/>
        <w:spacing w:line="360" w:lineRule="auto"/>
        <w:jc w:val="both"/>
        <w:rPr>
          <w:rFonts w:ascii="Times New Roman" w:hAnsi="Times New Roman" w:cs="Times New Roman"/>
          <w:sz w:val="32"/>
          <w:szCs w:val="32"/>
          <w:lang w:val="en-IN"/>
        </w:rPr>
      </w:pPr>
      <w:r w:rsidRPr="007E5526">
        <w:rPr>
          <w:rFonts w:ascii="Times New Roman" w:hAnsi="Times New Roman" w:cs="Times New Roman"/>
          <w:sz w:val="32"/>
          <w:szCs w:val="32"/>
          <w:lang w:val="en-IN"/>
        </w:rPr>
        <w:t xml:space="preserve">In addition to governments and regulatory bodies, national, regional and international port organisations exist that are working towards more sustainable activities. </w:t>
      </w:r>
    </w:p>
    <w:p w:rsidR="007E5526" w:rsidRPr="007E5526" w:rsidRDefault="0051525B" w:rsidP="00E53AA4">
      <w:pPr>
        <w:pStyle w:val="ListParagraph"/>
        <w:numPr>
          <w:ilvl w:val="0"/>
          <w:numId w:val="46"/>
        </w:numPr>
        <w:autoSpaceDE w:val="0"/>
        <w:autoSpaceDN w:val="0"/>
        <w:adjustRightInd w:val="0"/>
        <w:spacing w:line="360" w:lineRule="auto"/>
        <w:jc w:val="both"/>
        <w:rPr>
          <w:rFonts w:ascii="Times New Roman" w:hAnsi="Times New Roman" w:cs="Times New Roman"/>
          <w:sz w:val="32"/>
          <w:szCs w:val="32"/>
          <w:lang w:val="en-IN"/>
        </w:rPr>
      </w:pPr>
      <w:r w:rsidRPr="007E5526">
        <w:rPr>
          <w:rFonts w:ascii="Times New Roman" w:hAnsi="Times New Roman" w:cs="Times New Roman"/>
          <w:sz w:val="32"/>
          <w:szCs w:val="32"/>
          <w:lang w:val="en-IN"/>
        </w:rPr>
        <w:t>There is a lack of evidence in the available li</w:t>
      </w:r>
      <w:r w:rsidRPr="007E5526">
        <w:rPr>
          <w:rFonts w:ascii="Times New Roman" w:hAnsi="Times New Roman" w:cs="Times New Roman"/>
          <w:sz w:val="32"/>
          <w:szCs w:val="32"/>
          <w:lang w:val="en-IN"/>
        </w:rPr>
        <w:t>terature regarding these technologies due to the limited number of available studies; the existing ones prove the great potential for energy savings and GHG emissions diminishing.</w:t>
      </w:r>
      <w:r w:rsidRPr="007E5526">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BD4DCE" w:rsidRDefault="0051525B" w:rsidP="00BD4DCE">
      <w:pPr>
        <w:numPr>
          <w:ilvl w:val="0"/>
          <w:numId w:val="47"/>
        </w:numPr>
        <w:spacing w:line="360" w:lineRule="auto"/>
        <w:jc w:val="both"/>
        <w:rPr>
          <w:rFonts w:ascii="Times New Roman" w:hAnsi="Times New Roman" w:cs="Times New Roman"/>
          <w:bCs/>
          <w:sz w:val="32"/>
          <w:szCs w:val="32"/>
          <w:lang w:val="en-IN"/>
        </w:rPr>
      </w:pPr>
      <w:r w:rsidRPr="00BD4DCE">
        <w:rPr>
          <w:rFonts w:ascii="Times New Roman" w:hAnsi="Times New Roman" w:cs="Times New Roman"/>
          <w:bCs/>
          <w:sz w:val="32"/>
          <w:szCs w:val="32"/>
          <w:lang w:val="en-IN"/>
        </w:rPr>
        <w:t xml:space="preserve">More and </w:t>
      </w:r>
      <w:r w:rsidRPr="00BD4DCE">
        <w:rPr>
          <w:rFonts w:ascii="Times New Roman" w:hAnsi="Times New Roman" w:cs="Times New Roman"/>
          <w:bCs/>
          <w:sz w:val="32"/>
          <w:szCs w:val="32"/>
          <w:lang w:val="en-IN"/>
        </w:rPr>
        <w:t>more, project stakeholders, and civil society in general, are demanding and expecting sustainability to be integrated into infrastructure projects, which inevitably result in adverse environmental and social impacts.</w:t>
      </w:r>
    </w:p>
    <w:p w:rsidR="00000000" w:rsidRPr="00BD4DCE" w:rsidRDefault="0051525B" w:rsidP="00BD4DCE">
      <w:pPr>
        <w:numPr>
          <w:ilvl w:val="0"/>
          <w:numId w:val="47"/>
        </w:numPr>
        <w:spacing w:line="360" w:lineRule="auto"/>
        <w:jc w:val="both"/>
        <w:rPr>
          <w:rFonts w:ascii="Times New Roman" w:hAnsi="Times New Roman" w:cs="Times New Roman"/>
          <w:bCs/>
          <w:sz w:val="32"/>
          <w:szCs w:val="32"/>
          <w:lang w:val="en-IN"/>
        </w:rPr>
      </w:pPr>
      <w:r w:rsidRPr="00BD4DCE">
        <w:rPr>
          <w:rFonts w:ascii="Times New Roman" w:hAnsi="Times New Roman" w:cs="Times New Roman"/>
          <w:bCs/>
          <w:sz w:val="32"/>
          <w:szCs w:val="32"/>
          <w:lang w:val="en-IN"/>
        </w:rPr>
        <w:t>There will be a shift from reporting i</w:t>
      </w:r>
      <w:r w:rsidRPr="00BD4DCE">
        <w:rPr>
          <w:rFonts w:ascii="Times New Roman" w:hAnsi="Times New Roman" w:cs="Times New Roman"/>
          <w:bCs/>
          <w:sz w:val="32"/>
          <w:szCs w:val="32"/>
          <w:lang w:val="en-IN"/>
        </w:rPr>
        <w:t>mpact to reporting and managing performance.</w:t>
      </w:r>
    </w:p>
    <w:p w:rsidR="00F94960" w:rsidRPr="00BD4DCE" w:rsidRDefault="0051525B" w:rsidP="00E53AA4">
      <w:pPr>
        <w:numPr>
          <w:ilvl w:val="0"/>
          <w:numId w:val="47"/>
        </w:numPr>
        <w:spacing w:line="360" w:lineRule="auto"/>
        <w:jc w:val="both"/>
        <w:rPr>
          <w:rFonts w:ascii="Times New Roman" w:hAnsi="Times New Roman" w:cs="Times New Roman"/>
          <w:bCs/>
          <w:sz w:val="32"/>
          <w:szCs w:val="32"/>
          <w:lang w:val="en-IN"/>
        </w:rPr>
      </w:pPr>
      <w:r w:rsidRPr="00BD4DCE">
        <w:rPr>
          <w:rFonts w:ascii="Times New Roman" w:hAnsi="Times New Roman" w:cs="Times New Roman"/>
          <w:bCs/>
          <w:sz w:val="32"/>
          <w:szCs w:val="32"/>
          <w:lang w:val="en-IN"/>
        </w:rPr>
        <w:lastRenderedPageBreak/>
        <w:t xml:space="preserve">It will help monitor the impact of the applied intervention measures and oversee if the targets will be achieved.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650781" w:rsidRPr="00650781" w:rsidRDefault="00650781" w:rsidP="00650781">
      <w:pPr>
        <w:pStyle w:val="NormalWeb"/>
        <w:numPr>
          <w:ilvl w:val="0"/>
          <w:numId w:val="48"/>
        </w:numPr>
        <w:spacing w:before="0" w:beforeAutospacing="0" w:after="0" w:afterAutospacing="0" w:line="360" w:lineRule="auto"/>
        <w:ind w:left="426"/>
        <w:jc w:val="both"/>
        <w:rPr>
          <w:sz w:val="32"/>
          <w:szCs w:val="32"/>
        </w:rPr>
      </w:pPr>
      <w:r w:rsidRPr="00650781">
        <w:rPr>
          <w:sz w:val="32"/>
          <w:szCs w:val="32"/>
        </w:rPr>
        <w:t>The proposed technologies and techniques have many positive side-effects for the ports, such as less traffic congestion and waiting times, that contribute to the ultimate goal of diminishing their environmental footprint.</w:t>
      </w:r>
    </w:p>
    <w:p w:rsidR="00650781" w:rsidRPr="00650781" w:rsidRDefault="00650781" w:rsidP="00650781">
      <w:pPr>
        <w:pStyle w:val="NormalWeb"/>
        <w:numPr>
          <w:ilvl w:val="0"/>
          <w:numId w:val="48"/>
        </w:numPr>
        <w:spacing w:before="0" w:beforeAutospacing="0" w:after="0" w:afterAutospacing="0" w:line="360" w:lineRule="auto"/>
        <w:ind w:left="426"/>
        <w:jc w:val="both"/>
        <w:rPr>
          <w:sz w:val="32"/>
          <w:szCs w:val="32"/>
        </w:rPr>
      </w:pPr>
      <w:r w:rsidRPr="00650781">
        <w:rPr>
          <w:sz w:val="32"/>
          <w:szCs w:val="32"/>
        </w:rPr>
        <w:t>This study also identifies green policies for policymakers, proposes an indicative step-by-step priority plan for port decision-makers.</w:t>
      </w:r>
    </w:p>
    <w:p w:rsidR="003A5D44" w:rsidRPr="00650781" w:rsidRDefault="00650781" w:rsidP="00E53AA4">
      <w:pPr>
        <w:pStyle w:val="NormalWeb"/>
        <w:numPr>
          <w:ilvl w:val="0"/>
          <w:numId w:val="48"/>
        </w:numPr>
        <w:spacing w:before="0" w:beforeAutospacing="0" w:after="0" w:afterAutospacing="0" w:line="360" w:lineRule="auto"/>
        <w:ind w:left="426"/>
        <w:jc w:val="both"/>
        <w:rPr>
          <w:sz w:val="32"/>
          <w:szCs w:val="32"/>
        </w:rPr>
      </w:pPr>
      <w:r w:rsidRPr="00650781">
        <w:rPr>
          <w:sz w:val="32"/>
          <w:szCs w:val="32"/>
        </w:rPr>
        <w:t>There is no research uptake and utilization of the proposed measures and techniques; the ports need to pass from the inception to the implementation stage.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982B22" w:rsidRDefault="0051525B" w:rsidP="00982B22">
      <w:pPr>
        <w:numPr>
          <w:ilvl w:val="0"/>
          <w:numId w:val="4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82B22">
        <w:rPr>
          <w:rFonts w:ascii="Times New Roman" w:eastAsia="AdvGulliv-R" w:hAnsi="Times New Roman" w:cs="Times New Roman"/>
          <w:bCs/>
          <w:sz w:val="32"/>
          <w:szCs w:val="32"/>
          <w:lang w:val="en-IN"/>
        </w:rPr>
        <w:t>The multi-perspective character of sustainability, the variety of goals and stakeholders involved, the lack of appropriate performance indicators and suitable measurement tools present a challenge for integrating sustainability performance into busin</w:t>
      </w:r>
      <w:r w:rsidRPr="00982B22">
        <w:rPr>
          <w:rFonts w:ascii="Times New Roman" w:eastAsia="AdvGulliv-R" w:hAnsi="Times New Roman" w:cs="Times New Roman"/>
          <w:bCs/>
          <w:sz w:val="32"/>
          <w:szCs w:val="32"/>
          <w:lang w:val="en-IN"/>
        </w:rPr>
        <w:t>ess.</w:t>
      </w:r>
    </w:p>
    <w:p w:rsidR="00000000" w:rsidRPr="00982B22" w:rsidRDefault="0051525B" w:rsidP="00982B22">
      <w:pPr>
        <w:numPr>
          <w:ilvl w:val="0"/>
          <w:numId w:val="4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82B22">
        <w:rPr>
          <w:rFonts w:ascii="Times New Roman" w:eastAsia="AdvGulliv-R" w:hAnsi="Times New Roman" w:cs="Times New Roman"/>
          <w:bCs/>
          <w:sz w:val="32"/>
          <w:szCs w:val="32"/>
          <w:lang w:val="en-IN"/>
        </w:rPr>
        <w:t xml:space="preserve">However, the current global trends in sustainability performance indicate that sustainable practices will form a part of an organisation’s core strategy. </w:t>
      </w:r>
    </w:p>
    <w:p w:rsidR="00000000" w:rsidRPr="00982B22" w:rsidRDefault="0051525B" w:rsidP="00982B22">
      <w:pPr>
        <w:numPr>
          <w:ilvl w:val="0"/>
          <w:numId w:val="4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82B22">
        <w:rPr>
          <w:rFonts w:ascii="Times New Roman" w:eastAsia="AdvGulliv-R" w:hAnsi="Times New Roman" w:cs="Times New Roman"/>
          <w:bCs/>
          <w:sz w:val="32"/>
          <w:szCs w:val="32"/>
          <w:lang w:val="en-IN"/>
        </w:rPr>
        <w:t>The strategic objective is to evaluate and improve the sustainability performance of the infra</w:t>
      </w:r>
      <w:r w:rsidRPr="00982B22">
        <w:rPr>
          <w:rFonts w:ascii="Times New Roman" w:eastAsia="AdvGulliv-R" w:hAnsi="Times New Roman" w:cs="Times New Roman"/>
          <w:bCs/>
          <w:sz w:val="32"/>
          <w:szCs w:val="32"/>
          <w:lang w:val="en-IN"/>
        </w:rPr>
        <w:t>structure assets.</w:t>
      </w:r>
      <w:r w:rsidRPr="00982B22">
        <w:rPr>
          <w:rFonts w:ascii="Times New Roman" w:eastAsia="AdvGulliv-R" w:hAnsi="Times New Roman" w:cs="Times New Roman"/>
          <w:bCs/>
          <w:sz w:val="32"/>
          <w:szCs w:val="32"/>
        </w:rPr>
        <w:t xml:space="preserve"> </w:t>
      </w:r>
    </w:p>
    <w:p w:rsidR="00B31569" w:rsidRDefault="00B3156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0A7C05"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0A7C05" w:rsidRDefault="000A7C05"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0A7C05" w:rsidRDefault="000A7C05"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2B214D" w:rsidP="002B214D">
      <w:pPr>
        <w:spacing w:after="0" w:line="360" w:lineRule="auto"/>
        <w:jc w:val="center"/>
        <w:rPr>
          <w:rFonts w:ascii="Times New Roman" w:hAnsi="Times New Roman" w:cs="Times New Roman"/>
        </w:rPr>
      </w:pPr>
      <w:r w:rsidRPr="002B214D">
        <w:rPr>
          <w:rFonts w:ascii="Times New Roman" w:hAnsi="Times New Roman" w:cs="Times New Roman"/>
        </w:rPr>
        <w:drawing>
          <wp:inline distT="0" distB="0" distL="0" distR="0">
            <wp:extent cx="5943600" cy="4363720"/>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36372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2B214D" w:rsidRDefault="002B214D"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000000" w:rsidRPr="004121B9" w:rsidRDefault="0051525B" w:rsidP="004121B9">
      <w:pPr>
        <w:pStyle w:val="BodyText"/>
        <w:rPr>
          <w:bCs/>
          <w:sz w:val="32"/>
          <w:szCs w:val="32"/>
          <w:lang w:val="en-IN"/>
        </w:rPr>
      </w:pPr>
      <w:r w:rsidRPr="004121B9">
        <w:rPr>
          <w:bCs/>
          <w:sz w:val="32"/>
          <w:szCs w:val="32"/>
          <w:lang w:val="en-IN"/>
        </w:rPr>
        <w:t xml:space="preserve">A framework for assessing and managing the sustainability performance of port infrastructure is presented in the paper. </w:t>
      </w:r>
      <w:r w:rsidRPr="004121B9">
        <w:rPr>
          <w:bCs/>
          <w:sz w:val="32"/>
          <w:szCs w:val="32"/>
          <w:lang w:val="en-IN"/>
        </w:rPr>
        <w:t xml:space="preserve">Such a framework will help an organisation to deal with the numerous dimensions of sustainability systematically. </w:t>
      </w:r>
      <w:r w:rsidRPr="004121B9">
        <w:rPr>
          <w:bCs/>
          <w:sz w:val="32"/>
          <w:szCs w:val="32"/>
          <w:lang w:val="en-IN"/>
        </w:rPr>
        <w:t>After identifying</w:t>
      </w:r>
      <w:r w:rsidRPr="004121B9">
        <w:rPr>
          <w:bCs/>
          <w:sz w:val="32"/>
          <w:szCs w:val="32"/>
          <w:lang w:val="en-IN"/>
        </w:rPr>
        <w:t xml:space="preserve"> the relevant aspects of sustainability pertinent for port infrastructure, performance measures, and targets are selected. </w:t>
      </w:r>
      <w:r w:rsidRPr="004121B9">
        <w:rPr>
          <w:bCs/>
          <w:sz w:val="32"/>
          <w:szCs w:val="32"/>
          <w:lang w:val="en-IN"/>
        </w:rPr>
        <w:t>By comparing the current state of an infrastructure element with the desired state for pre-specified sustainability themes, sustain</w:t>
      </w:r>
      <w:r w:rsidRPr="004121B9">
        <w:rPr>
          <w:bCs/>
          <w:sz w:val="32"/>
          <w:szCs w:val="32"/>
          <w:lang w:val="en-IN"/>
        </w:rPr>
        <w:t xml:space="preserve">ability performance can be evaluated. </w:t>
      </w:r>
      <w:r w:rsidRPr="004121B9">
        <w:rPr>
          <w:bCs/>
          <w:sz w:val="32"/>
          <w:szCs w:val="32"/>
          <w:lang w:val="en-IN"/>
        </w:rPr>
        <w:t xml:space="preserve">The framework was applied to quay walls in the Port of Rotterdam, but only four out of fourteen sustainability themes could be further assessed due to a lack of information. </w:t>
      </w:r>
      <w:r w:rsidRPr="004121B9">
        <w:rPr>
          <w:bCs/>
          <w:sz w:val="32"/>
          <w:szCs w:val="32"/>
          <w:lang w:val="en-IN"/>
        </w:rPr>
        <w:t>This finding underlines the need for sus</w:t>
      </w:r>
      <w:r w:rsidRPr="004121B9">
        <w:rPr>
          <w:bCs/>
          <w:sz w:val="32"/>
          <w:szCs w:val="32"/>
          <w:lang w:val="en-IN"/>
        </w:rPr>
        <w:t xml:space="preserve">tainability monitoring and reporting and further research into standardised quantification tools. </w:t>
      </w:r>
    </w:p>
    <w:p w:rsidR="0014749F" w:rsidRDefault="0014749F"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4121B9" w:rsidRDefault="004121B9" w:rsidP="009E62B1">
      <w:pPr>
        <w:pStyle w:val="BodyText"/>
        <w:jc w:val="center"/>
        <w:rPr>
          <w:b/>
          <w:iCs/>
          <w:sz w:val="28"/>
          <w:szCs w:val="28"/>
        </w:rPr>
      </w:pPr>
    </w:p>
    <w:p w:rsidR="004121B9" w:rsidRDefault="004121B9" w:rsidP="009E62B1">
      <w:pPr>
        <w:pStyle w:val="BodyText"/>
        <w:jc w:val="center"/>
        <w:rPr>
          <w:b/>
          <w:iCs/>
          <w:sz w:val="28"/>
          <w:szCs w:val="28"/>
        </w:rPr>
      </w:pPr>
    </w:p>
    <w:p w:rsidR="004121B9" w:rsidRDefault="004121B9" w:rsidP="009E62B1">
      <w:pPr>
        <w:pStyle w:val="BodyText"/>
        <w:jc w:val="center"/>
        <w:rPr>
          <w:b/>
          <w:iCs/>
          <w:sz w:val="28"/>
          <w:szCs w:val="28"/>
        </w:rPr>
      </w:pPr>
    </w:p>
    <w:p w:rsidR="004121B9" w:rsidRDefault="004121B9" w:rsidP="009E62B1">
      <w:pPr>
        <w:pStyle w:val="BodyText"/>
        <w:jc w:val="center"/>
        <w:rPr>
          <w:b/>
          <w:iCs/>
          <w:sz w:val="28"/>
          <w:szCs w:val="28"/>
        </w:rPr>
      </w:pPr>
    </w:p>
    <w:p w:rsidR="004121B9" w:rsidRDefault="004121B9" w:rsidP="009E62B1">
      <w:pPr>
        <w:pStyle w:val="BodyText"/>
        <w:jc w:val="center"/>
        <w:rPr>
          <w:b/>
          <w:iCs/>
          <w:sz w:val="28"/>
          <w:szCs w:val="28"/>
        </w:rPr>
      </w:pPr>
    </w:p>
    <w:p w:rsidR="004121B9" w:rsidRDefault="004121B9"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203BB5" w:rsidRDefault="0051525B" w:rsidP="00203BB5">
      <w:pPr>
        <w:pStyle w:val="BodyText"/>
        <w:numPr>
          <w:ilvl w:val="0"/>
          <w:numId w:val="44"/>
        </w:numPr>
        <w:rPr>
          <w:sz w:val="32"/>
          <w:szCs w:val="32"/>
          <w:lang w:val="en-IN"/>
        </w:rPr>
      </w:pPr>
      <w:r w:rsidRPr="00203BB5">
        <w:rPr>
          <w:sz w:val="32"/>
          <w:szCs w:val="32"/>
          <w:lang w:val="en-IN"/>
        </w:rPr>
        <w:t xml:space="preserve">1. Brundtland, G.H. Our common future: Call for action. Environ. Conserv. 1987, 14, 291–294. </w:t>
      </w:r>
    </w:p>
    <w:p w:rsidR="00000000" w:rsidRPr="00203BB5" w:rsidRDefault="0051525B" w:rsidP="00203BB5">
      <w:pPr>
        <w:pStyle w:val="BodyText"/>
        <w:numPr>
          <w:ilvl w:val="0"/>
          <w:numId w:val="44"/>
        </w:numPr>
        <w:rPr>
          <w:sz w:val="32"/>
          <w:szCs w:val="32"/>
          <w:lang w:val="en-IN"/>
        </w:rPr>
      </w:pPr>
      <w:r w:rsidRPr="00203BB5">
        <w:rPr>
          <w:sz w:val="32"/>
          <w:szCs w:val="32"/>
          <w:lang w:val="en-IN"/>
        </w:rPr>
        <w:t xml:space="preserve">2. AAPA. An Environmental Management System (EMS) Primer for </w:t>
      </w:r>
      <w:r w:rsidRPr="00203BB5">
        <w:rPr>
          <w:sz w:val="32"/>
          <w:szCs w:val="32"/>
          <w:lang w:val="en-IN"/>
        </w:rPr>
        <w:t>Ports: Advancing Port Sustainability; U.S. Environmental Protection Agency in partnership with American Association of Port Authorities (Tech.Rep.): 2007.</w:t>
      </w:r>
    </w:p>
    <w:p w:rsidR="00000000" w:rsidRPr="00203BB5" w:rsidRDefault="0051525B" w:rsidP="00203BB5">
      <w:pPr>
        <w:pStyle w:val="BodyText"/>
        <w:numPr>
          <w:ilvl w:val="0"/>
          <w:numId w:val="44"/>
        </w:numPr>
        <w:rPr>
          <w:sz w:val="32"/>
          <w:szCs w:val="32"/>
          <w:lang w:val="en-IN"/>
        </w:rPr>
      </w:pPr>
      <w:r w:rsidRPr="00203BB5">
        <w:rPr>
          <w:sz w:val="32"/>
          <w:szCs w:val="32"/>
          <w:lang w:val="en-IN"/>
        </w:rPr>
        <w:t xml:space="preserve">3. Vos, R.O. Defining sustainability: A conceptual orientation. J. Chem. Technol. Biotechnol. 2007, </w:t>
      </w:r>
      <w:r w:rsidRPr="00203BB5">
        <w:rPr>
          <w:sz w:val="32"/>
          <w:szCs w:val="32"/>
          <w:lang w:val="en-IN"/>
        </w:rPr>
        <w:t xml:space="preserve">82, 334–339. </w:t>
      </w:r>
    </w:p>
    <w:p w:rsidR="00000000" w:rsidRPr="00203BB5" w:rsidRDefault="0051525B" w:rsidP="00203BB5">
      <w:pPr>
        <w:pStyle w:val="BodyText"/>
        <w:numPr>
          <w:ilvl w:val="0"/>
          <w:numId w:val="44"/>
        </w:numPr>
        <w:rPr>
          <w:sz w:val="32"/>
          <w:szCs w:val="32"/>
          <w:lang w:val="en-IN"/>
        </w:rPr>
      </w:pPr>
      <w:r w:rsidRPr="00203BB5">
        <w:rPr>
          <w:sz w:val="32"/>
          <w:szCs w:val="32"/>
          <w:lang w:val="en-IN"/>
        </w:rPr>
        <w:t xml:space="preserve">4. Nigri, G.; Del Baldo, M. Sustainability Reporting and Performance Measurement Systems: How do Small- and Medium-Sized Benefit Corporations Manage Integration? Sustainability 2018, 10, 4499. </w:t>
      </w:r>
    </w:p>
    <w:p w:rsidR="00000000" w:rsidRPr="00203BB5" w:rsidRDefault="0051525B" w:rsidP="00203BB5">
      <w:pPr>
        <w:pStyle w:val="BodyText"/>
        <w:numPr>
          <w:ilvl w:val="0"/>
          <w:numId w:val="44"/>
        </w:numPr>
        <w:rPr>
          <w:sz w:val="32"/>
          <w:szCs w:val="32"/>
          <w:lang w:val="en-IN"/>
        </w:rPr>
      </w:pPr>
      <w:r w:rsidRPr="00203BB5">
        <w:rPr>
          <w:sz w:val="32"/>
          <w:szCs w:val="32"/>
          <w:lang w:val="en-IN"/>
        </w:rPr>
        <w:t>5. Schaltegger, S.; Burritt, R.L. Sustainabili</w:t>
      </w:r>
      <w:r w:rsidRPr="00203BB5">
        <w:rPr>
          <w:sz w:val="32"/>
          <w:szCs w:val="32"/>
          <w:lang w:val="en-IN"/>
        </w:rPr>
        <w:t>ty accounting for companies: Catchphrase or decision support for business leaders? J. World Bus. 2010, 45, 375–384.</w:t>
      </w:r>
      <w:r w:rsidRPr="00203BB5">
        <w:rPr>
          <w:sz w:val="32"/>
          <w:szCs w:val="32"/>
        </w:rPr>
        <w:t xml:space="preserve"> </w:t>
      </w:r>
    </w:p>
    <w:p w:rsidR="00000000" w:rsidRPr="00203BB5" w:rsidRDefault="0051525B" w:rsidP="00203BB5">
      <w:pPr>
        <w:pStyle w:val="BodyText"/>
        <w:numPr>
          <w:ilvl w:val="0"/>
          <w:numId w:val="44"/>
        </w:numPr>
        <w:rPr>
          <w:sz w:val="32"/>
          <w:szCs w:val="32"/>
          <w:lang w:val="en-IN"/>
        </w:rPr>
      </w:pPr>
      <w:r w:rsidRPr="00203BB5">
        <w:rPr>
          <w:sz w:val="32"/>
          <w:szCs w:val="32"/>
          <w:lang w:val="en-IN"/>
        </w:rPr>
        <w:t>6. UNECE. Framework and Suggested Indicators to Measure Sustainable Development. Prepared by The Joint UNECE/Eurostat/OECD Task Force 2013</w:t>
      </w:r>
      <w:r w:rsidRPr="00203BB5">
        <w:rPr>
          <w:sz w:val="32"/>
          <w:szCs w:val="32"/>
          <w:lang w:val="en-IN"/>
        </w:rPr>
        <w:t>.</w:t>
      </w:r>
    </w:p>
    <w:p w:rsidR="00000000" w:rsidRPr="00203BB5" w:rsidRDefault="0051525B" w:rsidP="00203BB5">
      <w:pPr>
        <w:pStyle w:val="BodyText"/>
        <w:numPr>
          <w:ilvl w:val="0"/>
          <w:numId w:val="44"/>
        </w:numPr>
        <w:rPr>
          <w:sz w:val="32"/>
          <w:szCs w:val="32"/>
          <w:lang w:val="en-IN"/>
        </w:rPr>
      </w:pPr>
      <w:r w:rsidRPr="00203BB5">
        <w:rPr>
          <w:sz w:val="32"/>
          <w:szCs w:val="32"/>
          <w:lang w:val="en-IN"/>
        </w:rPr>
        <w:t xml:space="preserve">7. PIANC. EnviCom 188: Carbon Management for Port and Navigation Infrastructure; PIANC: Brussels, Belgium, 2019. </w:t>
      </w:r>
    </w:p>
    <w:p w:rsidR="00000000" w:rsidRPr="00203BB5" w:rsidRDefault="0051525B" w:rsidP="00203BB5">
      <w:pPr>
        <w:pStyle w:val="BodyText"/>
        <w:numPr>
          <w:ilvl w:val="0"/>
          <w:numId w:val="44"/>
        </w:numPr>
        <w:rPr>
          <w:sz w:val="32"/>
          <w:szCs w:val="32"/>
          <w:lang w:val="en-IN"/>
        </w:rPr>
      </w:pPr>
      <w:r w:rsidRPr="00203BB5">
        <w:rPr>
          <w:sz w:val="32"/>
          <w:szCs w:val="32"/>
          <w:lang w:val="en-IN"/>
        </w:rPr>
        <w:t xml:space="preserve">8. Economist Intelligent Unit. Global Trends in Sustainability Performance Management. (accessed on 10 March 2021). </w:t>
      </w:r>
    </w:p>
    <w:p w:rsidR="00000000" w:rsidRPr="00203BB5" w:rsidRDefault="0051525B" w:rsidP="00203BB5">
      <w:pPr>
        <w:pStyle w:val="BodyText"/>
        <w:numPr>
          <w:ilvl w:val="0"/>
          <w:numId w:val="44"/>
        </w:numPr>
        <w:rPr>
          <w:sz w:val="32"/>
          <w:szCs w:val="32"/>
          <w:lang w:val="en-IN"/>
        </w:rPr>
      </w:pPr>
      <w:r w:rsidRPr="00203BB5">
        <w:rPr>
          <w:sz w:val="32"/>
          <w:szCs w:val="32"/>
          <w:lang w:val="en-IN"/>
        </w:rPr>
        <w:lastRenderedPageBreak/>
        <w:t>9. Zhang, Y.; Kim, C</w:t>
      </w:r>
      <w:r w:rsidRPr="00203BB5">
        <w:rPr>
          <w:sz w:val="32"/>
          <w:szCs w:val="32"/>
          <w:lang w:val="en-IN"/>
        </w:rPr>
        <w:t xml:space="preserve">.W.; Tee, K.F.; Lam, J.S.L. Optimal sustainable life cycle maintenance strategies for port infrastructures. J. Clean. Prod. 2017, 142, 1693–1709. </w:t>
      </w:r>
    </w:p>
    <w:p w:rsidR="00000000" w:rsidRPr="00203BB5" w:rsidRDefault="0051525B" w:rsidP="00203BB5">
      <w:pPr>
        <w:pStyle w:val="BodyText"/>
        <w:numPr>
          <w:ilvl w:val="0"/>
          <w:numId w:val="44"/>
        </w:numPr>
        <w:rPr>
          <w:sz w:val="32"/>
          <w:szCs w:val="32"/>
          <w:lang w:val="en-IN"/>
        </w:rPr>
      </w:pPr>
      <w:r w:rsidRPr="00203BB5">
        <w:rPr>
          <w:sz w:val="32"/>
          <w:szCs w:val="32"/>
          <w:lang w:val="en-IN"/>
        </w:rPr>
        <w:t xml:space="preserve">10. Lam, J.S.L.; Notteboom, T. The greening of ports: A comparison of port management tools used by leading </w:t>
      </w:r>
      <w:r w:rsidRPr="00203BB5">
        <w:rPr>
          <w:sz w:val="32"/>
          <w:szCs w:val="32"/>
          <w:lang w:val="en-IN"/>
        </w:rPr>
        <w:t xml:space="preserve">ports in Asia and Europe. Transp. Rev. 2014, 34, 169–189.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1525B" w:rsidRDefault="0051525B" w:rsidP="003654DF">
      <w:pPr>
        <w:spacing w:after="0" w:line="240" w:lineRule="auto"/>
      </w:pPr>
      <w:r>
        <w:separator/>
      </w:r>
    </w:p>
  </w:endnote>
  <w:endnote w:type="continuationSeparator" w:id="1">
    <w:p w:rsidR="0051525B" w:rsidRDefault="0051525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1525B" w:rsidRDefault="0051525B" w:rsidP="003654DF">
      <w:pPr>
        <w:spacing w:after="0" w:line="240" w:lineRule="auto"/>
      </w:pPr>
      <w:r>
        <w:separator/>
      </w:r>
    </w:p>
  </w:footnote>
  <w:footnote w:type="continuationSeparator" w:id="1">
    <w:p w:rsidR="0051525B" w:rsidRDefault="0051525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A2C08">
        <w:pPr>
          <w:pStyle w:val="Header"/>
          <w:jc w:val="right"/>
        </w:pPr>
        <w:fldSimple w:instr=" PAGE   \* MERGEFORMAT ">
          <w:r w:rsidR="002B214D">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CEC452F"/>
    <w:multiLevelType w:val="hybridMultilevel"/>
    <w:tmpl w:val="B5C02DF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0">
    <w:nsid w:val="1EC22121"/>
    <w:multiLevelType w:val="hybridMultilevel"/>
    <w:tmpl w:val="5FF0E91A"/>
    <w:lvl w:ilvl="0" w:tplc="23EA1FD4">
      <w:start w:val="1"/>
      <w:numFmt w:val="bullet"/>
      <w:lvlText w:val=""/>
      <w:lvlJc w:val="left"/>
      <w:pPr>
        <w:tabs>
          <w:tab w:val="num" w:pos="720"/>
        </w:tabs>
        <w:ind w:left="720" w:hanging="360"/>
      </w:pPr>
      <w:rPr>
        <w:rFonts w:ascii="Wingdings 2" w:hAnsi="Wingdings 2" w:hint="default"/>
      </w:rPr>
    </w:lvl>
    <w:lvl w:ilvl="1" w:tplc="8E503590" w:tentative="1">
      <w:start w:val="1"/>
      <w:numFmt w:val="bullet"/>
      <w:lvlText w:val=""/>
      <w:lvlJc w:val="left"/>
      <w:pPr>
        <w:tabs>
          <w:tab w:val="num" w:pos="1440"/>
        </w:tabs>
        <w:ind w:left="1440" w:hanging="360"/>
      </w:pPr>
      <w:rPr>
        <w:rFonts w:ascii="Wingdings 2" w:hAnsi="Wingdings 2" w:hint="default"/>
      </w:rPr>
    </w:lvl>
    <w:lvl w:ilvl="2" w:tplc="2E82851E" w:tentative="1">
      <w:start w:val="1"/>
      <w:numFmt w:val="bullet"/>
      <w:lvlText w:val=""/>
      <w:lvlJc w:val="left"/>
      <w:pPr>
        <w:tabs>
          <w:tab w:val="num" w:pos="2160"/>
        </w:tabs>
        <w:ind w:left="2160" w:hanging="360"/>
      </w:pPr>
      <w:rPr>
        <w:rFonts w:ascii="Wingdings 2" w:hAnsi="Wingdings 2" w:hint="default"/>
      </w:rPr>
    </w:lvl>
    <w:lvl w:ilvl="3" w:tplc="5DF86F4C" w:tentative="1">
      <w:start w:val="1"/>
      <w:numFmt w:val="bullet"/>
      <w:lvlText w:val=""/>
      <w:lvlJc w:val="left"/>
      <w:pPr>
        <w:tabs>
          <w:tab w:val="num" w:pos="2880"/>
        </w:tabs>
        <w:ind w:left="2880" w:hanging="360"/>
      </w:pPr>
      <w:rPr>
        <w:rFonts w:ascii="Wingdings 2" w:hAnsi="Wingdings 2" w:hint="default"/>
      </w:rPr>
    </w:lvl>
    <w:lvl w:ilvl="4" w:tplc="0F825BE0" w:tentative="1">
      <w:start w:val="1"/>
      <w:numFmt w:val="bullet"/>
      <w:lvlText w:val=""/>
      <w:lvlJc w:val="left"/>
      <w:pPr>
        <w:tabs>
          <w:tab w:val="num" w:pos="3600"/>
        </w:tabs>
        <w:ind w:left="3600" w:hanging="360"/>
      </w:pPr>
      <w:rPr>
        <w:rFonts w:ascii="Wingdings 2" w:hAnsi="Wingdings 2" w:hint="default"/>
      </w:rPr>
    </w:lvl>
    <w:lvl w:ilvl="5" w:tplc="08BC7CB0" w:tentative="1">
      <w:start w:val="1"/>
      <w:numFmt w:val="bullet"/>
      <w:lvlText w:val=""/>
      <w:lvlJc w:val="left"/>
      <w:pPr>
        <w:tabs>
          <w:tab w:val="num" w:pos="4320"/>
        </w:tabs>
        <w:ind w:left="4320" w:hanging="360"/>
      </w:pPr>
      <w:rPr>
        <w:rFonts w:ascii="Wingdings 2" w:hAnsi="Wingdings 2" w:hint="default"/>
      </w:rPr>
    </w:lvl>
    <w:lvl w:ilvl="6" w:tplc="DDC4676C" w:tentative="1">
      <w:start w:val="1"/>
      <w:numFmt w:val="bullet"/>
      <w:lvlText w:val=""/>
      <w:lvlJc w:val="left"/>
      <w:pPr>
        <w:tabs>
          <w:tab w:val="num" w:pos="5040"/>
        </w:tabs>
        <w:ind w:left="5040" w:hanging="360"/>
      </w:pPr>
      <w:rPr>
        <w:rFonts w:ascii="Wingdings 2" w:hAnsi="Wingdings 2" w:hint="default"/>
      </w:rPr>
    </w:lvl>
    <w:lvl w:ilvl="7" w:tplc="03AC14B2" w:tentative="1">
      <w:start w:val="1"/>
      <w:numFmt w:val="bullet"/>
      <w:lvlText w:val=""/>
      <w:lvlJc w:val="left"/>
      <w:pPr>
        <w:tabs>
          <w:tab w:val="num" w:pos="5760"/>
        </w:tabs>
        <w:ind w:left="5760" w:hanging="360"/>
      </w:pPr>
      <w:rPr>
        <w:rFonts w:ascii="Wingdings 2" w:hAnsi="Wingdings 2" w:hint="default"/>
      </w:rPr>
    </w:lvl>
    <w:lvl w:ilvl="8" w:tplc="790C5AD8"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5F1A14"/>
    <w:multiLevelType w:val="hybridMultilevel"/>
    <w:tmpl w:val="39D06E7C"/>
    <w:lvl w:ilvl="0" w:tplc="1466D2A0">
      <w:start w:val="1"/>
      <w:numFmt w:val="bullet"/>
      <w:lvlText w:val=""/>
      <w:lvlJc w:val="left"/>
      <w:pPr>
        <w:tabs>
          <w:tab w:val="num" w:pos="720"/>
        </w:tabs>
        <w:ind w:left="720" w:hanging="360"/>
      </w:pPr>
      <w:rPr>
        <w:rFonts w:ascii="Wingdings 2" w:hAnsi="Wingdings 2" w:hint="default"/>
      </w:rPr>
    </w:lvl>
    <w:lvl w:ilvl="1" w:tplc="F1CCCE34" w:tentative="1">
      <w:start w:val="1"/>
      <w:numFmt w:val="bullet"/>
      <w:lvlText w:val=""/>
      <w:lvlJc w:val="left"/>
      <w:pPr>
        <w:tabs>
          <w:tab w:val="num" w:pos="1440"/>
        </w:tabs>
        <w:ind w:left="1440" w:hanging="360"/>
      </w:pPr>
      <w:rPr>
        <w:rFonts w:ascii="Wingdings 2" w:hAnsi="Wingdings 2" w:hint="default"/>
      </w:rPr>
    </w:lvl>
    <w:lvl w:ilvl="2" w:tplc="5FC0C592" w:tentative="1">
      <w:start w:val="1"/>
      <w:numFmt w:val="bullet"/>
      <w:lvlText w:val=""/>
      <w:lvlJc w:val="left"/>
      <w:pPr>
        <w:tabs>
          <w:tab w:val="num" w:pos="2160"/>
        </w:tabs>
        <w:ind w:left="2160" w:hanging="360"/>
      </w:pPr>
      <w:rPr>
        <w:rFonts w:ascii="Wingdings 2" w:hAnsi="Wingdings 2" w:hint="default"/>
      </w:rPr>
    </w:lvl>
    <w:lvl w:ilvl="3" w:tplc="1936AE40" w:tentative="1">
      <w:start w:val="1"/>
      <w:numFmt w:val="bullet"/>
      <w:lvlText w:val=""/>
      <w:lvlJc w:val="left"/>
      <w:pPr>
        <w:tabs>
          <w:tab w:val="num" w:pos="2880"/>
        </w:tabs>
        <w:ind w:left="2880" w:hanging="360"/>
      </w:pPr>
      <w:rPr>
        <w:rFonts w:ascii="Wingdings 2" w:hAnsi="Wingdings 2" w:hint="default"/>
      </w:rPr>
    </w:lvl>
    <w:lvl w:ilvl="4" w:tplc="69A67602" w:tentative="1">
      <w:start w:val="1"/>
      <w:numFmt w:val="bullet"/>
      <w:lvlText w:val=""/>
      <w:lvlJc w:val="left"/>
      <w:pPr>
        <w:tabs>
          <w:tab w:val="num" w:pos="3600"/>
        </w:tabs>
        <w:ind w:left="3600" w:hanging="360"/>
      </w:pPr>
      <w:rPr>
        <w:rFonts w:ascii="Wingdings 2" w:hAnsi="Wingdings 2" w:hint="default"/>
      </w:rPr>
    </w:lvl>
    <w:lvl w:ilvl="5" w:tplc="8FC4D454" w:tentative="1">
      <w:start w:val="1"/>
      <w:numFmt w:val="bullet"/>
      <w:lvlText w:val=""/>
      <w:lvlJc w:val="left"/>
      <w:pPr>
        <w:tabs>
          <w:tab w:val="num" w:pos="4320"/>
        </w:tabs>
        <w:ind w:left="4320" w:hanging="360"/>
      </w:pPr>
      <w:rPr>
        <w:rFonts w:ascii="Wingdings 2" w:hAnsi="Wingdings 2" w:hint="default"/>
      </w:rPr>
    </w:lvl>
    <w:lvl w:ilvl="6" w:tplc="39EEB8B8" w:tentative="1">
      <w:start w:val="1"/>
      <w:numFmt w:val="bullet"/>
      <w:lvlText w:val=""/>
      <w:lvlJc w:val="left"/>
      <w:pPr>
        <w:tabs>
          <w:tab w:val="num" w:pos="5040"/>
        </w:tabs>
        <w:ind w:left="5040" w:hanging="360"/>
      </w:pPr>
      <w:rPr>
        <w:rFonts w:ascii="Wingdings 2" w:hAnsi="Wingdings 2" w:hint="default"/>
      </w:rPr>
    </w:lvl>
    <w:lvl w:ilvl="7" w:tplc="0CBCFE62" w:tentative="1">
      <w:start w:val="1"/>
      <w:numFmt w:val="bullet"/>
      <w:lvlText w:val=""/>
      <w:lvlJc w:val="left"/>
      <w:pPr>
        <w:tabs>
          <w:tab w:val="num" w:pos="5760"/>
        </w:tabs>
        <w:ind w:left="5760" w:hanging="360"/>
      </w:pPr>
      <w:rPr>
        <w:rFonts w:ascii="Wingdings 2" w:hAnsi="Wingdings 2" w:hint="default"/>
      </w:rPr>
    </w:lvl>
    <w:lvl w:ilvl="8" w:tplc="94806080" w:tentative="1">
      <w:start w:val="1"/>
      <w:numFmt w:val="bullet"/>
      <w:lvlText w:val=""/>
      <w:lvlJc w:val="left"/>
      <w:pPr>
        <w:tabs>
          <w:tab w:val="num" w:pos="6480"/>
        </w:tabs>
        <w:ind w:left="6480" w:hanging="360"/>
      </w:pPr>
      <w:rPr>
        <w:rFonts w:ascii="Wingdings 2" w:hAnsi="Wingdings 2"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3FCE0939"/>
    <w:multiLevelType w:val="hybridMultilevel"/>
    <w:tmpl w:val="1CFC5BFC"/>
    <w:lvl w:ilvl="0" w:tplc="244CBC8C">
      <w:start w:val="1"/>
      <w:numFmt w:val="bullet"/>
      <w:lvlText w:val=""/>
      <w:lvlJc w:val="left"/>
      <w:pPr>
        <w:tabs>
          <w:tab w:val="num" w:pos="720"/>
        </w:tabs>
        <w:ind w:left="720" w:hanging="360"/>
      </w:pPr>
      <w:rPr>
        <w:rFonts w:ascii="Wingdings 2" w:hAnsi="Wingdings 2" w:hint="default"/>
      </w:rPr>
    </w:lvl>
    <w:lvl w:ilvl="1" w:tplc="D1DA311C" w:tentative="1">
      <w:start w:val="1"/>
      <w:numFmt w:val="bullet"/>
      <w:lvlText w:val=""/>
      <w:lvlJc w:val="left"/>
      <w:pPr>
        <w:tabs>
          <w:tab w:val="num" w:pos="1440"/>
        </w:tabs>
        <w:ind w:left="1440" w:hanging="360"/>
      </w:pPr>
      <w:rPr>
        <w:rFonts w:ascii="Wingdings 2" w:hAnsi="Wingdings 2" w:hint="default"/>
      </w:rPr>
    </w:lvl>
    <w:lvl w:ilvl="2" w:tplc="634A9F30" w:tentative="1">
      <w:start w:val="1"/>
      <w:numFmt w:val="bullet"/>
      <w:lvlText w:val=""/>
      <w:lvlJc w:val="left"/>
      <w:pPr>
        <w:tabs>
          <w:tab w:val="num" w:pos="2160"/>
        </w:tabs>
        <w:ind w:left="2160" w:hanging="360"/>
      </w:pPr>
      <w:rPr>
        <w:rFonts w:ascii="Wingdings 2" w:hAnsi="Wingdings 2" w:hint="default"/>
      </w:rPr>
    </w:lvl>
    <w:lvl w:ilvl="3" w:tplc="7CE8658E" w:tentative="1">
      <w:start w:val="1"/>
      <w:numFmt w:val="bullet"/>
      <w:lvlText w:val=""/>
      <w:lvlJc w:val="left"/>
      <w:pPr>
        <w:tabs>
          <w:tab w:val="num" w:pos="2880"/>
        </w:tabs>
        <w:ind w:left="2880" w:hanging="360"/>
      </w:pPr>
      <w:rPr>
        <w:rFonts w:ascii="Wingdings 2" w:hAnsi="Wingdings 2" w:hint="default"/>
      </w:rPr>
    </w:lvl>
    <w:lvl w:ilvl="4" w:tplc="62B8A57C" w:tentative="1">
      <w:start w:val="1"/>
      <w:numFmt w:val="bullet"/>
      <w:lvlText w:val=""/>
      <w:lvlJc w:val="left"/>
      <w:pPr>
        <w:tabs>
          <w:tab w:val="num" w:pos="3600"/>
        </w:tabs>
        <w:ind w:left="3600" w:hanging="360"/>
      </w:pPr>
      <w:rPr>
        <w:rFonts w:ascii="Wingdings 2" w:hAnsi="Wingdings 2" w:hint="default"/>
      </w:rPr>
    </w:lvl>
    <w:lvl w:ilvl="5" w:tplc="11788FE6" w:tentative="1">
      <w:start w:val="1"/>
      <w:numFmt w:val="bullet"/>
      <w:lvlText w:val=""/>
      <w:lvlJc w:val="left"/>
      <w:pPr>
        <w:tabs>
          <w:tab w:val="num" w:pos="4320"/>
        </w:tabs>
        <w:ind w:left="4320" w:hanging="360"/>
      </w:pPr>
      <w:rPr>
        <w:rFonts w:ascii="Wingdings 2" w:hAnsi="Wingdings 2" w:hint="default"/>
      </w:rPr>
    </w:lvl>
    <w:lvl w:ilvl="6" w:tplc="DCF64768" w:tentative="1">
      <w:start w:val="1"/>
      <w:numFmt w:val="bullet"/>
      <w:lvlText w:val=""/>
      <w:lvlJc w:val="left"/>
      <w:pPr>
        <w:tabs>
          <w:tab w:val="num" w:pos="5040"/>
        </w:tabs>
        <w:ind w:left="5040" w:hanging="360"/>
      </w:pPr>
      <w:rPr>
        <w:rFonts w:ascii="Wingdings 2" w:hAnsi="Wingdings 2" w:hint="default"/>
      </w:rPr>
    </w:lvl>
    <w:lvl w:ilvl="7" w:tplc="C9A42F10" w:tentative="1">
      <w:start w:val="1"/>
      <w:numFmt w:val="bullet"/>
      <w:lvlText w:val=""/>
      <w:lvlJc w:val="left"/>
      <w:pPr>
        <w:tabs>
          <w:tab w:val="num" w:pos="5760"/>
        </w:tabs>
        <w:ind w:left="5760" w:hanging="360"/>
      </w:pPr>
      <w:rPr>
        <w:rFonts w:ascii="Wingdings 2" w:hAnsi="Wingdings 2" w:hint="default"/>
      </w:rPr>
    </w:lvl>
    <w:lvl w:ilvl="8" w:tplc="F4307134" w:tentative="1">
      <w:start w:val="1"/>
      <w:numFmt w:val="bullet"/>
      <w:lvlText w:val=""/>
      <w:lvlJc w:val="left"/>
      <w:pPr>
        <w:tabs>
          <w:tab w:val="num" w:pos="6480"/>
        </w:tabs>
        <w:ind w:left="6480" w:hanging="360"/>
      </w:pPr>
      <w:rPr>
        <w:rFonts w:ascii="Wingdings 2" w:hAnsi="Wingdings 2"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FC3AB0"/>
    <w:multiLevelType w:val="hybridMultilevel"/>
    <w:tmpl w:val="50820F4C"/>
    <w:lvl w:ilvl="0" w:tplc="52A4CBCA">
      <w:start w:val="1"/>
      <w:numFmt w:val="bullet"/>
      <w:lvlText w:val=""/>
      <w:lvlJc w:val="left"/>
      <w:pPr>
        <w:tabs>
          <w:tab w:val="num" w:pos="720"/>
        </w:tabs>
        <w:ind w:left="720" w:hanging="360"/>
      </w:pPr>
      <w:rPr>
        <w:rFonts w:ascii="Wingdings 2" w:hAnsi="Wingdings 2" w:hint="default"/>
      </w:rPr>
    </w:lvl>
    <w:lvl w:ilvl="1" w:tplc="97CE52EA" w:tentative="1">
      <w:start w:val="1"/>
      <w:numFmt w:val="bullet"/>
      <w:lvlText w:val=""/>
      <w:lvlJc w:val="left"/>
      <w:pPr>
        <w:tabs>
          <w:tab w:val="num" w:pos="1440"/>
        </w:tabs>
        <w:ind w:left="1440" w:hanging="360"/>
      </w:pPr>
      <w:rPr>
        <w:rFonts w:ascii="Wingdings 2" w:hAnsi="Wingdings 2" w:hint="default"/>
      </w:rPr>
    </w:lvl>
    <w:lvl w:ilvl="2" w:tplc="2DAA5290" w:tentative="1">
      <w:start w:val="1"/>
      <w:numFmt w:val="bullet"/>
      <w:lvlText w:val=""/>
      <w:lvlJc w:val="left"/>
      <w:pPr>
        <w:tabs>
          <w:tab w:val="num" w:pos="2160"/>
        </w:tabs>
        <w:ind w:left="2160" w:hanging="360"/>
      </w:pPr>
      <w:rPr>
        <w:rFonts w:ascii="Wingdings 2" w:hAnsi="Wingdings 2" w:hint="default"/>
      </w:rPr>
    </w:lvl>
    <w:lvl w:ilvl="3" w:tplc="EFD8F8A6" w:tentative="1">
      <w:start w:val="1"/>
      <w:numFmt w:val="bullet"/>
      <w:lvlText w:val=""/>
      <w:lvlJc w:val="left"/>
      <w:pPr>
        <w:tabs>
          <w:tab w:val="num" w:pos="2880"/>
        </w:tabs>
        <w:ind w:left="2880" w:hanging="360"/>
      </w:pPr>
      <w:rPr>
        <w:rFonts w:ascii="Wingdings 2" w:hAnsi="Wingdings 2" w:hint="default"/>
      </w:rPr>
    </w:lvl>
    <w:lvl w:ilvl="4" w:tplc="A378D1F2" w:tentative="1">
      <w:start w:val="1"/>
      <w:numFmt w:val="bullet"/>
      <w:lvlText w:val=""/>
      <w:lvlJc w:val="left"/>
      <w:pPr>
        <w:tabs>
          <w:tab w:val="num" w:pos="3600"/>
        </w:tabs>
        <w:ind w:left="3600" w:hanging="360"/>
      </w:pPr>
      <w:rPr>
        <w:rFonts w:ascii="Wingdings 2" w:hAnsi="Wingdings 2" w:hint="default"/>
      </w:rPr>
    </w:lvl>
    <w:lvl w:ilvl="5" w:tplc="AE7C45E6" w:tentative="1">
      <w:start w:val="1"/>
      <w:numFmt w:val="bullet"/>
      <w:lvlText w:val=""/>
      <w:lvlJc w:val="left"/>
      <w:pPr>
        <w:tabs>
          <w:tab w:val="num" w:pos="4320"/>
        </w:tabs>
        <w:ind w:left="4320" w:hanging="360"/>
      </w:pPr>
      <w:rPr>
        <w:rFonts w:ascii="Wingdings 2" w:hAnsi="Wingdings 2" w:hint="default"/>
      </w:rPr>
    </w:lvl>
    <w:lvl w:ilvl="6" w:tplc="FAF41ED0" w:tentative="1">
      <w:start w:val="1"/>
      <w:numFmt w:val="bullet"/>
      <w:lvlText w:val=""/>
      <w:lvlJc w:val="left"/>
      <w:pPr>
        <w:tabs>
          <w:tab w:val="num" w:pos="5040"/>
        </w:tabs>
        <w:ind w:left="5040" w:hanging="360"/>
      </w:pPr>
      <w:rPr>
        <w:rFonts w:ascii="Wingdings 2" w:hAnsi="Wingdings 2" w:hint="default"/>
      </w:rPr>
    </w:lvl>
    <w:lvl w:ilvl="7" w:tplc="5A14058A" w:tentative="1">
      <w:start w:val="1"/>
      <w:numFmt w:val="bullet"/>
      <w:lvlText w:val=""/>
      <w:lvlJc w:val="left"/>
      <w:pPr>
        <w:tabs>
          <w:tab w:val="num" w:pos="5760"/>
        </w:tabs>
        <w:ind w:left="5760" w:hanging="360"/>
      </w:pPr>
      <w:rPr>
        <w:rFonts w:ascii="Wingdings 2" w:hAnsi="Wingdings 2" w:hint="default"/>
      </w:rPr>
    </w:lvl>
    <w:lvl w:ilvl="8" w:tplc="C96A8FE8"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970FFA"/>
    <w:multiLevelType w:val="hybridMultilevel"/>
    <w:tmpl w:val="19B0C710"/>
    <w:lvl w:ilvl="0" w:tplc="4E8EF14E">
      <w:start w:val="1"/>
      <w:numFmt w:val="bullet"/>
      <w:lvlText w:val=""/>
      <w:lvlJc w:val="left"/>
      <w:pPr>
        <w:tabs>
          <w:tab w:val="num" w:pos="720"/>
        </w:tabs>
        <w:ind w:left="720" w:hanging="360"/>
      </w:pPr>
      <w:rPr>
        <w:rFonts w:ascii="Wingdings 2" w:hAnsi="Wingdings 2" w:hint="default"/>
      </w:rPr>
    </w:lvl>
    <w:lvl w:ilvl="1" w:tplc="FB0A498C" w:tentative="1">
      <w:start w:val="1"/>
      <w:numFmt w:val="bullet"/>
      <w:lvlText w:val=""/>
      <w:lvlJc w:val="left"/>
      <w:pPr>
        <w:tabs>
          <w:tab w:val="num" w:pos="1440"/>
        </w:tabs>
        <w:ind w:left="1440" w:hanging="360"/>
      </w:pPr>
      <w:rPr>
        <w:rFonts w:ascii="Wingdings 2" w:hAnsi="Wingdings 2" w:hint="default"/>
      </w:rPr>
    </w:lvl>
    <w:lvl w:ilvl="2" w:tplc="F8B01706" w:tentative="1">
      <w:start w:val="1"/>
      <w:numFmt w:val="bullet"/>
      <w:lvlText w:val=""/>
      <w:lvlJc w:val="left"/>
      <w:pPr>
        <w:tabs>
          <w:tab w:val="num" w:pos="2160"/>
        </w:tabs>
        <w:ind w:left="2160" w:hanging="360"/>
      </w:pPr>
      <w:rPr>
        <w:rFonts w:ascii="Wingdings 2" w:hAnsi="Wingdings 2" w:hint="default"/>
      </w:rPr>
    </w:lvl>
    <w:lvl w:ilvl="3" w:tplc="9F90F95C" w:tentative="1">
      <w:start w:val="1"/>
      <w:numFmt w:val="bullet"/>
      <w:lvlText w:val=""/>
      <w:lvlJc w:val="left"/>
      <w:pPr>
        <w:tabs>
          <w:tab w:val="num" w:pos="2880"/>
        </w:tabs>
        <w:ind w:left="2880" w:hanging="360"/>
      </w:pPr>
      <w:rPr>
        <w:rFonts w:ascii="Wingdings 2" w:hAnsi="Wingdings 2" w:hint="default"/>
      </w:rPr>
    </w:lvl>
    <w:lvl w:ilvl="4" w:tplc="E3F6E2F8" w:tentative="1">
      <w:start w:val="1"/>
      <w:numFmt w:val="bullet"/>
      <w:lvlText w:val=""/>
      <w:lvlJc w:val="left"/>
      <w:pPr>
        <w:tabs>
          <w:tab w:val="num" w:pos="3600"/>
        </w:tabs>
        <w:ind w:left="3600" w:hanging="360"/>
      </w:pPr>
      <w:rPr>
        <w:rFonts w:ascii="Wingdings 2" w:hAnsi="Wingdings 2" w:hint="default"/>
      </w:rPr>
    </w:lvl>
    <w:lvl w:ilvl="5" w:tplc="DC02C246" w:tentative="1">
      <w:start w:val="1"/>
      <w:numFmt w:val="bullet"/>
      <w:lvlText w:val=""/>
      <w:lvlJc w:val="left"/>
      <w:pPr>
        <w:tabs>
          <w:tab w:val="num" w:pos="4320"/>
        </w:tabs>
        <w:ind w:left="4320" w:hanging="360"/>
      </w:pPr>
      <w:rPr>
        <w:rFonts w:ascii="Wingdings 2" w:hAnsi="Wingdings 2" w:hint="default"/>
      </w:rPr>
    </w:lvl>
    <w:lvl w:ilvl="6" w:tplc="A27C0EBA" w:tentative="1">
      <w:start w:val="1"/>
      <w:numFmt w:val="bullet"/>
      <w:lvlText w:val=""/>
      <w:lvlJc w:val="left"/>
      <w:pPr>
        <w:tabs>
          <w:tab w:val="num" w:pos="5040"/>
        </w:tabs>
        <w:ind w:left="5040" w:hanging="360"/>
      </w:pPr>
      <w:rPr>
        <w:rFonts w:ascii="Wingdings 2" w:hAnsi="Wingdings 2" w:hint="default"/>
      </w:rPr>
    </w:lvl>
    <w:lvl w:ilvl="7" w:tplc="45984C00" w:tentative="1">
      <w:start w:val="1"/>
      <w:numFmt w:val="bullet"/>
      <w:lvlText w:val=""/>
      <w:lvlJc w:val="left"/>
      <w:pPr>
        <w:tabs>
          <w:tab w:val="num" w:pos="5760"/>
        </w:tabs>
        <w:ind w:left="5760" w:hanging="360"/>
      </w:pPr>
      <w:rPr>
        <w:rFonts w:ascii="Wingdings 2" w:hAnsi="Wingdings 2" w:hint="default"/>
      </w:rPr>
    </w:lvl>
    <w:lvl w:ilvl="8" w:tplc="EEB2E792" w:tentative="1">
      <w:start w:val="1"/>
      <w:numFmt w:val="bullet"/>
      <w:lvlText w:val=""/>
      <w:lvlJc w:val="left"/>
      <w:pPr>
        <w:tabs>
          <w:tab w:val="num" w:pos="6480"/>
        </w:tabs>
        <w:ind w:left="6480" w:hanging="360"/>
      </w:pPr>
      <w:rPr>
        <w:rFonts w:ascii="Wingdings 2" w:hAnsi="Wingdings 2"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B0D2F9F"/>
    <w:multiLevelType w:val="hybridMultilevel"/>
    <w:tmpl w:val="622E16DE"/>
    <w:lvl w:ilvl="0" w:tplc="C0889CFE">
      <w:start w:val="1"/>
      <w:numFmt w:val="bullet"/>
      <w:lvlText w:val=""/>
      <w:lvlJc w:val="left"/>
      <w:pPr>
        <w:tabs>
          <w:tab w:val="num" w:pos="720"/>
        </w:tabs>
        <w:ind w:left="720" w:hanging="360"/>
      </w:pPr>
      <w:rPr>
        <w:rFonts w:ascii="Wingdings 2" w:hAnsi="Wingdings 2" w:hint="default"/>
      </w:rPr>
    </w:lvl>
    <w:lvl w:ilvl="1" w:tplc="6D7C87E6" w:tentative="1">
      <w:start w:val="1"/>
      <w:numFmt w:val="bullet"/>
      <w:lvlText w:val=""/>
      <w:lvlJc w:val="left"/>
      <w:pPr>
        <w:tabs>
          <w:tab w:val="num" w:pos="1440"/>
        </w:tabs>
        <w:ind w:left="1440" w:hanging="360"/>
      </w:pPr>
      <w:rPr>
        <w:rFonts w:ascii="Wingdings 2" w:hAnsi="Wingdings 2" w:hint="default"/>
      </w:rPr>
    </w:lvl>
    <w:lvl w:ilvl="2" w:tplc="1E422A18" w:tentative="1">
      <w:start w:val="1"/>
      <w:numFmt w:val="bullet"/>
      <w:lvlText w:val=""/>
      <w:lvlJc w:val="left"/>
      <w:pPr>
        <w:tabs>
          <w:tab w:val="num" w:pos="2160"/>
        </w:tabs>
        <w:ind w:left="2160" w:hanging="360"/>
      </w:pPr>
      <w:rPr>
        <w:rFonts w:ascii="Wingdings 2" w:hAnsi="Wingdings 2" w:hint="default"/>
      </w:rPr>
    </w:lvl>
    <w:lvl w:ilvl="3" w:tplc="3EBE4C4A" w:tentative="1">
      <w:start w:val="1"/>
      <w:numFmt w:val="bullet"/>
      <w:lvlText w:val=""/>
      <w:lvlJc w:val="left"/>
      <w:pPr>
        <w:tabs>
          <w:tab w:val="num" w:pos="2880"/>
        </w:tabs>
        <w:ind w:left="2880" w:hanging="360"/>
      </w:pPr>
      <w:rPr>
        <w:rFonts w:ascii="Wingdings 2" w:hAnsi="Wingdings 2" w:hint="default"/>
      </w:rPr>
    </w:lvl>
    <w:lvl w:ilvl="4" w:tplc="3132974E" w:tentative="1">
      <w:start w:val="1"/>
      <w:numFmt w:val="bullet"/>
      <w:lvlText w:val=""/>
      <w:lvlJc w:val="left"/>
      <w:pPr>
        <w:tabs>
          <w:tab w:val="num" w:pos="3600"/>
        </w:tabs>
        <w:ind w:left="3600" w:hanging="360"/>
      </w:pPr>
      <w:rPr>
        <w:rFonts w:ascii="Wingdings 2" w:hAnsi="Wingdings 2" w:hint="default"/>
      </w:rPr>
    </w:lvl>
    <w:lvl w:ilvl="5" w:tplc="FA60FE94" w:tentative="1">
      <w:start w:val="1"/>
      <w:numFmt w:val="bullet"/>
      <w:lvlText w:val=""/>
      <w:lvlJc w:val="left"/>
      <w:pPr>
        <w:tabs>
          <w:tab w:val="num" w:pos="4320"/>
        </w:tabs>
        <w:ind w:left="4320" w:hanging="360"/>
      </w:pPr>
      <w:rPr>
        <w:rFonts w:ascii="Wingdings 2" w:hAnsi="Wingdings 2" w:hint="default"/>
      </w:rPr>
    </w:lvl>
    <w:lvl w:ilvl="6" w:tplc="426C7862" w:tentative="1">
      <w:start w:val="1"/>
      <w:numFmt w:val="bullet"/>
      <w:lvlText w:val=""/>
      <w:lvlJc w:val="left"/>
      <w:pPr>
        <w:tabs>
          <w:tab w:val="num" w:pos="5040"/>
        </w:tabs>
        <w:ind w:left="5040" w:hanging="360"/>
      </w:pPr>
      <w:rPr>
        <w:rFonts w:ascii="Wingdings 2" w:hAnsi="Wingdings 2" w:hint="default"/>
      </w:rPr>
    </w:lvl>
    <w:lvl w:ilvl="7" w:tplc="CD6AF3B2" w:tentative="1">
      <w:start w:val="1"/>
      <w:numFmt w:val="bullet"/>
      <w:lvlText w:val=""/>
      <w:lvlJc w:val="left"/>
      <w:pPr>
        <w:tabs>
          <w:tab w:val="num" w:pos="5760"/>
        </w:tabs>
        <w:ind w:left="5760" w:hanging="360"/>
      </w:pPr>
      <w:rPr>
        <w:rFonts w:ascii="Wingdings 2" w:hAnsi="Wingdings 2" w:hint="default"/>
      </w:rPr>
    </w:lvl>
    <w:lvl w:ilvl="8" w:tplc="AC420D74" w:tentative="1">
      <w:start w:val="1"/>
      <w:numFmt w:val="bullet"/>
      <w:lvlText w:val=""/>
      <w:lvlJc w:val="left"/>
      <w:pPr>
        <w:tabs>
          <w:tab w:val="num" w:pos="6480"/>
        </w:tabs>
        <w:ind w:left="6480" w:hanging="360"/>
      </w:pPr>
      <w:rPr>
        <w:rFonts w:ascii="Wingdings 2" w:hAnsi="Wingdings 2" w:hint="default"/>
      </w:rPr>
    </w:lvl>
  </w:abstractNum>
  <w:abstractNum w:abstractNumId="44">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7CB9280F"/>
    <w:multiLevelType w:val="hybridMultilevel"/>
    <w:tmpl w:val="0280384E"/>
    <w:lvl w:ilvl="0" w:tplc="64C0B784">
      <w:start w:val="1"/>
      <w:numFmt w:val="bullet"/>
      <w:lvlText w:val=""/>
      <w:lvlJc w:val="left"/>
      <w:pPr>
        <w:tabs>
          <w:tab w:val="num" w:pos="720"/>
        </w:tabs>
        <w:ind w:left="720" w:hanging="360"/>
      </w:pPr>
      <w:rPr>
        <w:rFonts w:ascii="Wingdings 2" w:hAnsi="Wingdings 2" w:hint="default"/>
      </w:rPr>
    </w:lvl>
    <w:lvl w:ilvl="1" w:tplc="DC60EB52" w:tentative="1">
      <w:start w:val="1"/>
      <w:numFmt w:val="bullet"/>
      <w:lvlText w:val=""/>
      <w:lvlJc w:val="left"/>
      <w:pPr>
        <w:tabs>
          <w:tab w:val="num" w:pos="1440"/>
        </w:tabs>
        <w:ind w:left="1440" w:hanging="360"/>
      </w:pPr>
      <w:rPr>
        <w:rFonts w:ascii="Wingdings 2" w:hAnsi="Wingdings 2" w:hint="default"/>
      </w:rPr>
    </w:lvl>
    <w:lvl w:ilvl="2" w:tplc="68922080" w:tentative="1">
      <w:start w:val="1"/>
      <w:numFmt w:val="bullet"/>
      <w:lvlText w:val=""/>
      <w:lvlJc w:val="left"/>
      <w:pPr>
        <w:tabs>
          <w:tab w:val="num" w:pos="2160"/>
        </w:tabs>
        <w:ind w:left="2160" w:hanging="360"/>
      </w:pPr>
      <w:rPr>
        <w:rFonts w:ascii="Wingdings 2" w:hAnsi="Wingdings 2" w:hint="default"/>
      </w:rPr>
    </w:lvl>
    <w:lvl w:ilvl="3" w:tplc="4BBE2E3C" w:tentative="1">
      <w:start w:val="1"/>
      <w:numFmt w:val="bullet"/>
      <w:lvlText w:val=""/>
      <w:lvlJc w:val="left"/>
      <w:pPr>
        <w:tabs>
          <w:tab w:val="num" w:pos="2880"/>
        </w:tabs>
        <w:ind w:left="2880" w:hanging="360"/>
      </w:pPr>
      <w:rPr>
        <w:rFonts w:ascii="Wingdings 2" w:hAnsi="Wingdings 2" w:hint="default"/>
      </w:rPr>
    </w:lvl>
    <w:lvl w:ilvl="4" w:tplc="073AA6C2" w:tentative="1">
      <w:start w:val="1"/>
      <w:numFmt w:val="bullet"/>
      <w:lvlText w:val=""/>
      <w:lvlJc w:val="left"/>
      <w:pPr>
        <w:tabs>
          <w:tab w:val="num" w:pos="3600"/>
        </w:tabs>
        <w:ind w:left="3600" w:hanging="360"/>
      </w:pPr>
      <w:rPr>
        <w:rFonts w:ascii="Wingdings 2" w:hAnsi="Wingdings 2" w:hint="default"/>
      </w:rPr>
    </w:lvl>
    <w:lvl w:ilvl="5" w:tplc="DD0819D6" w:tentative="1">
      <w:start w:val="1"/>
      <w:numFmt w:val="bullet"/>
      <w:lvlText w:val=""/>
      <w:lvlJc w:val="left"/>
      <w:pPr>
        <w:tabs>
          <w:tab w:val="num" w:pos="4320"/>
        </w:tabs>
        <w:ind w:left="4320" w:hanging="360"/>
      </w:pPr>
      <w:rPr>
        <w:rFonts w:ascii="Wingdings 2" w:hAnsi="Wingdings 2" w:hint="default"/>
      </w:rPr>
    </w:lvl>
    <w:lvl w:ilvl="6" w:tplc="A01271F8" w:tentative="1">
      <w:start w:val="1"/>
      <w:numFmt w:val="bullet"/>
      <w:lvlText w:val=""/>
      <w:lvlJc w:val="left"/>
      <w:pPr>
        <w:tabs>
          <w:tab w:val="num" w:pos="5040"/>
        </w:tabs>
        <w:ind w:left="5040" w:hanging="360"/>
      </w:pPr>
      <w:rPr>
        <w:rFonts w:ascii="Wingdings 2" w:hAnsi="Wingdings 2" w:hint="default"/>
      </w:rPr>
    </w:lvl>
    <w:lvl w:ilvl="7" w:tplc="D1345708" w:tentative="1">
      <w:start w:val="1"/>
      <w:numFmt w:val="bullet"/>
      <w:lvlText w:val=""/>
      <w:lvlJc w:val="left"/>
      <w:pPr>
        <w:tabs>
          <w:tab w:val="num" w:pos="5760"/>
        </w:tabs>
        <w:ind w:left="5760" w:hanging="360"/>
      </w:pPr>
      <w:rPr>
        <w:rFonts w:ascii="Wingdings 2" w:hAnsi="Wingdings 2" w:hint="default"/>
      </w:rPr>
    </w:lvl>
    <w:lvl w:ilvl="8" w:tplc="40241E8A" w:tentative="1">
      <w:start w:val="1"/>
      <w:numFmt w:val="bullet"/>
      <w:lvlText w:val=""/>
      <w:lvlJc w:val="left"/>
      <w:pPr>
        <w:tabs>
          <w:tab w:val="num" w:pos="6480"/>
        </w:tabs>
        <w:ind w:left="6480" w:hanging="360"/>
      </w:pPr>
      <w:rPr>
        <w:rFonts w:ascii="Wingdings 2" w:hAnsi="Wingdings 2" w:hint="default"/>
      </w:rPr>
    </w:lvl>
  </w:abstractNum>
  <w:abstractNum w:abstractNumId="47">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1"/>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4"/>
  </w:num>
  <w:num w:numId="9">
    <w:abstractNumId w:val="5"/>
  </w:num>
  <w:num w:numId="10">
    <w:abstractNumId w:val="1"/>
  </w:num>
  <w:num w:numId="11">
    <w:abstractNumId w:val="11"/>
  </w:num>
  <w:num w:numId="12">
    <w:abstractNumId w:val="35"/>
  </w:num>
  <w:num w:numId="13">
    <w:abstractNumId w:val="42"/>
  </w:num>
  <w:num w:numId="14">
    <w:abstractNumId w:val="47"/>
  </w:num>
  <w:num w:numId="15">
    <w:abstractNumId w:val="38"/>
  </w:num>
  <w:num w:numId="16">
    <w:abstractNumId w:val="34"/>
  </w:num>
  <w:num w:numId="17">
    <w:abstractNumId w:val="7"/>
  </w:num>
  <w:num w:numId="18">
    <w:abstractNumId w:val="36"/>
  </w:num>
  <w:num w:numId="19">
    <w:abstractNumId w:val="26"/>
  </w:num>
  <w:num w:numId="20">
    <w:abstractNumId w:val="6"/>
  </w:num>
  <w:num w:numId="21">
    <w:abstractNumId w:val="48"/>
  </w:num>
  <w:num w:numId="22">
    <w:abstractNumId w:val="19"/>
  </w:num>
  <w:num w:numId="23">
    <w:abstractNumId w:val="44"/>
  </w:num>
  <w:num w:numId="24">
    <w:abstractNumId w:val="45"/>
  </w:num>
  <w:num w:numId="25">
    <w:abstractNumId w:val="31"/>
  </w:num>
  <w:num w:numId="26">
    <w:abstractNumId w:val="18"/>
  </w:num>
  <w:num w:numId="27">
    <w:abstractNumId w:val="3"/>
  </w:num>
  <w:num w:numId="28">
    <w:abstractNumId w:val="12"/>
  </w:num>
  <w:num w:numId="29">
    <w:abstractNumId w:val="32"/>
  </w:num>
  <w:num w:numId="30">
    <w:abstractNumId w:val="40"/>
  </w:num>
  <w:num w:numId="31">
    <w:abstractNumId w:val="29"/>
  </w:num>
  <w:num w:numId="32">
    <w:abstractNumId w:val="2"/>
  </w:num>
  <w:num w:numId="33">
    <w:abstractNumId w:val="28"/>
  </w:num>
  <w:num w:numId="34">
    <w:abstractNumId w:val="23"/>
  </w:num>
  <w:num w:numId="35">
    <w:abstractNumId w:val="15"/>
  </w:num>
  <w:num w:numId="36">
    <w:abstractNumId w:val="13"/>
  </w:num>
  <w:num w:numId="37">
    <w:abstractNumId w:val="8"/>
  </w:num>
  <w:num w:numId="38">
    <w:abstractNumId w:val="39"/>
  </w:num>
  <w:num w:numId="39">
    <w:abstractNumId w:val="17"/>
  </w:num>
  <w:num w:numId="40">
    <w:abstractNumId w:val="14"/>
  </w:num>
  <w:num w:numId="41">
    <w:abstractNumId w:val="24"/>
  </w:num>
  <w:num w:numId="42">
    <w:abstractNumId w:val="37"/>
  </w:num>
  <w:num w:numId="43">
    <w:abstractNumId w:val="46"/>
  </w:num>
  <w:num w:numId="44">
    <w:abstractNumId w:val="33"/>
  </w:num>
  <w:num w:numId="45">
    <w:abstractNumId w:val="43"/>
  </w:num>
  <w:num w:numId="46">
    <w:abstractNumId w:val="25"/>
  </w:num>
  <w:num w:numId="47">
    <w:abstractNumId w:val="10"/>
  </w:num>
  <w:num w:numId="48">
    <w:abstractNumId w:val="9"/>
  </w:num>
  <w:num w:numId="49">
    <w:abstractNumId w:val="2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A7C05"/>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4749F"/>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3BB5"/>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214D"/>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1B9"/>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118E"/>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25B"/>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078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2C08"/>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526"/>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2B22"/>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4DCE"/>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29F8"/>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46751383">
      <w:bodyDiv w:val="1"/>
      <w:marLeft w:val="0"/>
      <w:marRight w:val="0"/>
      <w:marTop w:val="0"/>
      <w:marBottom w:val="0"/>
      <w:divBdr>
        <w:top w:val="none" w:sz="0" w:space="0" w:color="auto"/>
        <w:left w:val="none" w:sz="0" w:space="0" w:color="auto"/>
        <w:bottom w:val="none" w:sz="0" w:space="0" w:color="auto"/>
        <w:right w:val="none" w:sz="0" w:space="0" w:color="auto"/>
      </w:divBdr>
      <w:divsChild>
        <w:div w:id="979501137">
          <w:marLeft w:val="576"/>
          <w:marRight w:val="0"/>
          <w:marTop w:val="120"/>
          <w:marBottom w:val="0"/>
          <w:divBdr>
            <w:top w:val="none" w:sz="0" w:space="0" w:color="auto"/>
            <w:left w:val="none" w:sz="0" w:space="0" w:color="auto"/>
            <w:bottom w:val="none" w:sz="0" w:space="0" w:color="auto"/>
            <w:right w:val="none" w:sz="0" w:space="0" w:color="auto"/>
          </w:divBdr>
        </w:div>
        <w:div w:id="447699514">
          <w:marLeft w:val="576"/>
          <w:marRight w:val="0"/>
          <w:marTop w:val="120"/>
          <w:marBottom w:val="0"/>
          <w:divBdr>
            <w:top w:val="none" w:sz="0" w:space="0" w:color="auto"/>
            <w:left w:val="none" w:sz="0" w:space="0" w:color="auto"/>
            <w:bottom w:val="none" w:sz="0" w:space="0" w:color="auto"/>
            <w:right w:val="none" w:sz="0" w:space="0" w:color="auto"/>
          </w:divBdr>
        </w:div>
        <w:div w:id="1971784772">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93661625">
      <w:bodyDiv w:val="1"/>
      <w:marLeft w:val="0"/>
      <w:marRight w:val="0"/>
      <w:marTop w:val="0"/>
      <w:marBottom w:val="0"/>
      <w:divBdr>
        <w:top w:val="none" w:sz="0" w:space="0" w:color="auto"/>
        <w:left w:val="none" w:sz="0" w:space="0" w:color="auto"/>
        <w:bottom w:val="none" w:sz="0" w:space="0" w:color="auto"/>
        <w:right w:val="none" w:sz="0" w:space="0" w:color="auto"/>
      </w:divBdr>
      <w:divsChild>
        <w:div w:id="103430527">
          <w:marLeft w:val="576"/>
          <w:marRight w:val="0"/>
          <w:marTop w:val="120"/>
          <w:marBottom w:val="0"/>
          <w:divBdr>
            <w:top w:val="none" w:sz="0" w:space="0" w:color="auto"/>
            <w:left w:val="none" w:sz="0" w:space="0" w:color="auto"/>
            <w:bottom w:val="none" w:sz="0" w:space="0" w:color="auto"/>
            <w:right w:val="none" w:sz="0" w:space="0" w:color="auto"/>
          </w:divBdr>
        </w:div>
        <w:div w:id="1170217904">
          <w:marLeft w:val="576"/>
          <w:marRight w:val="0"/>
          <w:marTop w:val="120"/>
          <w:marBottom w:val="0"/>
          <w:divBdr>
            <w:top w:val="none" w:sz="0" w:space="0" w:color="auto"/>
            <w:left w:val="none" w:sz="0" w:space="0" w:color="auto"/>
            <w:bottom w:val="none" w:sz="0" w:space="0" w:color="auto"/>
            <w:right w:val="none" w:sz="0" w:space="0" w:color="auto"/>
          </w:divBdr>
        </w:div>
        <w:div w:id="1032924343">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326015">
      <w:bodyDiv w:val="1"/>
      <w:marLeft w:val="0"/>
      <w:marRight w:val="0"/>
      <w:marTop w:val="0"/>
      <w:marBottom w:val="0"/>
      <w:divBdr>
        <w:top w:val="none" w:sz="0" w:space="0" w:color="auto"/>
        <w:left w:val="none" w:sz="0" w:space="0" w:color="auto"/>
        <w:bottom w:val="none" w:sz="0" w:space="0" w:color="auto"/>
        <w:right w:val="none" w:sz="0" w:space="0" w:color="auto"/>
      </w:divBdr>
      <w:divsChild>
        <w:div w:id="1447113867">
          <w:marLeft w:val="576"/>
          <w:marRight w:val="0"/>
          <w:marTop w:val="120"/>
          <w:marBottom w:val="0"/>
          <w:divBdr>
            <w:top w:val="none" w:sz="0" w:space="0" w:color="auto"/>
            <w:left w:val="none" w:sz="0" w:space="0" w:color="auto"/>
            <w:bottom w:val="none" w:sz="0" w:space="0" w:color="auto"/>
            <w:right w:val="none" w:sz="0" w:space="0" w:color="auto"/>
          </w:divBdr>
        </w:div>
        <w:div w:id="1501964645">
          <w:marLeft w:val="576"/>
          <w:marRight w:val="0"/>
          <w:marTop w:val="120"/>
          <w:marBottom w:val="0"/>
          <w:divBdr>
            <w:top w:val="none" w:sz="0" w:space="0" w:color="auto"/>
            <w:left w:val="none" w:sz="0" w:space="0" w:color="auto"/>
            <w:bottom w:val="none" w:sz="0" w:space="0" w:color="auto"/>
            <w:right w:val="none" w:sz="0" w:space="0" w:color="auto"/>
          </w:divBdr>
        </w:div>
        <w:div w:id="303241135">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29152809">
      <w:bodyDiv w:val="1"/>
      <w:marLeft w:val="0"/>
      <w:marRight w:val="0"/>
      <w:marTop w:val="0"/>
      <w:marBottom w:val="0"/>
      <w:divBdr>
        <w:top w:val="none" w:sz="0" w:space="0" w:color="auto"/>
        <w:left w:val="none" w:sz="0" w:space="0" w:color="auto"/>
        <w:bottom w:val="none" w:sz="0" w:space="0" w:color="auto"/>
        <w:right w:val="none" w:sz="0" w:space="0" w:color="auto"/>
      </w:divBdr>
      <w:divsChild>
        <w:div w:id="516845975">
          <w:marLeft w:val="576"/>
          <w:marRight w:val="0"/>
          <w:marTop w:val="120"/>
          <w:marBottom w:val="0"/>
          <w:divBdr>
            <w:top w:val="none" w:sz="0" w:space="0" w:color="auto"/>
            <w:left w:val="none" w:sz="0" w:space="0" w:color="auto"/>
            <w:bottom w:val="none" w:sz="0" w:space="0" w:color="auto"/>
            <w:right w:val="none" w:sz="0" w:space="0" w:color="auto"/>
          </w:divBdr>
        </w:div>
        <w:div w:id="1348942265">
          <w:marLeft w:val="576"/>
          <w:marRight w:val="0"/>
          <w:marTop w:val="120"/>
          <w:marBottom w:val="0"/>
          <w:divBdr>
            <w:top w:val="none" w:sz="0" w:space="0" w:color="auto"/>
            <w:left w:val="none" w:sz="0" w:space="0" w:color="auto"/>
            <w:bottom w:val="none" w:sz="0" w:space="0" w:color="auto"/>
            <w:right w:val="none" w:sz="0" w:space="0" w:color="auto"/>
          </w:divBdr>
        </w:div>
        <w:div w:id="410587491">
          <w:marLeft w:val="576"/>
          <w:marRight w:val="0"/>
          <w:marTop w:val="120"/>
          <w:marBottom w:val="0"/>
          <w:divBdr>
            <w:top w:val="none" w:sz="0" w:space="0" w:color="auto"/>
            <w:left w:val="none" w:sz="0" w:space="0" w:color="auto"/>
            <w:bottom w:val="none" w:sz="0" w:space="0" w:color="auto"/>
            <w:right w:val="none" w:sz="0" w:space="0" w:color="auto"/>
          </w:divBdr>
        </w:div>
        <w:div w:id="316500486">
          <w:marLeft w:val="576"/>
          <w:marRight w:val="0"/>
          <w:marTop w:val="120"/>
          <w:marBottom w:val="0"/>
          <w:divBdr>
            <w:top w:val="none" w:sz="0" w:space="0" w:color="auto"/>
            <w:left w:val="none" w:sz="0" w:space="0" w:color="auto"/>
            <w:bottom w:val="none" w:sz="0" w:space="0" w:color="auto"/>
            <w:right w:val="none" w:sz="0" w:space="0" w:color="auto"/>
          </w:divBdr>
        </w:div>
        <w:div w:id="352728962">
          <w:marLeft w:val="576"/>
          <w:marRight w:val="0"/>
          <w:marTop w:val="120"/>
          <w:marBottom w:val="0"/>
          <w:divBdr>
            <w:top w:val="none" w:sz="0" w:space="0" w:color="auto"/>
            <w:left w:val="none" w:sz="0" w:space="0" w:color="auto"/>
            <w:bottom w:val="none" w:sz="0" w:space="0" w:color="auto"/>
            <w:right w:val="none" w:sz="0" w:space="0" w:color="auto"/>
          </w:divBdr>
        </w:div>
      </w:divsChild>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1769657">
      <w:bodyDiv w:val="1"/>
      <w:marLeft w:val="0"/>
      <w:marRight w:val="0"/>
      <w:marTop w:val="0"/>
      <w:marBottom w:val="0"/>
      <w:divBdr>
        <w:top w:val="none" w:sz="0" w:space="0" w:color="auto"/>
        <w:left w:val="none" w:sz="0" w:space="0" w:color="auto"/>
        <w:bottom w:val="none" w:sz="0" w:space="0" w:color="auto"/>
        <w:right w:val="none" w:sz="0" w:space="0" w:color="auto"/>
      </w:divBdr>
      <w:divsChild>
        <w:div w:id="666325115">
          <w:marLeft w:val="576"/>
          <w:marRight w:val="0"/>
          <w:marTop w:val="120"/>
          <w:marBottom w:val="0"/>
          <w:divBdr>
            <w:top w:val="none" w:sz="0" w:space="0" w:color="auto"/>
            <w:left w:val="none" w:sz="0" w:space="0" w:color="auto"/>
            <w:bottom w:val="none" w:sz="0" w:space="0" w:color="auto"/>
            <w:right w:val="none" w:sz="0" w:space="0" w:color="auto"/>
          </w:divBdr>
        </w:div>
        <w:div w:id="749692386">
          <w:marLeft w:val="576"/>
          <w:marRight w:val="0"/>
          <w:marTop w:val="120"/>
          <w:marBottom w:val="0"/>
          <w:divBdr>
            <w:top w:val="none" w:sz="0" w:space="0" w:color="auto"/>
            <w:left w:val="none" w:sz="0" w:space="0" w:color="auto"/>
            <w:bottom w:val="none" w:sz="0" w:space="0" w:color="auto"/>
            <w:right w:val="none" w:sz="0" w:space="0" w:color="auto"/>
          </w:divBdr>
        </w:div>
        <w:div w:id="1014915730">
          <w:marLeft w:val="576"/>
          <w:marRight w:val="0"/>
          <w:marTop w:val="12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45887784">
      <w:bodyDiv w:val="1"/>
      <w:marLeft w:val="0"/>
      <w:marRight w:val="0"/>
      <w:marTop w:val="0"/>
      <w:marBottom w:val="0"/>
      <w:divBdr>
        <w:top w:val="none" w:sz="0" w:space="0" w:color="auto"/>
        <w:left w:val="none" w:sz="0" w:space="0" w:color="auto"/>
        <w:bottom w:val="none" w:sz="0" w:space="0" w:color="auto"/>
        <w:right w:val="none" w:sz="0" w:space="0" w:color="auto"/>
      </w:divBdr>
      <w:divsChild>
        <w:div w:id="712853751">
          <w:marLeft w:val="576"/>
          <w:marRight w:val="0"/>
          <w:marTop w:val="120"/>
          <w:marBottom w:val="0"/>
          <w:divBdr>
            <w:top w:val="none" w:sz="0" w:space="0" w:color="auto"/>
            <w:left w:val="none" w:sz="0" w:space="0" w:color="auto"/>
            <w:bottom w:val="none" w:sz="0" w:space="0" w:color="auto"/>
            <w:right w:val="none" w:sz="0" w:space="0" w:color="auto"/>
          </w:divBdr>
        </w:div>
        <w:div w:id="1533150435">
          <w:marLeft w:val="576"/>
          <w:marRight w:val="0"/>
          <w:marTop w:val="120"/>
          <w:marBottom w:val="0"/>
          <w:divBdr>
            <w:top w:val="none" w:sz="0" w:space="0" w:color="auto"/>
            <w:left w:val="none" w:sz="0" w:space="0" w:color="auto"/>
            <w:bottom w:val="none" w:sz="0" w:space="0" w:color="auto"/>
            <w:right w:val="none" w:sz="0" w:space="0" w:color="auto"/>
          </w:divBdr>
        </w:div>
        <w:div w:id="339242784">
          <w:marLeft w:val="576"/>
          <w:marRight w:val="0"/>
          <w:marTop w:val="12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59274893">
      <w:bodyDiv w:val="1"/>
      <w:marLeft w:val="0"/>
      <w:marRight w:val="0"/>
      <w:marTop w:val="0"/>
      <w:marBottom w:val="0"/>
      <w:divBdr>
        <w:top w:val="none" w:sz="0" w:space="0" w:color="auto"/>
        <w:left w:val="none" w:sz="0" w:space="0" w:color="auto"/>
        <w:bottom w:val="none" w:sz="0" w:space="0" w:color="auto"/>
        <w:right w:val="none" w:sz="0" w:space="0" w:color="auto"/>
      </w:divBdr>
      <w:divsChild>
        <w:div w:id="1326742107">
          <w:marLeft w:val="576"/>
          <w:marRight w:val="0"/>
          <w:marTop w:val="120"/>
          <w:marBottom w:val="0"/>
          <w:divBdr>
            <w:top w:val="none" w:sz="0" w:space="0" w:color="auto"/>
            <w:left w:val="none" w:sz="0" w:space="0" w:color="auto"/>
            <w:bottom w:val="none" w:sz="0" w:space="0" w:color="auto"/>
            <w:right w:val="none" w:sz="0" w:space="0" w:color="auto"/>
          </w:divBdr>
        </w:div>
        <w:div w:id="455370675">
          <w:marLeft w:val="576"/>
          <w:marRight w:val="0"/>
          <w:marTop w:val="120"/>
          <w:marBottom w:val="0"/>
          <w:divBdr>
            <w:top w:val="none" w:sz="0" w:space="0" w:color="auto"/>
            <w:left w:val="none" w:sz="0" w:space="0" w:color="auto"/>
            <w:bottom w:val="none" w:sz="0" w:space="0" w:color="auto"/>
            <w:right w:val="none" w:sz="0" w:space="0" w:color="auto"/>
          </w:divBdr>
        </w:div>
        <w:div w:id="1604915295">
          <w:marLeft w:val="576"/>
          <w:marRight w:val="0"/>
          <w:marTop w:val="120"/>
          <w:marBottom w:val="0"/>
          <w:divBdr>
            <w:top w:val="none" w:sz="0" w:space="0" w:color="auto"/>
            <w:left w:val="none" w:sz="0" w:space="0" w:color="auto"/>
            <w:bottom w:val="none" w:sz="0" w:space="0" w:color="auto"/>
            <w:right w:val="none" w:sz="0" w:space="0" w:color="auto"/>
          </w:divBdr>
        </w:div>
        <w:div w:id="370570773">
          <w:marLeft w:val="576"/>
          <w:marRight w:val="0"/>
          <w:marTop w:val="120"/>
          <w:marBottom w:val="0"/>
          <w:divBdr>
            <w:top w:val="none" w:sz="0" w:space="0" w:color="auto"/>
            <w:left w:val="none" w:sz="0" w:space="0" w:color="auto"/>
            <w:bottom w:val="none" w:sz="0" w:space="0" w:color="auto"/>
            <w:right w:val="none" w:sz="0" w:space="0" w:color="auto"/>
          </w:divBdr>
        </w:div>
        <w:div w:id="723408427">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39467332">
      <w:bodyDiv w:val="1"/>
      <w:marLeft w:val="0"/>
      <w:marRight w:val="0"/>
      <w:marTop w:val="0"/>
      <w:marBottom w:val="0"/>
      <w:divBdr>
        <w:top w:val="none" w:sz="0" w:space="0" w:color="auto"/>
        <w:left w:val="none" w:sz="0" w:space="0" w:color="auto"/>
        <w:bottom w:val="none" w:sz="0" w:space="0" w:color="auto"/>
        <w:right w:val="none" w:sz="0" w:space="0" w:color="auto"/>
      </w:divBdr>
      <w:divsChild>
        <w:div w:id="1257594255">
          <w:marLeft w:val="576"/>
          <w:marRight w:val="0"/>
          <w:marTop w:val="120"/>
          <w:marBottom w:val="0"/>
          <w:divBdr>
            <w:top w:val="none" w:sz="0" w:space="0" w:color="auto"/>
            <w:left w:val="none" w:sz="0" w:space="0" w:color="auto"/>
            <w:bottom w:val="none" w:sz="0" w:space="0" w:color="auto"/>
            <w:right w:val="none" w:sz="0" w:space="0" w:color="auto"/>
          </w:divBdr>
        </w:div>
        <w:div w:id="1801798623">
          <w:marLeft w:val="576"/>
          <w:marRight w:val="0"/>
          <w:marTop w:val="120"/>
          <w:marBottom w:val="0"/>
          <w:divBdr>
            <w:top w:val="none" w:sz="0" w:space="0" w:color="auto"/>
            <w:left w:val="none" w:sz="0" w:space="0" w:color="auto"/>
            <w:bottom w:val="none" w:sz="0" w:space="0" w:color="auto"/>
            <w:right w:val="none" w:sz="0" w:space="0" w:color="auto"/>
          </w:divBdr>
        </w:div>
        <w:div w:id="1581792169">
          <w:marLeft w:val="576"/>
          <w:marRight w:val="0"/>
          <w:marTop w:val="12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3614</TotalTime>
  <Pages>13</Pages>
  <Words>1533</Words>
  <Characters>8741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891</cp:revision>
  <dcterms:created xsi:type="dcterms:W3CDTF">2021-01-06T11:34:00Z</dcterms:created>
  <dcterms:modified xsi:type="dcterms:W3CDTF">2022-04-20T10:45:00Z</dcterms:modified>
</cp:coreProperties>
</file>