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750FE" w:rsidRDefault="008750FE" w:rsidP="008750FE">
      <w:pPr>
        <w:spacing w:line="360" w:lineRule="auto"/>
        <w:jc w:val="center"/>
        <w:rPr>
          <w:rFonts w:ascii="Times New Roman" w:hAnsi="Times New Roman" w:cs="Times New Roman"/>
          <w:b/>
          <w:sz w:val="56"/>
          <w:szCs w:val="56"/>
        </w:rPr>
      </w:pPr>
      <w:r w:rsidRPr="008750FE">
        <w:rPr>
          <w:rFonts w:ascii="Times New Roman" w:hAnsi="Times New Roman" w:cs="Times New Roman"/>
          <w:b/>
          <w:sz w:val="56"/>
          <w:szCs w:val="56"/>
        </w:rPr>
        <w:t>Using food waste as consumable organic resource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750FE" w:rsidRDefault="008750F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E4994" w:rsidRDefault="00FE4994" w:rsidP="00E53AA4">
      <w:pPr>
        <w:spacing w:line="360" w:lineRule="auto"/>
        <w:jc w:val="both"/>
        <w:rPr>
          <w:rFonts w:ascii="Times New Roman" w:hAnsi="Times New Roman" w:cs="Times New Roman"/>
          <w:b/>
          <w:sz w:val="52"/>
          <w:szCs w:val="52"/>
        </w:rPr>
      </w:pPr>
      <w:r w:rsidRPr="00FE4994">
        <w:rPr>
          <w:rFonts w:ascii="Times New Roman" w:hAnsi="Times New Roman" w:cs="Times New Roman"/>
          <w:sz w:val="32"/>
          <w:szCs w:val="32"/>
        </w:rPr>
        <w:t>Food wastage and its accumulation are becoming a critical problem around the globe due to continuous increase of the world population. The exponential growth in food waste is imposing serious threats to our society like environmental pollution, health risk, and scarcity of dumping land. There is an urgent need to take appropriate measures to reduce food waste burden by adopting standard management practices. Currently, various kinds of approaches are investigated in waste food processing and management for societal benefits and applications. Anaerobic digestion approach has appeared as one of the most ecofriendly and promising solutions for food wastes management, energy, and nutrient production, which can contribute to world’s ever-increasing energy requirements. Here, we have briefly described and explored the different aspects of anaerobic biodegrading approaches for food waste, effects of cosubstrates, effect of environmental factors, contribution of microbial population, and available computational resources for food waste management researches.</w:t>
      </w:r>
    </w:p>
    <w:p w:rsidR="00F5183A" w:rsidRDefault="00F5183A" w:rsidP="00FE4994">
      <w:pPr>
        <w:tabs>
          <w:tab w:val="left" w:pos="6210"/>
        </w:tabs>
        <w:spacing w:line="360" w:lineRule="auto"/>
        <w:jc w:val="both"/>
        <w:rPr>
          <w:rFonts w:ascii="Times New Roman" w:hAnsi="Times New Roman" w:cs="Times New Roman"/>
          <w:b/>
          <w:sz w:val="40"/>
          <w:szCs w:val="40"/>
        </w:rPr>
      </w:pPr>
    </w:p>
    <w:p w:rsidR="00FE4994" w:rsidRDefault="00FE4994" w:rsidP="00FE4994">
      <w:pPr>
        <w:tabs>
          <w:tab w:val="left" w:pos="6210"/>
        </w:tabs>
        <w:spacing w:line="360" w:lineRule="auto"/>
        <w:jc w:val="both"/>
        <w:rPr>
          <w:rFonts w:ascii="Times New Roman" w:hAnsi="Times New Roman" w:cs="Times New Roman"/>
          <w:b/>
          <w:sz w:val="40"/>
          <w:szCs w:val="40"/>
        </w:rPr>
      </w:pPr>
    </w:p>
    <w:p w:rsidR="00FE4994" w:rsidRDefault="00FE4994" w:rsidP="00FE4994">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FE499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205C5" w:rsidRDefault="008D26B6" w:rsidP="004205C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05C5">
        <w:rPr>
          <w:rFonts w:ascii="Times New Roman" w:hAnsi="Times New Roman" w:cs="Times New Roman"/>
          <w:sz w:val="32"/>
          <w:szCs w:val="32"/>
          <w:lang w:val="en-IN"/>
        </w:rPr>
        <w:t>In contrast, interventions designed to prevent waste focus on the utility of existing goods as a way to improve resource efficiency.</w:t>
      </w:r>
    </w:p>
    <w:p w:rsidR="00000000" w:rsidRPr="004205C5" w:rsidRDefault="008D26B6" w:rsidP="004205C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05C5">
        <w:rPr>
          <w:rFonts w:ascii="Times New Roman" w:hAnsi="Times New Roman" w:cs="Times New Roman"/>
          <w:sz w:val="32"/>
          <w:szCs w:val="32"/>
          <w:lang w:val="en-IN"/>
        </w:rPr>
        <w:t>Waste management-exempt activities would impose the obligation on a smaller number of businesses, and co</w:t>
      </w:r>
      <w:r w:rsidR="004205C5">
        <w:rPr>
          <w:rFonts w:ascii="Times New Roman" w:hAnsi="Times New Roman" w:cs="Times New Roman"/>
          <w:sz w:val="32"/>
          <w:szCs w:val="32"/>
          <w:lang w:val="en-IN"/>
        </w:rPr>
        <w:t>uld be introduced as par</w:t>
      </w:r>
      <w:r w:rsidRPr="004205C5">
        <w:rPr>
          <w:rFonts w:ascii="Times New Roman" w:hAnsi="Times New Roman" w:cs="Times New Roman"/>
          <w:sz w:val="32"/>
          <w:szCs w:val="32"/>
          <w:lang w:val="en-IN"/>
        </w:rPr>
        <w:t>t of the existing regulatory framework.</w:t>
      </w:r>
    </w:p>
    <w:p w:rsidR="00000000" w:rsidRPr="004205C5" w:rsidRDefault="008D26B6" w:rsidP="004205C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05C5">
        <w:rPr>
          <w:rFonts w:ascii="Times New Roman" w:hAnsi="Times New Roman" w:cs="Times New Roman"/>
          <w:sz w:val="32"/>
          <w:szCs w:val="32"/>
          <w:lang w:val="en-IN"/>
        </w:rPr>
        <w:t>It must promote the uptake of existing mainstream technologies and best practices, but also harness and guide the resource saving potential of disruptive innovations.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F1849" w:rsidRDefault="008D26B6" w:rsidP="005F1849">
      <w:pPr>
        <w:numPr>
          <w:ilvl w:val="0"/>
          <w:numId w:val="45"/>
        </w:numPr>
        <w:spacing w:line="360" w:lineRule="auto"/>
        <w:jc w:val="both"/>
        <w:rPr>
          <w:rFonts w:ascii="Times New Roman" w:hAnsi="Times New Roman" w:cs="Times New Roman"/>
          <w:bCs/>
          <w:sz w:val="32"/>
          <w:szCs w:val="32"/>
          <w:lang w:val="en-IN"/>
        </w:rPr>
      </w:pPr>
      <w:r w:rsidRPr="005F1849">
        <w:rPr>
          <w:rFonts w:ascii="Times New Roman" w:hAnsi="Times New Roman" w:cs="Times New Roman"/>
          <w:bCs/>
          <w:sz w:val="32"/>
          <w:szCs w:val="32"/>
          <w:lang w:val="en-IN"/>
        </w:rPr>
        <w:t>Incineration of food w</w:t>
      </w:r>
      <w:r w:rsidRPr="005F1849">
        <w:rPr>
          <w:rFonts w:ascii="Times New Roman" w:hAnsi="Times New Roman" w:cs="Times New Roman"/>
          <w:bCs/>
          <w:sz w:val="32"/>
          <w:szCs w:val="32"/>
          <w:lang w:val="en-IN"/>
        </w:rPr>
        <w:t>aste consisting high moisture content results in the release of dioxins which may further lead to several environmental problems.</w:t>
      </w:r>
    </w:p>
    <w:p w:rsidR="00000000" w:rsidRPr="005F1849" w:rsidRDefault="008D26B6" w:rsidP="005F1849">
      <w:pPr>
        <w:numPr>
          <w:ilvl w:val="0"/>
          <w:numId w:val="45"/>
        </w:numPr>
        <w:spacing w:line="360" w:lineRule="auto"/>
        <w:jc w:val="both"/>
        <w:rPr>
          <w:rFonts w:ascii="Times New Roman" w:hAnsi="Times New Roman" w:cs="Times New Roman"/>
          <w:bCs/>
          <w:sz w:val="32"/>
          <w:szCs w:val="32"/>
          <w:lang w:val="en-IN"/>
        </w:rPr>
      </w:pPr>
      <w:r w:rsidRPr="005F1849">
        <w:rPr>
          <w:rFonts w:ascii="Times New Roman" w:hAnsi="Times New Roman" w:cs="Times New Roman"/>
          <w:bCs/>
          <w:sz w:val="32"/>
          <w:szCs w:val="32"/>
          <w:lang w:val="en-IN"/>
        </w:rPr>
        <w:t xml:space="preserve">This food waste, which is a component of municipal solid waste, is incinerated or dumped in open area which may cause severe </w:t>
      </w:r>
      <w:r w:rsidRPr="005F1849">
        <w:rPr>
          <w:rFonts w:ascii="Times New Roman" w:hAnsi="Times New Roman" w:cs="Times New Roman"/>
          <w:bCs/>
          <w:sz w:val="32"/>
          <w:szCs w:val="32"/>
          <w:lang w:val="en-IN"/>
        </w:rPr>
        <w:t>health and environmental issues.</w:t>
      </w:r>
    </w:p>
    <w:p w:rsidR="00F94960" w:rsidRPr="005F1849" w:rsidRDefault="008D26B6" w:rsidP="00E53AA4">
      <w:pPr>
        <w:numPr>
          <w:ilvl w:val="0"/>
          <w:numId w:val="45"/>
        </w:numPr>
        <w:spacing w:line="360" w:lineRule="auto"/>
        <w:jc w:val="both"/>
        <w:rPr>
          <w:rFonts w:ascii="Times New Roman" w:hAnsi="Times New Roman" w:cs="Times New Roman"/>
          <w:bCs/>
          <w:sz w:val="32"/>
          <w:szCs w:val="32"/>
          <w:lang w:val="en-IN"/>
        </w:rPr>
      </w:pPr>
      <w:r w:rsidRPr="005F1849">
        <w:rPr>
          <w:rFonts w:ascii="Times New Roman" w:hAnsi="Times New Roman" w:cs="Times New Roman"/>
          <w:bCs/>
          <w:sz w:val="32"/>
          <w:szCs w:val="32"/>
          <w:lang w:val="en-IN"/>
        </w:rPr>
        <w:t xml:space="preserve">It would be useful to pay more attention to recovery processes for new and emerging materials and technologies, and there is a </w:t>
      </w:r>
      <w:r w:rsidRPr="005F1849">
        <w:rPr>
          <w:rFonts w:ascii="Times New Roman" w:hAnsi="Times New Roman" w:cs="Times New Roman"/>
          <w:bCs/>
          <w:sz w:val="32"/>
          <w:szCs w:val="32"/>
          <w:lang w:val="en-IN"/>
        </w:rPr>
        <w:lastRenderedPageBreak/>
        <w:t>continued need to support research on problematic legacy wastes, especially from the nuclear in</w:t>
      </w:r>
      <w:r w:rsidRPr="005F1849">
        <w:rPr>
          <w:rFonts w:ascii="Times New Roman" w:hAnsi="Times New Roman" w:cs="Times New Roman"/>
          <w:bCs/>
          <w:sz w:val="32"/>
          <w:szCs w:val="32"/>
          <w:lang w:val="en-IN"/>
        </w:rPr>
        <w:t>dustry.</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17279" w:rsidRPr="00717279" w:rsidRDefault="00717279" w:rsidP="00717279">
      <w:pPr>
        <w:pStyle w:val="NormalWeb"/>
        <w:numPr>
          <w:ilvl w:val="0"/>
          <w:numId w:val="46"/>
        </w:numPr>
        <w:spacing w:before="0" w:beforeAutospacing="0" w:after="0" w:afterAutospacing="0" w:line="360" w:lineRule="auto"/>
        <w:ind w:left="709"/>
        <w:jc w:val="both"/>
        <w:rPr>
          <w:sz w:val="32"/>
          <w:szCs w:val="32"/>
        </w:rPr>
      </w:pPr>
      <w:r w:rsidRPr="00717279">
        <w:rPr>
          <w:sz w:val="32"/>
          <w:szCs w:val="32"/>
        </w:rPr>
        <w:t>We received showed a widespread concern about the proposed absence of planning at a level between the national and the local.</w:t>
      </w:r>
    </w:p>
    <w:p w:rsidR="00717279" w:rsidRPr="00717279" w:rsidRDefault="00717279" w:rsidP="00717279">
      <w:pPr>
        <w:pStyle w:val="NormalWeb"/>
        <w:numPr>
          <w:ilvl w:val="0"/>
          <w:numId w:val="46"/>
        </w:numPr>
        <w:spacing w:before="0" w:beforeAutospacing="0" w:after="0" w:afterAutospacing="0" w:line="360" w:lineRule="auto"/>
        <w:ind w:left="709"/>
        <w:jc w:val="both"/>
        <w:rPr>
          <w:sz w:val="32"/>
          <w:szCs w:val="32"/>
        </w:rPr>
      </w:pPr>
      <w:r w:rsidRPr="00717279">
        <w:rPr>
          <w:sz w:val="32"/>
          <w:szCs w:val="32"/>
        </w:rPr>
        <w:t>The proposed actions were based on local resources, skills and infrastructure, the analysis produced a bespoke, sustainable solution that was grounded in the local context.</w:t>
      </w:r>
    </w:p>
    <w:p w:rsidR="003A5D44" w:rsidRPr="00717279" w:rsidRDefault="00717279" w:rsidP="00E53AA4">
      <w:pPr>
        <w:pStyle w:val="NormalWeb"/>
        <w:numPr>
          <w:ilvl w:val="0"/>
          <w:numId w:val="46"/>
        </w:numPr>
        <w:spacing w:before="0" w:beforeAutospacing="0" w:after="0" w:afterAutospacing="0" w:line="360" w:lineRule="auto"/>
        <w:ind w:left="709"/>
        <w:jc w:val="both"/>
        <w:rPr>
          <w:sz w:val="32"/>
          <w:szCs w:val="32"/>
        </w:rPr>
      </w:pPr>
      <w:r w:rsidRPr="00717279">
        <w:rPr>
          <w:sz w:val="32"/>
          <w:szCs w:val="32"/>
        </w:rPr>
        <w:t>This too will influence the balance of system maps because a failure to acknowledge the views of citizens can compromise the effectiveness of proposed interventions.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E2A4F" w:rsidRDefault="008D26B6" w:rsidP="005E2A4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2A4F">
        <w:rPr>
          <w:rFonts w:ascii="Times New Roman" w:eastAsia="AdvGulliv-R" w:hAnsi="Times New Roman" w:cs="Times New Roman"/>
          <w:bCs/>
          <w:sz w:val="32"/>
          <w:szCs w:val="32"/>
          <w:lang w:val="en-IN"/>
        </w:rPr>
        <w:t>It was reported that the use of goat rumen fluid as inoculum at the rate of 8% (v/v) is very efficient for biogas production.</w:t>
      </w:r>
    </w:p>
    <w:p w:rsidR="00000000" w:rsidRPr="005E2A4F" w:rsidRDefault="008D26B6" w:rsidP="005E2A4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2A4F">
        <w:rPr>
          <w:rFonts w:ascii="Times New Roman" w:eastAsia="AdvGulliv-R" w:hAnsi="Times New Roman" w:cs="Times New Roman"/>
          <w:bCs/>
          <w:sz w:val="32"/>
          <w:szCs w:val="32"/>
          <w:lang w:val="en-IN"/>
        </w:rPr>
        <w:t xml:space="preserve">The pH of bioreactor affects the microbial </w:t>
      </w:r>
      <w:r w:rsidRPr="005E2A4F">
        <w:rPr>
          <w:rFonts w:ascii="Times New Roman" w:eastAsia="AdvGulliv-R" w:hAnsi="Times New Roman" w:cs="Times New Roman"/>
          <w:bCs/>
          <w:sz w:val="32"/>
          <w:szCs w:val="32"/>
          <w:lang w:val="en-IN"/>
        </w:rPr>
        <w:t>activity in anaerobic digestion and its efficiency.</w:t>
      </w:r>
    </w:p>
    <w:p w:rsidR="00000000" w:rsidRPr="005E2A4F" w:rsidRDefault="008D26B6" w:rsidP="005E2A4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2A4F">
        <w:rPr>
          <w:rFonts w:ascii="Times New Roman" w:eastAsia="AdvGulliv-R" w:hAnsi="Times New Roman" w:cs="Times New Roman"/>
          <w:bCs/>
          <w:sz w:val="32"/>
          <w:szCs w:val="32"/>
          <w:lang w:val="en-IN"/>
        </w:rPr>
        <w:t>It has been reported that two-stage anaerobic digestion is providing more efficient operation as compared to single stage.</w:t>
      </w:r>
    </w:p>
    <w:p w:rsidR="00000000" w:rsidRPr="005E2A4F" w:rsidRDefault="008D26B6" w:rsidP="005E2A4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E2A4F">
        <w:rPr>
          <w:rFonts w:ascii="Times New Roman" w:eastAsia="AdvGulliv-R" w:hAnsi="Times New Roman" w:cs="Times New Roman"/>
          <w:bCs/>
          <w:sz w:val="32"/>
          <w:szCs w:val="32"/>
          <w:lang w:val="en-IN"/>
        </w:rPr>
        <w:t>Microbial community analysis, investigating the composition and behaviour of mi</w:t>
      </w:r>
      <w:r w:rsidRPr="005E2A4F">
        <w:rPr>
          <w:rFonts w:ascii="Times New Roman" w:eastAsia="AdvGulliv-R" w:hAnsi="Times New Roman" w:cs="Times New Roman"/>
          <w:bCs/>
          <w:sz w:val="32"/>
          <w:szCs w:val="32"/>
          <w:lang w:val="en-IN"/>
        </w:rPr>
        <w:t>crobial communities, can be helpful to optimize stable and efficient process operation.</w:t>
      </w:r>
      <w:r w:rsidRPr="005E2A4F">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5E2A4F" w:rsidRDefault="005E2A4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E2A4F" w:rsidRDefault="005E2A4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E2A4F" w:rsidRDefault="005E2A4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C3BBC" w:rsidP="000C3BBC">
      <w:pPr>
        <w:spacing w:after="0" w:line="360" w:lineRule="auto"/>
        <w:jc w:val="center"/>
        <w:rPr>
          <w:rFonts w:ascii="Times New Roman" w:hAnsi="Times New Roman" w:cs="Times New Roman"/>
        </w:rPr>
      </w:pPr>
      <w:r w:rsidRPr="000C3BBC">
        <w:rPr>
          <w:rFonts w:ascii="Times New Roman" w:hAnsi="Times New Roman" w:cs="Times New Roman"/>
        </w:rPr>
        <w:drawing>
          <wp:inline distT="0" distB="0" distL="0" distR="0">
            <wp:extent cx="5940758" cy="4524375"/>
            <wp:effectExtent l="19050" t="0" r="2842"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52654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C3BBC" w:rsidRDefault="000C3BB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CC2C1A" w:rsidRPr="00CC2C1A" w:rsidRDefault="00CC2C1A" w:rsidP="00CC2C1A">
      <w:pPr>
        <w:pStyle w:val="BodyText"/>
        <w:rPr>
          <w:bCs/>
          <w:sz w:val="36"/>
          <w:szCs w:val="36"/>
          <w:lang w:val="en-IN"/>
        </w:rPr>
      </w:pPr>
      <w:r w:rsidRPr="00CC2C1A">
        <w:rPr>
          <w:bCs/>
          <w:sz w:val="32"/>
          <w:szCs w:val="32"/>
          <w:lang w:val="en-IN"/>
        </w:rPr>
        <w:t xml:space="preserve">    Proper disposal of food waste has posed a stern pecuniary and environmental concern. It appears that conversion of food waste into energy via anaerobic processes in terms of methane is economically viable. However, difficulties accompanying the collection as well as transportation of food waste should also be considered. Nevertheless, the stumpy or no cost of food waste along with the environmental aids considering the waste discarding would balance the initial high investment costs of the biorefineries. Moreover, the efficacy and cost base of the generation could be upgraded by intensifying research and optimization studies on assimilating different value-added product manufacturing processes.</w:t>
      </w:r>
      <w:r w:rsidRPr="00CC2C1A">
        <w:rPr>
          <w:bCs/>
          <w:sz w:val="36"/>
          <w:szCs w:val="36"/>
        </w:rPr>
        <w:t xml:space="preserve"> </w:t>
      </w:r>
    </w:p>
    <w:p w:rsidR="002079BA" w:rsidRDefault="002079BA"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CC2C1A" w:rsidRDefault="00CC2C1A" w:rsidP="009E62B1">
      <w:pPr>
        <w:pStyle w:val="BodyText"/>
        <w:jc w:val="center"/>
        <w:rPr>
          <w:b/>
          <w:iCs/>
          <w:sz w:val="28"/>
          <w:szCs w:val="28"/>
        </w:rPr>
      </w:pPr>
    </w:p>
    <w:p w:rsidR="00CC2C1A" w:rsidRDefault="00CC2C1A" w:rsidP="009E62B1">
      <w:pPr>
        <w:pStyle w:val="BodyText"/>
        <w:jc w:val="center"/>
        <w:rPr>
          <w:b/>
          <w:iCs/>
          <w:sz w:val="28"/>
          <w:szCs w:val="28"/>
        </w:rPr>
      </w:pPr>
    </w:p>
    <w:p w:rsidR="00CC2C1A" w:rsidRDefault="00CC2C1A" w:rsidP="009E62B1">
      <w:pPr>
        <w:pStyle w:val="BodyText"/>
        <w:jc w:val="center"/>
        <w:rPr>
          <w:b/>
          <w:iCs/>
          <w:sz w:val="28"/>
          <w:szCs w:val="28"/>
        </w:rPr>
      </w:pPr>
    </w:p>
    <w:p w:rsidR="00CC2C1A" w:rsidRDefault="00CC2C1A" w:rsidP="009E62B1">
      <w:pPr>
        <w:pStyle w:val="BodyText"/>
        <w:jc w:val="center"/>
        <w:rPr>
          <w:b/>
          <w:iCs/>
          <w:sz w:val="28"/>
          <w:szCs w:val="28"/>
        </w:rPr>
      </w:pPr>
    </w:p>
    <w:p w:rsidR="00CC2C1A" w:rsidRDefault="00CC2C1A" w:rsidP="009E62B1">
      <w:pPr>
        <w:pStyle w:val="BodyText"/>
        <w:jc w:val="center"/>
        <w:rPr>
          <w:b/>
          <w:iCs/>
          <w:sz w:val="28"/>
          <w:szCs w:val="28"/>
        </w:rPr>
      </w:pPr>
    </w:p>
    <w:p w:rsidR="00CC2C1A" w:rsidRDefault="00CC2C1A" w:rsidP="009E62B1">
      <w:pPr>
        <w:pStyle w:val="BodyText"/>
        <w:jc w:val="center"/>
        <w:rPr>
          <w:b/>
          <w:iCs/>
          <w:sz w:val="28"/>
          <w:szCs w:val="28"/>
        </w:rPr>
      </w:pPr>
    </w:p>
    <w:p w:rsidR="00CC2C1A" w:rsidRDefault="00CC2C1A" w:rsidP="009E62B1">
      <w:pPr>
        <w:pStyle w:val="BodyText"/>
        <w:jc w:val="center"/>
        <w:rPr>
          <w:b/>
          <w:iCs/>
          <w:sz w:val="28"/>
          <w:szCs w:val="28"/>
        </w:rPr>
      </w:pPr>
    </w:p>
    <w:p w:rsidR="00CC2C1A" w:rsidRDefault="00CC2C1A" w:rsidP="009E62B1">
      <w:pPr>
        <w:pStyle w:val="BodyText"/>
        <w:jc w:val="center"/>
        <w:rPr>
          <w:b/>
          <w:iCs/>
          <w:sz w:val="28"/>
          <w:szCs w:val="28"/>
        </w:rPr>
      </w:pPr>
    </w:p>
    <w:p w:rsidR="00CC2C1A" w:rsidRDefault="00CC2C1A"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762EED" w:rsidRDefault="008D26B6" w:rsidP="00762EED">
      <w:pPr>
        <w:pStyle w:val="BodyText"/>
        <w:numPr>
          <w:ilvl w:val="0"/>
          <w:numId w:val="42"/>
        </w:numPr>
        <w:rPr>
          <w:sz w:val="32"/>
          <w:szCs w:val="32"/>
          <w:lang w:val="en-IN"/>
        </w:rPr>
      </w:pPr>
      <w:r w:rsidRPr="00762EED">
        <w:rPr>
          <w:sz w:val="32"/>
          <w:szCs w:val="32"/>
          <w:lang w:val="en-IN"/>
        </w:rPr>
        <w:t xml:space="preserve">[1] FAO, Towards the Future we Want: End Hunger and Make the Transition to Sustainable Agricultural and </w:t>
      </w:r>
      <w:r w:rsidRPr="00762EED">
        <w:rPr>
          <w:sz w:val="32"/>
          <w:szCs w:val="32"/>
          <w:lang w:val="en-IN"/>
        </w:rPr>
        <w:t xml:space="preserve">Food Systems, Food and Agriculture Organization of the United Nations Rome, 2012. </w:t>
      </w:r>
    </w:p>
    <w:p w:rsidR="00000000" w:rsidRPr="00762EED" w:rsidRDefault="008D26B6" w:rsidP="00762EED">
      <w:pPr>
        <w:pStyle w:val="BodyText"/>
        <w:numPr>
          <w:ilvl w:val="0"/>
          <w:numId w:val="42"/>
        </w:numPr>
        <w:rPr>
          <w:sz w:val="32"/>
          <w:szCs w:val="32"/>
          <w:lang w:val="en-IN"/>
        </w:rPr>
      </w:pPr>
      <w:r w:rsidRPr="00762EED">
        <w:rPr>
          <w:sz w:val="32"/>
          <w:szCs w:val="32"/>
          <w:lang w:val="en-IN"/>
        </w:rPr>
        <w:t>[2] M. Melikoglu, C. S. K. Lin, and C. Webb, “Analysing global food waste problem: pinpointing the facts and estimating the energy content,” Central European Journal of Eng</w:t>
      </w:r>
      <w:r w:rsidRPr="00762EED">
        <w:rPr>
          <w:sz w:val="32"/>
          <w:szCs w:val="32"/>
          <w:lang w:val="en-IN"/>
        </w:rPr>
        <w:t xml:space="preserve">ineering, vol. 3, no. 2, pp. 157–164, 2013. </w:t>
      </w:r>
    </w:p>
    <w:p w:rsidR="00000000" w:rsidRPr="00762EED" w:rsidRDefault="008D26B6" w:rsidP="00762EED">
      <w:pPr>
        <w:pStyle w:val="BodyText"/>
        <w:numPr>
          <w:ilvl w:val="0"/>
          <w:numId w:val="42"/>
        </w:numPr>
        <w:rPr>
          <w:sz w:val="32"/>
          <w:szCs w:val="32"/>
          <w:lang w:val="en-IN"/>
        </w:rPr>
      </w:pPr>
      <w:r w:rsidRPr="00762EED">
        <w:rPr>
          <w:sz w:val="32"/>
          <w:szCs w:val="32"/>
          <w:lang w:val="en-IN"/>
        </w:rPr>
        <w:t>[3] A. Agarwal, A. Singhmar, M. Kulshrestha, and A. K. Mittal, “Municipal solid waste recycling and associated markets in Delhi, India,” Resources, Conservation and Recycling, vol. 44, no. 1, pp. 73–90, 2005.</w:t>
      </w:r>
    </w:p>
    <w:p w:rsidR="00000000" w:rsidRPr="00762EED" w:rsidRDefault="008D26B6" w:rsidP="00762EED">
      <w:pPr>
        <w:pStyle w:val="BodyText"/>
        <w:numPr>
          <w:ilvl w:val="0"/>
          <w:numId w:val="42"/>
        </w:numPr>
        <w:rPr>
          <w:sz w:val="32"/>
          <w:szCs w:val="32"/>
          <w:lang w:val="en-IN"/>
        </w:rPr>
      </w:pPr>
      <w:r w:rsidRPr="00762EED">
        <w:rPr>
          <w:sz w:val="32"/>
          <w:szCs w:val="32"/>
          <w:lang w:val="en-IN"/>
        </w:rPr>
        <w:t xml:space="preserve">[4] FAO, FAOSTAT: World Food and Agriculture Statistical Yearbook, FAO-Food &amp; Agriculture Organization of the United Nation, Rome, Italy, 2013. </w:t>
      </w:r>
    </w:p>
    <w:p w:rsidR="00000000" w:rsidRPr="00762EED" w:rsidRDefault="008D26B6" w:rsidP="00762EED">
      <w:pPr>
        <w:pStyle w:val="BodyText"/>
        <w:numPr>
          <w:ilvl w:val="0"/>
          <w:numId w:val="42"/>
        </w:numPr>
        <w:rPr>
          <w:sz w:val="32"/>
          <w:szCs w:val="32"/>
          <w:lang w:val="en-IN"/>
        </w:rPr>
      </w:pPr>
      <w:r w:rsidRPr="00762EED">
        <w:rPr>
          <w:sz w:val="32"/>
          <w:szCs w:val="32"/>
          <w:lang w:val="en-IN"/>
        </w:rPr>
        <w:t>[5] I. M. Nasir, T. I. M. Ghazi, and R. Omar, “Production of biogas from solid organic wastes through anaerobi</w:t>
      </w:r>
      <w:r w:rsidRPr="00762EED">
        <w:rPr>
          <w:sz w:val="32"/>
          <w:szCs w:val="32"/>
          <w:lang w:val="en-IN"/>
        </w:rPr>
        <w:t>c digestion: a review,” Applied Microbiology and Biotechnology, vol. 95, no. 2, pp. 321–329, 2012.</w:t>
      </w:r>
      <w:r w:rsidRPr="00762EED">
        <w:rPr>
          <w:sz w:val="32"/>
          <w:szCs w:val="32"/>
        </w:rPr>
        <w:t xml:space="preserve"> </w:t>
      </w:r>
    </w:p>
    <w:p w:rsidR="00000000" w:rsidRPr="00762EED" w:rsidRDefault="008D26B6" w:rsidP="00762EED">
      <w:pPr>
        <w:pStyle w:val="BodyText"/>
        <w:numPr>
          <w:ilvl w:val="0"/>
          <w:numId w:val="42"/>
        </w:numPr>
        <w:rPr>
          <w:sz w:val="32"/>
          <w:szCs w:val="32"/>
          <w:lang w:val="en-IN"/>
        </w:rPr>
      </w:pPr>
      <w:r w:rsidRPr="00762EED">
        <w:rPr>
          <w:sz w:val="32"/>
          <w:szCs w:val="32"/>
          <w:lang w:val="en-IN"/>
        </w:rPr>
        <w:t>[6] S. Pattnaik and M. V. Reddy, “Assessment of municipal solid waste management in Puducherry (Pondicherry), India,” Resources, Conservation and Recycling</w:t>
      </w:r>
      <w:r w:rsidRPr="00762EED">
        <w:rPr>
          <w:sz w:val="32"/>
          <w:szCs w:val="32"/>
          <w:lang w:val="en-IN"/>
        </w:rPr>
        <w:t xml:space="preserve">, vol. 54, no. 8, pp. 512– 520, 2010. </w:t>
      </w:r>
    </w:p>
    <w:p w:rsidR="00000000" w:rsidRPr="00762EED" w:rsidRDefault="008D26B6" w:rsidP="00762EED">
      <w:pPr>
        <w:pStyle w:val="BodyText"/>
        <w:numPr>
          <w:ilvl w:val="0"/>
          <w:numId w:val="42"/>
        </w:numPr>
        <w:rPr>
          <w:sz w:val="32"/>
          <w:szCs w:val="32"/>
          <w:lang w:val="en-IN"/>
        </w:rPr>
      </w:pPr>
      <w:r w:rsidRPr="00762EED">
        <w:rPr>
          <w:sz w:val="32"/>
          <w:szCs w:val="32"/>
          <w:lang w:val="en-IN"/>
        </w:rPr>
        <w:lastRenderedPageBreak/>
        <w:t>[7] V. Talyan, R. P. Dahiya, and T. R. Sreekrishnan, “State of municipal solid waste management in Delhi, the capital of India,” Waste Management, vol. 28, no. 7, pp. 1276–1287, 2008.</w:t>
      </w:r>
    </w:p>
    <w:p w:rsidR="00000000" w:rsidRPr="00762EED" w:rsidRDefault="008D26B6" w:rsidP="00762EED">
      <w:pPr>
        <w:pStyle w:val="BodyText"/>
        <w:numPr>
          <w:ilvl w:val="0"/>
          <w:numId w:val="42"/>
        </w:numPr>
        <w:rPr>
          <w:sz w:val="32"/>
          <w:szCs w:val="32"/>
          <w:lang w:val="en-IN"/>
        </w:rPr>
      </w:pPr>
      <w:r w:rsidRPr="00762EED">
        <w:rPr>
          <w:sz w:val="32"/>
          <w:szCs w:val="32"/>
          <w:lang w:val="en-IN"/>
        </w:rPr>
        <w:t>[8] T. Katami, A. Yasuhara, and</w:t>
      </w:r>
      <w:r w:rsidRPr="00762EED">
        <w:rPr>
          <w:sz w:val="32"/>
          <w:szCs w:val="32"/>
          <w:lang w:val="en-IN"/>
        </w:rPr>
        <w:t xml:space="preserve"> T. Shibamoto, “Formation of dioxins from incineration of foods found in domestic garbage,” Environmental Science and Technology, vol. 38, no. 4, pp. 1062– 1065, 2004. </w:t>
      </w:r>
    </w:p>
    <w:p w:rsidR="00000000" w:rsidRPr="00762EED" w:rsidRDefault="008D26B6" w:rsidP="00762EED">
      <w:pPr>
        <w:pStyle w:val="BodyText"/>
        <w:numPr>
          <w:ilvl w:val="0"/>
          <w:numId w:val="42"/>
        </w:numPr>
        <w:rPr>
          <w:sz w:val="32"/>
          <w:szCs w:val="32"/>
          <w:lang w:val="en-IN"/>
        </w:rPr>
      </w:pPr>
      <w:r w:rsidRPr="00762EED">
        <w:rPr>
          <w:sz w:val="32"/>
          <w:szCs w:val="32"/>
          <w:lang w:val="en-IN"/>
        </w:rPr>
        <w:t xml:space="preserve">[9] H. Ma, Q. Wang, D. Qian, L. Gong, and W. Zhang, “The utilization of acid-tolerant </w:t>
      </w:r>
      <w:r w:rsidRPr="00762EED">
        <w:rPr>
          <w:sz w:val="32"/>
          <w:szCs w:val="32"/>
          <w:lang w:val="en-IN"/>
        </w:rPr>
        <w:t xml:space="preserve">bacteria on ethanol production from kitchen garbage,” Renewable Energy, vol. 34, no. 6, pp. 1466– 1470, 2009. </w:t>
      </w:r>
    </w:p>
    <w:p w:rsidR="00000000" w:rsidRPr="00762EED" w:rsidRDefault="008D26B6" w:rsidP="00762EED">
      <w:pPr>
        <w:pStyle w:val="BodyText"/>
        <w:numPr>
          <w:ilvl w:val="0"/>
          <w:numId w:val="42"/>
        </w:numPr>
        <w:rPr>
          <w:sz w:val="32"/>
          <w:szCs w:val="32"/>
          <w:lang w:val="en-IN"/>
        </w:rPr>
      </w:pPr>
      <w:r w:rsidRPr="00762EED">
        <w:rPr>
          <w:sz w:val="32"/>
          <w:szCs w:val="32"/>
          <w:lang w:val="en-IN"/>
        </w:rPr>
        <w:t>[10] T. N. B. Dung, B. Sen, C. C. Chen, G. Kumar, and C. Y. Lin, “Food waste to bioenergy via anaerobic processes,” Energy Procedia, vol. 61, pp</w:t>
      </w:r>
      <w:r w:rsidRPr="00762EED">
        <w:rPr>
          <w:sz w:val="32"/>
          <w:szCs w:val="32"/>
          <w:lang w:val="en-IN"/>
        </w:rPr>
        <w:t xml:space="preserve">. 307–312,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26B6" w:rsidRDefault="008D26B6" w:rsidP="003654DF">
      <w:pPr>
        <w:spacing w:after="0" w:line="240" w:lineRule="auto"/>
      </w:pPr>
      <w:r>
        <w:separator/>
      </w:r>
    </w:p>
  </w:endnote>
  <w:endnote w:type="continuationSeparator" w:id="1">
    <w:p w:rsidR="008D26B6" w:rsidRDefault="008D26B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26B6" w:rsidRDefault="008D26B6" w:rsidP="003654DF">
      <w:pPr>
        <w:spacing w:after="0" w:line="240" w:lineRule="auto"/>
      </w:pPr>
      <w:r>
        <w:separator/>
      </w:r>
    </w:p>
  </w:footnote>
  <w:footnote w:type="continuationSeparator" w:id="1">
    <w:p w:rsidR="008D26B6" w:rsidRDefault="008D26B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71899">
        <w:pPr>
          <w:pStyle w:val="Header"/>
          <w:jc w:val="right"/>
        </w:pPr>
        <w:fldSimple w:instr=" PAGE   \* MERGEFORMAT ">
          <w:r w:rsidR="000C3BBC">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885542"/>
    <w:multiLevelType w:val="hybridMultilevel"/>
    <w:tmpl w:val="FB465290"/>
    <w:lvl w:ilvl="0" w:tplc="DB3AD5DA">
      <w:start w:val="1"/>
      <w:numFmt w:val="bullet"/>
      <w:lvlText w:val=""/>
      <w:lvlJc w:val="left"/>
      <w:pPr>
        <w:tabs>
          <w:tab w:val="num" w:pos="720"/>
        </w:tabs>
        <w:ind w:left="720" w:hanging="360"/>
      </w:pPr>
      <w:rPr>
        <w:rFonts w:ascii="Wingdings 2" w:hAnsi="Wingdings 2" w:hint="default"/>
      </w:rPr>
    </w:lvl>
    <w:lvl w:ilvl="1" w:tplc="B85AC98C" w:tentative="1">
      <w:start w:val="1"/>
      <w:numFmt w:val="bullet"/>
      <w:lvlText w:val=""/>
      <w:lvlJc w:val="left"/>
      <w:pPr>
        <w:tabs>
          <w:tab w:val="num" w:pos="1440"/>
        </w:tabs>
        <w:ind w:left="1440" w:hanging="360"/>
      </w:pPr>
      <w:rPr>
        <w:rFonts w:ascii="Wingdings 2" w:hAnsi="Wingdings 2" w:hint="default"/>
      </w:rPr>
    </w:lvl>
    <w:lvl w:ilvl="2" w:tplc="B7524840" w:tentative="1">
      <w:start w:val="1"/>
      <w:numFmt w:val="bullet"/>
      <w:lvlText w:val=""/>
      <w:lvlJc w:val="left"/>
      <w:pPr>
        <w:tabs>
          <w:tab w:val="num" w:pos="2160"/>
        </w:tabs>
        <w:ind w:left="2160" w:hanging="360"/>
      </w:pPr>
      <w:rPr>
        <w:rFonts w:ascii="Wingdings 2" w:hAnsi="Wingdings 2" w:hint="default"/>
      </w:rPr>
    </w:lvl>
    <w:lvl w:ilvl="3" w:tplc="3F8C31BC" w:tentative="1">
      <w:start w:val="1"/>
      <w:numFmt w:val="bullet"/>
      <w:lvlText w:val=""/>
      <w:lvlJc w:val="left"/>
      <w:pPr>
        <w:tabs>
          <w:tab w:val="num" w:pos="2880"/>
        </w:tabs>
        <w:ind w:left="2880" w:hanging="360"/>
      </w:pPr>
      <w:rPr>
        <w:rFonts w:ascii="Wingdings 2" w:hAnsi="Wingdings 2" w:hint="default"/>
      </w:rPr>
    </w:lvl>
    <w:lvl w:ilvl="4" w:tplc="7F380DEC" w:tentative="1">
      <w:start w:val="1"/>
      <w:numFmt w:val="bullet"/>
      <w:lvlText w:val=""/>
      <w:lvlJc w:val="left"/>
      <w:pPr>
        <w:tabs>
          <w:tab w:val="num" w:pos="3600"/>
        </w:tabs>
        <w:ind w:left="3600" w:hanging="360"/>
      </w:pPr>
      <w:rPr>
        <w:rFonts w:ascii="Wingdings 2" w:hAnsi="Wingdings 2" w:hint="default"/>
      </w:rPr>
    </w:lvl>
    <w:lvl w:ilvl="5" w:tplc="946ED7D4" w:tentative="1">
      <w:start w:val="1"/>
      <w:numFmt w:val="bullet"/>
      <w:lvlText w:val=""/>
      <w:lvlJc w:val="left"/>
      <w:pPr>
        <w:tabs>
          <w:tab w:val="num" w:pos="4320"/>
        </w:tabs>
        <w:ind w:left="4320" w:hanging="360"/>
      </w:pPr>
      <w:rPr>
        <w:rFonts w:ascii="Wingdings 2" w:hAnsi="Wingdings 2" w:hint="default"/>
      </w:rPr>
    </w:lvl>
    <w:lvl w:ilvl="6" w:tplc="9DB481EE" w:tentative="1">
      <w:start w:val="1"/>
      <w:numFmt w:val="bullet"/>
      <w:lvlText w:val=""/>
      <w:lvlJc w:val="left"/>
      <w:pPr>
        <w:tabs>
          <w:tab w:val="num" w:pos="5040"/>
        </w:tabs>
        <w:ind w:left="5040" w:hanging="360"/>
      </w:pPr>
      <w:rPr>
        <w:rFonts w:ascii="Wingdings 2" w:hAnsi="Wingdings 2" w:hint="default"/>
      </w:rPr>
    </w:lvl>
    <w:lvl w:ilvl="7" w:tplc="2BDABBD0" w:tentative="1">
      <w:start w:val="1"/>
      <w:numFmt w:val="bullet"/>
      <w:lvlText w:val=""/>
      <w:lvlJc w:val="left"/>
      <w:pPr>
        <w:tabs>
          <w:tab w:val="num" w:pos="5760"/>
        </w:tabs>
        <w:ind w:left="5760" w:hanging="360"/>
      </w:pPr>
      <w:rPr>
        <w:rFonts w:ascii="Wingdings 2" w:hAnsi="Wingdings 2" w:hint="default"/>
      </w:rPr>
    </w:lvl>
    <w:lvl w:ilvl="8" w:tplc="9F26F4E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BF322B"/>
    <w:multiLevelType w:val="hybridMultilevel"/>
    <w:tmpl w:val="D2A2265A"/>
    <w:lvl w:ilvl="0" w:tplc="98C43C24">
      <w:start w:val="1"/>
      <w:numFmt w:val="bullet"/>
      <w:lvlText w:val=""/>
      <w:lvlJc w:val="left"/>
      <w:pPr>
        <w:tabs>
          <w:tab w:val="num" w:pos="720"/>
        </w:tabs>
        <w:ind w:left="720" w:hanging="360"/>
      </w:pPr>
      <w:rPr>
        <w:rFonts w:ascii="Wingdings 2" w:hAnsi="Wingdings 2" w:hint="default"/>
      </w:rPr>
    </w:lvl>
    <w:lvl w:ilvl="1" w:tplc="AB849A18" w:tentative="1">
      <w:start w:val="1"/>
      <w:numFmt w:val="bullet"/>
      <w:lvlText w:val=""/>
      <w:lvlJc w:val="left"/>
      <w:pPr>
        <w:tabs>
          <w:tab w:val="num" w:pos="1440"/>
        </w:tabs>
        <w:ind w:left="1440" w:hanging="360"/>
      </w:pPr>
      <w:rPr>
        <w:rFonts w:ascii="Wingdings 2" w:hAnsi="Wingdings 2" w:hint="default"/>
      </w:rPr>
    </w:lvl>
    <w:lvl w:ilvl="2" w:tplc="2BC2199C" w:tentative="1">
      <w:start w:val="1"/>
      <w:numFmt w:val="bullet"/>
      <w:lvlText w:val=""/>
      <w:lvlJc w:val="left"/>
      <w:pPr>
        <w:tabs>
          <w:tab w:val="num" w:pos="2160"/>
        </w:tabs>
        <w:ind w:left="2160" w:hanging="360"/>
      </w:pPr>
      <w:rPr>
        <w:rFonts w:ascii="Wingdings 2" w:hAnsi="Wingdings 2" w:hint="default"/>
      </w:rPr>
    </w:lvl>
    <w:lvl w:ilvl="3" w:tplc="E09655B2" w:tentative="1">
      <w:start w:val="1"/>
      <w:numFmt w:val="bullet"/>
      <w:lvlText w:val=""/>
      <w:lvlJc w:val="left"/>
      <w:pPr>
        <w:tabs>
          <w:tab w:val="num" w:pos="2880"/>
        </w:tabs>
        <w:ind w:left="2880" w:hanging="360"/>
      </w:pPr>
      <w:rPr>
        <w:rFonts w:ascii="Wingdings 2" w:hAnsi="Wingdings 2" w:hint="default"/>
      </w:rPr>
    </w:lvl>
    <w:lvl w:ilvl="4" w:tplc="F9D87A30" w:tentative="1">
      <w:start w:val="1"/>
      <w:numFmt w:val="bullet"/>
      <w:lvlText w:val=""/>
      <w:lvlJc w:val="left"/>
      <w:pPr>
        <w:tabs>
          <w:tab w:val="num" w:pos="3600"/>
        </w:tabs>
        <w:ind w:left="3600" w:hanging="360"/>
      </w:pPr>
      <w:rPr>
        <w:rFonts w:ascii="Wingdings 2" w:hAnsi="Wingdings 2" w:hint="default"/>
      </w:rPr>
    </w:lvl>
    <w:lvl w:ilvl="5" w:tplc="F24ABC68" w:tentative="1">
      <w:start w:val="1"/>
      <w:numFmt w:val="bullet"/>
      <w:lvlText w:val=""/>
      <w:lvlJc w:val="left"/>
      <w:pPr>
        <w:tabs>
          <w:tab w:val="num" w:pos="4320"/>
        </w:tabs>
        <w:ind w:left="4320" w:hanging="360"/>
      </w:pPr>
      <w:rPr>
        <w:rFonts w:ascii="Wingdings 2" w:hAnsi="Wingdings 2" w:hint="default"/>
      </w:rPr>
    </w:lvl>
    <w:lvl w:ilvl="6" w:tplc="89888D20" w:tentative="1">
      <w:start w:val="1"/>
      <w:numFmt w:val="bullet"/>
      <w:lvlText w:val=""/>
      <w:lvlJc w:val="left"/>
      <w:pPr>
        <w:tabs>
          <w:tab w:val="num" w:pos="5040"/>
        </w:tabs>
        <w:ind w:left="5040" w:hanging="360"/>
      </w:pPr>
      <w:rPr>
        <w:rFonts w:ascii="Wingdings 2" w:hAnsi="Wingdings 2" w:hint="default"/>
      </w:rPr>
    </w:lvl>
    <w:lvl w:ilvl="7" w:tplc="AB22ADEA" w:tentative="1">
      <w:start w:val="1"/>
      <w:numFmt w:val="bullet"/>
      <w:lvlText w:val=""/>
      <w:lvlJc w:val="left"/>
      <w:pPr>
        <w:tabs>
          <w:tab w:val="num" w:pos="5760"/>
        </w:tabs>
        <w:ind w:left="5760" w:hanging="360"/>
      </w:pPr>
      <w:rPr>
        <w:rFonts w:ascii="Wingdings 2" w:hAnsi="Wingdings 2" w:hint="default"/>
      </w:rPr>
    </w:lvl>
    <w:lvl w:ilvl="8" w:tplc="833CF6AA" w:tentative="1">
      <w:start w:val="1"/>
      <w:numFmt w:val="bullet"/>
      <w:lvlText w:val=""/>
      <w:lvlJc w:val="left"/>
      <w:pPr>
        <w:tabs>
          <w:tab w:val="num" w:pos="6480"/>
        </w:tabs>
        <w:ind w:left="6480" w:hanging="360"/>
      </w:pPr>
      <w:rPr>
        <w:rFonts w:ascii="Wingdings 2" w:hAnsi="Wingdings 2"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23E71"/>
    <w:multiLevelType w:val="hybridMultilevel"/>
    <w:tmpl w:val="48041636"/>
    <w:lvl w:ilvl="0" w:tplc="7228DD58">
      <w:start w:val="1"/>
      <w:numFmt w:val="bullet"/>
      <w:lvlText w:val=""/>
      <w:lvlJc w:val="left"/>
      <w:pPr>
        <w:tabs>
          <w:tab w:val="num" w:pos="720"/>
        </w:tabs>
        <w:ind w:left="720" w:hanging="360"/>
      </w:pPr>
      <w:rPr>
        <w:rFonts w:ascii="Wingdings 2" w:hAnsi="Wingdings 2" w:hint="default"/>
      </w:rPr>
    </w:lvl>
    <w:lvl w:ilvl="1" w:tplc="1332BB90" w:tentative="1">
      <w:start w:val="1"/>
      <w:numFmt w:val="bullet"/>
      <w:lvlText w:val=""/>
      <w:lvlJc w:val="left"/>
      <w:pPr>
        <w:tabs>
          <w:tab w:val="num" w:pos="1440"/>
        </w:tabs>
        <w:ind w:left="1440" w:hanging="360"/>
      </w:pPr>
      <w:rPr>
        <w:rFonts w:ascii="Wingdings 2" w:hAnsi="Wingdings 2" w:hint="default"/>
      </w:rPr>
    </w:lvl>
    <w:lvl w:ilvl="2" w:tplc="1BA84FEA" w:tentative="1">
      <w:start w:val="1"/>
      <w:numFmt w:val="bullet"/>
      <w:lvlText w:val=""/>
      <w:lvlJc w:val="left"/>
      <w:pPr>
        <w:tabs>
          <w:tab w:val="num" w:pos="2160"/>
        </w:tabs>
        <w:ind w:left="2160" w:hanging="360"/>
      </w:pPr>
      <w:rPr>
        <w:rFonts w:ascii="Wingdings 2" w:hAnsi="Wingdings 2" w:hint="default"/>
      </w:rPr>
    </w:lvl>
    <w:lvl w:ilvl="3" w:tplc="1ADA709C" w:tentative="1">
      <w:start w:val="1"/>
      <w:numFmt w:val="bullet"/>
      <w:lvlText w:val=""/>
      <w:lvlJc w:val="left"/>
      <w:pPr>
        <w:tabs>
          <w:tab w:val="num" w:pos="2880"/>
        </w:tabs>
        <w:ind w:left="2880" w:hanging="360"/>
      </w:pPr>
      <w:rPr>
        <w:rFonts w:ascii="Wingdings 2" w:hAnsi="Wingdings 2" w:hint="default"/>
      </w:rPr>
    </w:lvl>
    <w:lvl w:ilvl="4" w:tplc="8E46886E" w:tentative="1">
      <w:start w:val="1"/>
      <w:numFmt w:val="bullet"/>
      <w:lvlText w:val=""/>
      <w:lvlJc w:val="left"/>
      <w:pPr>
        <w:tabs>
          <w:tab w:val="num" w:pos="3600"/>
        </w:tabs>
        <w:ind w:left="3600" w:hanging="360"/>
      </w:pPr>
      <w:rPr>
        <w:rFonts w:ascii="Wingdings 2" w:hAnsi="Wingdings 2" w:hint="default"/>
      </w:rPr>
    </w:lvl>
    <w:lvl w:ilvl="5" w:tplc="7B027A38" w:tentative="1">
      <w:start w:val="1"/>
      <w:numFmt w:val="bullet"/>
      <w:lvlText w:val=""/>
      <w:lvlJc w:val="left"/>
      <w:pPr>
        <w:tabs>
          <w:tab w:val="num" w:pos="4320"/>
        </w:tabs>
        <w:ind w:left="4320" w:hanging="360"/>
      </w:pPr>
      <w:rPr>
        <w:rFonts w:ascii="Wingdings 2" w:hAnsi="Wingdings 2" w:hint="default"/>
      </w:rPr>
    </w:lvl>
    <w:lvl w:ilvl="6" w:tplc="4B125A64" w:tentative="1">
      <w:start w:val="1"/>
      <w:numFmt w:val="bullet"/>
      <w:lvlText w:val=""/>
      <w:lvlJc w:val="left"/>
      <w:pPr>
        <w:tabs>
          <w:tab w:val="num" w:pos="5040"/>
        </w:tabs>
        <w:ind w:left="5040" w:hanging="360"/>
      </w:pPr>
      <w:rPr>
        <w:rFonts w:ascii="Wingdings 2" w:hAnsi="Wingdings 2" w:hint="default"/>
      </w:rPr>
    </w:lvl>
    <w:lvl w:ilvl="7" w:tplc="381E3FFC" w:tentative="1">
      <w:start w:val="1"/>
      <w:numFmt w:val="bullet"/>
      <w:lvlText w:val=""/>
      <w:lvlJc w:val="left"/>
      <w:pPr>
        <w:tabs>
          <w:tab w:val="num" w:pos="5760"/>
        </w:tabs>
        <w:ind w:left="5760" w:hanging="360"/>
      </w:pPr>
      <w:rPr>
        <w:rFonts w:ascii="Wingdings 2" w:hAnsi="Wingdings 2" w:hint="default"/>
      </w:rPr>
    </w:lvl>
    <w:lvl w:ilvl="8" w:tplc="3AF05DB0"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083684D"/>
    <w:multiLevelType w:val="hybridMultilevel"/>
    <w:tmpl w:val="6122C8E8"/>
    <w:lvl w:ilvl="0" w:tplc="2286E23A">
      <w:start w:val="1"/>
      <w:numFmt w:val="bullet"/>
      <w:lvlText w:val=""/>
      <w:lvlJc w:val="left"/>
      <w:pPr>
        <w:tabs>
          <w:tab w:val="num" w:pos="720"/>
        </w:tabs>
        <w:ind w:left="720" w:hanging="360"/>
      </w:pPr>
      <w:rPr>
        <w:rFonts w:ascii="Wingdings 2" w:hAnsi="Wingdings 2" w:hint="default"/>
      </w:rPr>
    </w:lvl>
    <w:lvl w:ilvl="1" w:tplc="8D963662" w:tentative="1">
      <w:start w:val="1"/>
      <w:numFmt w:val="bullet"/>
      <w:lvlText w:val=""/>
      <w:lvlJc w:val="left"/>
      <w:pPr>
        <w:tabs>
          <w:tab w:val="num" w:pos="1440"/>
        </w:tabs>
        <w:ind w:left="1440" w:hanging="360"/>
      </w:pPr>
      <w:rPr>
        <w:rFonts w:ascii="Wingdings 2" w:hAnsi="Wingdings 2" w:hint="default"/>
      </w:rPr>
    </w:lvl>
    <w:lvl w:ilvl="2" w:tplc="B92ECAB2" w:tentative="1">
      <w:start w:val="1"/>
      <w:numFmt w:val="bullet"/>
      <w:lvlText w:val=""/>
      <w:lvlJc w:val="left"/>
      <w:pPr>
        <w:tabs>
          <w:tab w:val="num" w:pos="2160"/>
        </w:tabs>
        <w:ind w:left="2160" w:hanging="360"/>
      </w:pPr>
      <w:rPr>
        <w:rFonts w:ascii="Wingdings 2" w:hAnsi="Wingdings 2" w:hint="default"/>
      </w:rPr>
    </w:lvl>
    <w:lvl w:ilvl="3" w:tplc="9434300C" w:tentative="1">
      <w:start w:val="1"/>
      <w:numFmt w:val="bullet"/>
      <w:lvlText w:val=""/>
      <w:lvlJc w:val="left"/>
      <w:pPr>
        <w:tabs>
          <w:tab w:val="num" w:pos="2880"/>
        </w:tabs>
        <w:ind w:left="2880" w:hanging="360"/>
      </w:pPr>
      <w:rPr>
        <w:rFonts w:ascii="Wingdings 2" w:hAnsi="Wingdings 2" w:hint="default"/>
      </w:rPr>
    </w:lvl>
    <w:lvl w:ilvl="4" w:tplc="A5088CBE" w:tentative="1">
      <w:start w:val="1"/>
      <w:numFmt w:val="bullet"/>
      <w:lvlText w:val=""/>
      <w:lvlJc w:val="left"/>
      <w:pPr>
        <w:tabs>
          <w:tab w:val="num" w:pos="3600"/>
        </w:tabs>
        <w:ind w:left="3600" w:hanging="360"/>
      </w:pPr>
      <w:rPr>
        <w:rFonts w:ascii="Wingdings 2" w:hAnsi="Wingdings 2" w:hint="default"/>
      </w:rPr>
    </w:lvl>
    <w:lvl w:ilvl="5" w:tplc="E9642E04" w:tentative="1">
      <w:start w:val="1"/>
      <w:numFmt w:val="bullet"/>
      <w:lvlText w:val=""/>
      <w:lvlJc w:val="left"/>
      <w:pPr>
        <w:tabs>
          <w:tab w:val="num" w:pos="4320"/>
        </w:tabs>
        <w:ind w:left="4320" w:hanging="360"/>
      </w:pPr>
      <w:rPr>
        <w:rFonts w:ascii="Wingdings 2" w:hAnsi="Wingdings 2" w:hint="default"/>
      </w:rPr>
    </w:lvl>
    <w:lvl w:ilvl="6" w:tplc="B9C2DC24" w:tentative="1">
      <w:start w:val="1"/>
      <w:numFmt w:val="bullet"/>
      <w:lvlText w:val=""/>
      <w:lvlJc w:val="left"/>
      <w:pPr>
        <w:tabs>
          <w:tab w:val="num" w:pos="5040"/>
        </w:tabs>
        <w:ind w:left="5040" w:hanging="360"/>
      </w:pPr>
      <w:rPr>
        <w:rFonts w:ascii="Wingdings 2" w:hAnsi="Wingdings 2" w:hint="default"/>
      </w:rPr>
    </w:lvl>
    <w:lvl w:ilvl="7" w:tplc="CB0E957A" w:tentative="1">
      <w:start w:val="1"/>
      <w:numFmt w:val="bullet"/>
      <w:lvlText w:val=""/>
      <w:lvlJc w:val="left"/>
      <w:pPr>
        <w:tabs>
          <w:tab w:val="num" w:pos="5760"/>
        </w:tabs>
        <w:ind w:left="5760" w:hanging="360"/>
      </w:pPr>
      <w:rPr>
        <w:rFonts w:ascii="Wingdings 2" w:hAnsi="Wingdings 2" w:hint="default"/>
      </w:rPr>
    </w:lvl>
    <w:lvl w:ilvl="8" w:tplc="08B45F1C"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165ABC"/>
    <w:multiLevelType w:val="hybridMultilevel"/>
    <w:tmpl w:val="2BE450C2"/>
    <w:lvl w:ilvl="0" w:tplc="94A279AA">
      <w:start w:val="1"/>
      <w:numFmt w:val="bullet"/>
      <w:lvlText w:val=""/>
      <w:lvlJc w:val="left"/>
      <w:pPr>
        <w:tabs>
          <w:tab w:val="num" w:pos="720"/>
        </w:tabs>
        <w:ind w:left="720" w:hanging="360"/>
      </w:pPr>
      <w:rPr>
        <w:rFonts w:ascii="Wingdings 2" w:hAnsi="Wingdings 2" w:hint="default"/>
      </w:rPr>
    </w:lvl>
    <w:lvl w:ilvl="1" w:tplc="0D469D8C" w:tentative="1">
      <w:start w:val="1"/>
      <w:numFmt w:val="bullet"/>
      <w:lvlText w:val=""/>
      <w:lvlJc w:val="left"/>
      <w:pPr>
        <w:tabs>
          <w:tab w:val="num" w:pos="1440"/>
        </w:tabs>
        <w:ind w:left="1440" w:hanging="360"/>
      </w:pPr>
      <w:rPr>
        <w:rFonts w:ascii="Wingdings 2" w:hAnsi="Wingdings 2" w:hint="default"/>
      </w:rPr>
    </w:lvl>
    <w:lvl w:ilvl="2" w:tplc="8D06A00C" w:tentative="1">
      <w:start w:val="1"/>
      <w:numFmt w:val="bullet"/>
      <w:lvlText w:val=""/>
      <w:lvlJc w:val="left"/>
      <w:pPr>
        <w:tabs>
          <w:tab w:val="num" w:pos="2160"/>
        </w:tabs>
        <w:ind w:left="2160" w:hanging="360"/>
      </w:pPr>
      <w:rPr>
        <w:rFonts w:ascii="Wingdings 2" w:hAnsi="Wingdings 2" w:hint="default"/>
      </w:rPr>
    </w:lvl>
    <w:lvl w:ilvl="3" w:tplc="8DC2E538" w:tentative="1">
      <w:start w:val="1"/>
      <w:numFmt w:val="bullet"/>
      <w:lvlText w:val=""/>
      <w:lvlJc w:val="left"/>
      <w:pPr>
        <w:tabs>
          <w:tab w:val="num" w:pos="2880"/>
        </w:tabs>
        <w:ind w:left="2880" w:hanging="360"/>
      </w:pPr>
      <w:rPr>
        <w:rFonts w:ascii="Wingdings 2" w:hAnsi="Wingdings 2" w:hint="default"/>
      </w:rPr>
    </w:lvl>
    <w:lvl w:ilvl="4" w:tplc="427AD5B2" w:tentative="1">
      <w:start w:val="1"/>
      <w:numFmt w:val="bullet"/>
      <w:lvlText w:val=""/>
      <w:lvlJc w:val="left"/>
      <w:pPr>
        <w:tabs>
          <w:tab w:val="num" w:pos="3600"/>
        </w:tabs>
        <w:ind w:left="3600" w:hanging="360"/>
      </w:pPr>
      <w:rPr>
        <w:rFonts w:ascii="Wingdings 2" w:hAnsi="Wingdings 2" w:hint="default"/>
      </w:rPr>
    </w:lvl>
    <w:lvl w:ilvl="5" w:tplc="907ED950" w:tentative="1">
      <w:start w:val="1"/>
      <w:numFmt w:val="bullet"/>
      <w:lvlText w:val=""/>
      <w:lvlJc w:val="left"/>
      <w:pPr>
        <w:tabs>
          <w:tab w:val="num" w:pos="4320"/>
        </w:tabs>
        <w:ind w:left="4320" w:hanging="360"/>
      </w:pPr>
      <w:rPr>
        <w:rFonts w:ascii="Wingdings 2" w:hAnsi="Wingdings 2" w:hint="default"/>
      </w:rPr>
    </w:lvl>
    <w:lvl w:ilvl="6" w:tplc="4FF83D0C" w:tentative="1">
      <w:start w:val="1"/>
      <w:numFmt w:val="bullet"/>
      <w:lvlText w:val=""/>
      <w:lvlJc w:val="left"/>
      <w:pPr>
        <w:tabs>
          <w:tab w:val="num" w:pos="5040"/>
        </w:tabs>
        <w:ind w:left="5040" w:hanging="360"/>
      </w:pPr>
      <w:rPr>
        <w:rFonts w:ascii="Wingdings 2" w:hAnsi="Wingdings 2" w:hint="default"/>
      </w:rPr>
    </w:lvl>
    <w:lvl w:ilvl="7" w:tplc="5F2A412E" w:tentative="1">
      <w:start w:val="1"/>
      <w:numFmt w:val="bullet"/>
      <w:lvlText w:val=""/>
      <w:lvlJc w:val="left"/>
      <w:pPr>
        <w:tabs>
          <w:tab w:val="num" w:pos="5760"/>
        </w:tabs>
        <w:ind w:left="5760" w:hanging="360"/>
      </w:pPr>
      <w:rPr>
        <w:rFonts w:ascii="Wingdings 2" w:hAnsi="Wingdings 2" w:hint="default"/>
      </w:rPr>
    </w:lvl>
    <w:lvl w:ilvl="8" w:tplc="F002372C"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A76B7F"/>
    <w:multiLevelType w:val="hybridMultilevel"/>
    <w:tmpl w:val="74A2F51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9"/>
  </w:num>
  <w:num w:numId="18">
    <w:abstractNumId w:val="35"/>
  </w:num>
  <w:num w:numId="19">
    <w:abstractNumId w:val="25"/>
  </w:num>
  <w:num w:numId="20">
    <w:abstractNumId w:val="8"/>
  </w:num>
  <w:num w:numId="21">
    <w:abstractNumId w:val="46"/>
  </w:num>
  <w:num w:numId="22">
    <w:abstractNumId w:val="20"/>
  </w:num>
  <w:num w:numId="23">
    <w:abstractNumId w:val="41"/>
  </w:num>
  <w:num w:numId="24">
    <w:abstractNumId w:val="43"/>
  </w:num>
  <w:num w:numId="25">
    <w:abstractNumId w:val="30"/>
  </w:num>
  <w:num w:numId="26">
    <w:abstractNumId w:val="19"/>
  </w:num>
  <w:num w:numId="27">
    <w:abstractNumId w:val="5"/>
  </w:num>
  <w:num w:numId="28">
    <w:abstractNumId w:val="12"/>
  </w:num>
  <w:num w:numId="29">
    <w:abstractNumId w:val="31"/>
  </w:num>
  <w:num w:numId="30">
    <w:abstractNumId w:val="38"/>
  </w:num>
  <w:num w:numId="31">
    <w:abstractNumId w:val="28"/>
  </w:num>
  <w:num w:numId="32">
    <w:abstractNumId w:val="3"/>
  </w:num>
  <w:num w:numId="33">
    <w:abstractNumId w:val="27"/>
  </w:num>
  <w:num w:numId="34">
    <w:abstractNumId w:val="23"/>
  </w:num>
  <w:num w:numId="35">
    <w:abstractNumId w:val="15"/>
  </w:num>
  <w:num w:numId="36">
    <w:abstractNumId w:val="13"/>
  </w:num>
  <w:num w:numId="37">
    <w:abstractNumId w:val="10"/>
  </w:num>
  <w:num w:numId="38">
    <w:abstractNumId w:val="37"/>
  </w:num>
  <w:num w:numId="39">
    <w:abstractNumId w:val="18"/>
  </w:num>
  <w:num w:numId="40">
    <w:abstractNumId w:val="14"/>
  </w:num>
  <w:num w:numId="41">
    <w:abstractNumId w:val="24"/>
  </w:num>
  <w:num w:numId="42">
    <w:abstractNumId w:val="4"/>
  </w:num>
  <w:num w:numId="43">
    <w:abstractNumId w:val="2"/>
  </w:num>
  <w:num w:numId="44">
    <w:abstractNumId w:val="42"/>
  </w:num>
  <w:num w:numId="45">
    <w:abstractNumId w:val="32"/>
  </w:num>
  <w:num w:numId="46">
    <w:abstractNumId w:val="44"/>
  </w:num>
  <w:num w:numId="47">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3BBC"/>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079BA"/>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05C5"/>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1899"/>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2A4F"/>
    <w:rsid w:val="005E581E"/>
    <w:rsid w:val="005E6AC7"/>
    <w:rsid w:val="005E7F3A"/>
    <w:rsid w:val="005F13FB"/>
    <w:rsid w:val="005F1849"/>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279"/>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2EED"/>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50FE"/>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26B6"/>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454F"/>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58BE"/>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2C1A"/>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4994"/>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1889910">
      <w:bodyDiv w:val="1"/>
      <w:marLeft w:val="0"/>
      <w:marRight w:val="0"/>
      <w:marTop w:val="0"/>
      <w:marBottom w:val="0"/>
      <w:divBdr>
        <w:top w:val="none" w:sz="0" w:space="0" w:color="auto"/>
        <w:left w:val="none" w:sz="0" w:space="0" w:color="auto"/>
        <w:bottom w:val="none" w:sz="0" w:space="0" w:color="auto"/>
        <w:right w:val="none" w:sz="0" w:space="0" w:color="auto"/>
      </w:divBdr>
      <w:divsChild>
        <w:div w:id="1210068110">
          <w:marLeft w:val="576"/>
          <w:marRight w:val="0"/>
          <w:marTop w:val="120"/>
          <w:marBottom w:val="0"/>
          <w:divBdr>
            <w:top w:val="none" w:sz="0" w:space="0" w:color="auto"/>
            <w:left w:val="none" w:sz="0" w:space="0" w:color="auto"/>
            <w:bottom w:val="none" w:sz="0" w:space="0" w:color="auto"/>
            <w:right w:val="none" w:sz="0" w:space="0" w:color="auto"/>
          </w:divBdr>
        </w:div>
        <w:div w:id="1367021071">
          <w:marLeft w:val="576"/>
          <w:marRight w:val="0"/>
          <w:marTop w:val="120"/>
          <w:marBottom w:val="0"/>
          <w:divBdr>
            <w:top w:val="none" w:sz="0" w:space="0" w:color="auto"/>
            <w:left w:val="none" w:sz="0" w:space="0" w:color="auto"/>
            <w:bottom w:val="none" w:sz="0" w:space="0" w:color="auto"/>
            <w:right w:val="none" w:sz="0" w:space="0" w:color="auto"/>
          </w:divBdr>
        </w:div>
        <w:div w:id="1311516808">
          <w:marLeft w:val="576"/>
          <w:marRight w:val="0"/>
          <w:marTop w:val="120"/>
          <w:marBottom w:val="0"/>
          <w:divBdr>
            <w:top w:val="none" w:sz="0" w:space="0" w:color="auto"/>
            <w:left w:val="none" w:sz="0" w:space="0" w:color="auto"/>
            <w:bottom w:val="none" w:sz="0" w:space="0" w:color="auto"/>
            <w:right w:val="none" w:sz="0" w:space="0" w:color="auto"/>
          </w:divBdr>
        </w:div>
        <w:div w:id="2127233835">
          <w:marLeft w:val="576"/>
          <w:marRight w:val="0"/>
          <w:marTop w:val="120"/>
          <w:marBottom w:val="0"/>
          <w:divBdr>
            <w:top w:val="none" w:sz="0" w:space="0" w:color="auto"/>
            <w:left w:val="none" w:sz="0" w:space="0" w:color="auto"/>
            <w:bottom w:val="none" w:sz="0" w:space="0" w:color="auto"/>
            <w:right w:val="none" w:sz="0" w:space="0" w:color="auto"/>
          </w:divBdr>
        </w:div>
        <w:div w:id="42781969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953324">
      <w:bodyDiv w:val="1"/>
      <w:marLeft w:val="0"/>
      <w:marRight w:val="0"/>
      <w:marTop w:val="0"/>
      <w:marBottom w:val="0"/>
      <w:divBdr>
        <w:top w:val="none" w:sz="0" w:space="0" w:color="auto"/>
        <w:left w:val="none" w:sz="0" w:space="0" w:color="auto"/>
        <w:bottom w:val="none" w:sz="0" w:space="0" w:color="auto"/>
        <w:right w:val="none" w:sz="0" w:space="0" w:color="auto"/>
      </w:divBdr>
      <w:divsChild>
        <w:div w:id="1738555030">
          <w:marLeft w:val="576"/>
          <w:marRight w:val="0"/>
          <w:marTop w:val="120"/>
          <w:marBottom w:val="0"/>
          <w:divBdr>
            <w:top w:val="none" w:sz="0" w:space="0" w:color="auto"/>
            <w:left w:val="none" w:sz="0" w:space="0" w:color="auto"/>
            <w:bottom w:val="none" w:sz="0" w:space="0" w:color="auto"/>
            <w:right w:val="none" w:sz="0" w:space="0" w:color="auto"/>
          </w:divBdr>
        </w:div>
        <w:div w:id="729380267">
          <w:marLeft w:val="576"/>
          <w:marRight w:val="0"/>
          <w:marTop w:val="120"/>
          <w:marBottom w:val="0"/>
          <w:divBdr>
            <w:top w:val="none" w:sz="0" w:space="0" w:color="auto"/>
            <w:left w:val="none" w:sz="0" w:space="0" w:color="auto"/>
            <w:bottom w:val="none" w:sz="0" w:space="0" w:color="auto"/>
            <w:right w:val="none" w:sz="0" w:space="0" w:color="auto"/>
          </w:divBdr>
        </w:div>
        <w:div w:id="1314799618">
          <w:marLeft w:val="576"/>
          <w:marRight w:val="0"/>
          <w:marTop w:val="120"/>
          <w:marBottom w:val="0"/>
          <w:divBdr>
            <w:top w:val="none" w:sz="0" w:space="0" w:color="auto"/>
            <w:left w:val="none" w:sz="0" w:space="0" w:color="auto"/>
            <w:bottom w:val="none" w:sz="0" w:space="0" w:color="auto"/>
            <w:right w:val="none" w:sz="0" w:space="0" w:color="auto"/>
          </w:divBdr>
        </w:div>
        <w:div w:id="503782656">
          <w:marLeft w:val="576"/>
          <w:marRight w:val="0"/>
          <w:marTop w:val="120"/>
          <w:marBottom w:val="0"/>
          <w:divBdr>
            <w:top w:val="none" w:sz="0" w:space="0" w:color="auto"/>
            <w:left w:val="none" w:sz="0" w:space="0" w:color="auto"/>
            <w:bottom w:val="none" w:sz="0" w:space="0" w:color="auto"/>
            <w:right w:val="none" w:sz="0" w:space="0" w:color="auto"/>
          </w:divBdr>
        </w:div>
        <w:div w:id="687803424">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0039817">
      <w:bodyDiv w:val="1"/>
      <w:marLeft w:val="0"/>
      <w:marRight w:val="0"/>
      <w:marTop w:val="0"/>
      <w:marBottom w:val="0"/>
      <w:divBdr>
        <w:top w:val="none" w:sz="0" w:space="0" w:color="auto"/>
        <w:left w:val="none" w:sz="0" w:space="0" w:color="auto"/>
        <w:bottom w:val="none" w:sz="0" w:space="0" w:color="auto"/>
        <w:right w:val="none" w:sz="0" w:space="0" w:color="auto"/>
      </w:divBdr>
    </w:div>
    <w:div w:id="578447502">
      <w:bodyDiv w:val="1"/>
      <w:marLeft w:val="0"/>
      <w:marRight w:val="0"/>
      <w:marTop w:val="0"/>
      <w:marBottom w:val="0"/>
      <w:divBdr>
        <w:top w:val="none" w:sz="0" w:space="0" w:color="auto"/>
        <w:left w:val="none" w:sz="0" w:space="0" w:color="auto"/>
        <w:bottom w:val="none" w:sz="0" w:space="0" w:color="auto"/>
        <w:right w:val="none" w:sz="0" w:space="0" w:color="auto"/>
      </w:divBdr>
      <w:divsChild>
        <w:div w:id="1961183852">
          <w:marLeft w:val="576"/>
          <w:marRight w:val="0"/>
          <w:marTop w:val="120"/>
          <w:marBottom w:val="0"/>
          <w:divBdr>
            <w:top w:val="none" w:sz="0" w:space="0" w:color="auto"/>
            <w:left w:val="none" w:sz="0" w:space="0" w:color="auto"/>
            <w:bottom w:val="none" w:sz="0" w:space="0" w:color="auto"/>
            <w:right w:val="none" w:sz="0" w:space="0" w:color="auto"/>
          </w:divBdr>
        </w:div>
        <w:div w:id="1051151281">
          <w:marLeft w:val="576"/>
          <w:marRight w:val="0"/>
          <w:marTop w:val="120"/>
          <w:marBottom w:val="0"/>
          <w:divBdr>
            <w:top w:val="none" w:sz="0" w:space="0" w:color="auto"/>
            <w:left w:val="none" w:sz="0" w:space="0" w:color="auto"/>
            <w:bottom w:val="none" w:sz="0" w:space="0" w:color="auto"/>
            <w:right w:val="none" w:sz="0" w:space="0" w:color="auto"/>
          </w:divBdr>
        </w:div>
        <w:div w:id="1851017929">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5208210">
      <w:bodyDiv w:val="1"/>
      <w:marLeft w:val="0"/>
      <w:marRight w:val="0"/>
      <w:marTop w:val="0"/>
      <w:marBottom w:val="0"/>
      <w:divBdr>
        <w:top w:val="none" w:sz="0" w:space="0" w:color="auto"/>
        <w:left w:val="none" w:sz="0" w:space="0" w:color="auto"/>
        <w:bottom w:val="none" w:sz="0" w:space="0" w:color="auto"/>
        <w:right w:val="none" w:sz="0" w:space="0" w:color="auto"/>
      </w:divBdr>
      <w:divsChild>
        <w:div w:id="382096692">
          <w:marLeft w:val="576"/>
          <w:marRight w:val="0"/>
          <w:marTop w:val="120"/>
          <w:marBottom w:val="0"/>
          <w:divBdr>
            <w:top w:val="none" w:sz="0" w:space="0" w:color="auto"/>
            <w:left w:val="none" w:sz="0" w:space="0" w:color="auto"/>
            <w:bottom w:val="none" w:sz="0" w:space="0" w:color="auto"/>
            <w:right w:val="none" w:sz="0" w:space="0" w:color="auto"/>
          </w:divBdr>
        </w:div>
        <w:div w:id="1440951279">
          <w:marLeft w:val="576"/>
          <w:marRight w:val="0"/>
          <w:marTop w:val="120"/>
          <w:marBottom w:val="0"/>
          <w:divBdr>
            <w:top w:val="none" w:sz="0" w:space="0" w:color="auto"/>
            <w:left w:val="none" w:sz="0" w:space="0" w:color="auto"/>
            <w:bottom w:val="none" w:sz="0" w:space="0" w:color="auto"/>
            <w:right w:val="none" w:sz="0" w:space="0" w:color="auto"/>
          </w:divBdr>
        </w:div>
        <w:div w:id="102920268">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6016081">
      <w:bodyDiv w:val="1"/>
      <w:marLeft w:val="0"/>
      <w:marRight w:val="0"/>
      <w:marTop w:val="0"/>
      <w:marBottom w:val="0"/>
      <w:divBdr>
        <w:top w:val="none" w:sz="0" w:space="0" w:color="auto"/>
        <w:left w:val="none" w:sz="0" w:space="0" w:color="auto"/>
        <w:bottom w:val="none" w:sz="0" w:space="0" w:color="auto"/>
        <w:right w:val="none" w:sz="0" w:space="0" w:color="auto"/>
      </w:divBdr>
      <w:divsChild>
        <w:div w:id="1612276618">
          <w:marLeft w:val="576"/>
          <w:marRight w:val="0"/>
          <w:marTop w:val="120"/>
          <w:marBottom w:val="0"/>
          <w:divBdr>
            <w:top w:val="none" w:sz="0" w:space="0" w:color="auto"/>
            <w:left w:val="none" w:sz="0" w:space="0" w:color="auto"/>
            <w:bottom w:val="none" w:sz="0" w:space="0" w:color="auto"/>
            <w:right w:val="none" w:sz="0" w:space="0" w:color="auto"/>
          </w:divBdr>
        </w:div>
        <w:div w:id="1332440826">
          <w:marLeft w:val="576"/>
          <w:marRight w:val="0"/>
          <w:marTop w:val="120"/>
          <w:marBottom w:val="0"/>
          <w:divBdr>
            <w:top w:val="none" w:sz="0" w:space="0" w:color="auto"/>
            <w:left w:val="none" w:sz="0" w:space="0" w:color="auto"/>
            <w:bottom w:val="none" w:sz="0" w:space="0" w:color="auto"/>
            <w:right w:val="none" w:sz="0" w:space="0" w:color="auto"/>
          </w:divBdr>
        </w:div>
        <w:div w:id="147407951">
          <w:marLeft w:val="576"/>
          <w:marRight w:val="0"/>
          <w:marTop w:val="120"/>
          <w:marBottom w:val="0"/>
          <w:divBdr>
            <w:top w:val="none" w:sz="0" w:space="0" w:color="auto"/>
            <w:left w:val="none" w:sz="0" w:space="0" w:color="auto"/>
            <w:bottom w:val="none" w:sz="0" w:space="0" w:color="auto"/>
            <w:right w:val="none" w:sz="0" w:space="0" w:color="auto"/>
          </w:divBdr>
        </w:div>
        <w:div w:id="51434896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0408729">
      <w:bodyDiv w:val="1"/>
      <w:marLeft w:val="0"/>
      <w:marRight w:val="0"/>
      <w:marTop w:val="0"/>
      <w:marBottom w:val="0"/>
      <w:divBdr>
        <w:top w:val="none" w:sz="0" w:space="0" w:color="auto"/>
        <w:left w:val="none" w:sz="0" w:space="0" w:color="auto"/>
        <w:bottom w:val="none" w:sz="0" w:space="0" w:color="auto"/>
        <w:right w:val="none" w:sz="0" w:space="0" w:color="auto"/>
      </w:divBdr>
      <w:divsChild>
        <w:div w:id="1324116152">
          <w:marLeft w:val="576"/>
          <w:marRight w:val="0"/>
          <w:marTop w:val="120"/>
          <w:marBottom w:val="0"/>
          <w:divBdr>
            <w:top w:val="none" w:sz="0" w:space="0" w:color="auto"/>
            <w:left w:val="none" w:sz="0" w:space="0" w:color="auto"/>
            <w:bottom w:val="none" w:sz="0" w:space="0" w:color="auto"/>
            <w:right w:val="none" w:sz="0" w:space="0" w:color="auto"/>
          </w:divBdr>
        </w:div>
        <w:div w:id="1940336370">
          <w:marLeft w:val="576"/>
          <w:marRight w:val="0"/>
          <w:marTop w:val="120"/>
          <w:marBottom w:val="0"/>
          <w:divBdr>
            <w:top w:val="none" w:sz="0" w:space="0" w:color="auto"/>
            <w:left w:val="none" w:sz="0" w:space="0" w:color="auto"/>
            <w:bottom w:val="none" w:sz="0" w:space="0" w:color="auto"/>
            <w:right w:val="none" w:sz="0" w:space="0" w:color="auto"/>
          </w:divBdr>
        </w:div>
        <w:div w:id="22276229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13</Pages>
  <Words>1487</Words>
  <Characters>8478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2022-04-13T11:50:00Z</dcterms:modified>
</cp:coreProperties>
</file>