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D3B55" w:rsidRDefault="00CD3B55" w:rsidP="00CD3B55">
      <w:pPr>
        <w:spacing w:line="360" w:lineRule="auto"/>
        <w:jc w:val="center"/>
        <w:rPr>
          <w:rFonts w:ascii="Times New Roman" w:hAnsi="Times New Roman" w:cs="Times New Roman"/>
          <w:b/>
          <w:sz w:val="56"/>
          <w:szCs w:val="56"/>
        </w:rPr>
      </w:pPr>
      <w:r w:rsidRPr="00CD3B55">
        <w:rPr>
          <w:rFonts w:ascii="Times New Roman" w:hAnsi="Times New Roman" w:cs="Times New Roman"/>
          <w:b/>
          <w:sz w:val="56"/>
          <w:szCs w:val="56"/>
        </w:rPr>
        <w:t>Develop an application to aid end users to get Geographic Indicators for their product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01BAA" w:rsidRPr="00801BAA" w:rsidRDefault="00801BAA" w:rsidP="00E53AA4">
      <w:pPr>
        <w:spacing w:line="360" w:lineRule="auto"/>
        <w:jc w:val="both"/>
        <w:rPr>
          <w:rFonts w:ascii="Times New Roman" w:hAnsi="Times New Roman" w:cs="Times New Roman"/>
          <w:b/>
          <w:sz w:val="56"/>
          <w:szCs w:val="56"/>
        </w:rPr>
      </w:pPr>
      <w:r w:rsidRPr="00801BAA">
        <w:rPr>
          <w:rFonts w:ascii="Times New Roman" w:hAnsi="Times New Roman" w:cs="Times New Roman"/>
          <w:sz w:val="32"/>
          <w:szCs w:val="32"/>
        </w:rPr>
        <w:t>They exist as an integral form of rural development that offers a valuable framework for GIs. These are unique expression of local agro-ecological and cultural characteristics that have come to be evaluated and protected in many countries throughout the world. A GI is a unique and important form of collective intellectual and cultural property, with various rights. For limiting the use of geographical asset user registration established under the control of the registrar. This registration provides right to use of a name, which considerably defines a specific geographical (or sometimes cultural) area, is given by the state of regional producers and processors of particular products for their use only in relation to those products. While conceptualizing the GI law, it has normative power in market the product successfully. It is motivating to see that what all are the marketing weapons secures by GI registration. The present paper is discussing about the geographical indications in the context of marketing and suggests some opportunities in GI marketing.</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801BAA">
      <w:pPr>
        <w:tabs>
          <w:tab w:val="left" w:pos="6210"/>
        </w:tabs>
        <w:spacing w:line="360" w:lineRule="auto"/>
        <w:jc w:val="both"/>
        <w:rPr>
          <w:rFonts w:ascii="Times New Roman" w:hAnsi="Times New Roman" w:cs="Times New Roman"/>
          <w:b/>
          <w:sz w:val="40"/>
          <w:szCs w:val="40"/>
        </w:rPr>
      </w:pPr>
    </w:p>
    <w:p w:rsidR="00801BAA" w:rsidRDefault="00801BAA" w:rsidP="00801BAA">
      <w:pPr>
        <w:tabs>
          <w:tab w:val="left" w:pos="6210"/>
        </w:tabs>
        <w:spacing w:line="360" w:lineRule="auto"/>
        <w:jc w:val="both"/>
        <w:rPr>
          <w:rFonts w:ascii="Times New Roman" w:hAnsi="Times New Roman" w:cs="Times New Roman"/>
          <w:sz w:val="40"/>
          <w:szCs w:val="40"/>
        </w:rPr>
      </w:pPr>
    </w:p>
    <w:p w:rsidR="006A300A" w:rsidRPr="003D03F4" w:rsidRDefault="006A300A" w:rsidP="00801BA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F73D2" w:rsidRDefault="00B76EBB" w:rsidP="00CF73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F73D2">
        <w:rPr>
          <w:rFonts w:ascii="Times New Roman" w:hAnsi="Times New Roman" w:cs="Times New Roman"/>
          <w:sz w:val="32"/>
          <w:szCs w:val="32"/>
          <w:lang w:val="en-IN"/>
        </w:rPr>
        <w:t>In fact, as products using GIs pre-exist their registration and protec</w:t>
      </w:r>
      <w:r w:rsidRPr="00CF73D2">
        <w:rPr>
          <w:rFonts w:ascii="Times New Roman" w:hAnsi="Times New Roman" w:cs="Times New Roman"/>
          <w:sz w:val="32"/>
          <w:szCs w:val="32"/>
          <w:lang w:val="en-IN"/>
        </w:rPr>
        <w:t>tion, the process of registration raises substantive issues concerning the reorganization and governance of the supply chains.</w:t>
      </w:r>
    </w:p>
    <w:p w:rsidR="00000000" w:rsidRPr="00CF73D2" w:rsidRDefault="00B76EBB" w:rsidP="00CF73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F73D2">
        <w:rPr>
          <w:rFonts w:ascii="Times New Roman" w:hAnsi="Times New Roman" w:cs="Times New Roman"/>
          <w:sz w:val="32"/>
          <w:szCs w:val="32"/>
          <w:lang w:val="en-IN"/>
        </w:rPr>
        <w:t>The existence of a multi-structural mode of production, combined with the livelihood imperatives of large numbers of people, has</w:t>
      </w:r>
      <w:r w:rsidRPr="00CF73D2">
        <w:rPr>
          <w:rFonts w:ascii="Times New Roman" w:hAnsi="Times New Roman" w:cs="Times New Roman"/>
          <w:sz w:val="32"/>
          <w:szCs w:val="32"/>
          <w:lang w:val="en-IN"/>
        </w:rPr>
        <w:t xml:space="preserve"> presented this industry as a classic case of the dilemmas involved in technological change, particularly after the advent of the power looms.</w:t>
      </w:r>
    </w:p>
    <w:p w:rsidR="00000000" w:rsidRPr="00CF73D2" w:rsidRDefault="00B76EBB" w:rsidP="00CF73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F73D2">
        <w:rPr>
          <w:rFonts w:ascii="Times New Roman" w:hAnsi="Times New Roman" w:cs="Times New Roman"/>
          <w:sz w:val="32"/>
          <w:szCs w:val="32"/>
          <w:lang w:val="en-IN"/>
        </w:rPr>
        <w:t>There exist a number of post registration challenges and hurdles that the stakeholders need to overcome in order</w:t>
      </w:r>
      <w:r w:rsidRPr="00CF73D2">
        <w:rPr>
          <w:rFonts w:ascii="Times New Roman" w:hAnsi="Times New Roman" w:cs="Times New Roman"/>
          <w:sz w:val="32"/>
          <w:szCs w:val="32"/>
          <w:lang w:val="en-IN"/>
        </w:rPr>
        <w:t xml:space="preserve"> to be able to exploit the potential benefits embedded in this IPR.</w:t>
      </w:r>
      <w:r w:rsidRPr="00CF73D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F62EF" w:rsidRDefault="00B76EBB" w:rsidP="000F62EF">
      <w:pPr>
        <w:numPr>
          <w:ilvl w:val="0"/>
          <w:numId w:val="45"/>
        </w:numPr>
        <w:spacing w:line="360" w:lineRule="auto"/>
        <w:jc w:val="both"/>
        <w:rPr>
          <w:rFonts w:ascii="Times New Roman" w:hAnsi="Times New Roman" w:cs="Times New Roman"/>
          <w:bCs/>
          <w:sz w:val="32"/>
          <w:szCs w:val="32"/>
          <w:lang w:val="en-IN"/>
        </w:rPr>
      </w:pPr>
      <w:r w:rsidRPr="000F62EF">
        <w:rPr>
          <w:rFonts w:ascii="Times New Roman" w:hAnsi="Times New Roman" w:cs="Times New Roman"/>
          <w:bCs/>
          <w:sz w:val="32"/>
          <w:szCs w:val="32"/>
          <w:lang w:val="en-IN"/>
        </w:rPr>
        <w:t>A geographical indication can have a significant impact on a region’s economic performance and cultural heritage because it protects the identity of indigenous products.</w:t>
      </w:r>
    </w:p>
    <w:p w:rsidR="00000000" w:rsidRPr="000F62EF" w:rsidRDefault="00B76EBB" w:rsidP="000F62EF">
      <w:pPr>
        <w:numPr>
          <w:ilvl w:val="0"/>
          <w:numId w:val="45"/>
        </w:numPr>
        <w:spacing w:line="360" w:lineRule="auto"/>
        <w:jc w:val="both"/>
        <w:rPr>
          <w:rFonts w:ascii="Times New Roman" w:hAnsi="Times New Roman" w:cs="Times New Roman"/>
          <w:bCs/>
          <w:sz w:val="32"/>
          <w:szCs w:val="32"/>
          <w:lang w:val="en-IN"/>
        </w:rPr>
      </w:pPr>
      <w:r w:rsidRPr="000F62EF">
        <w:rPr>
          <w:rFonts w:ascii="Times New Roman" w:hAnsi="Times New Roman" w:cs="Times New Roman"/>
          <w:bCs/>
          <w:sz w:val="32"/>
          <w:szCs w:val="32"/>
          <w:lang w:val="en-IN"/>
        </w:rPr>
        <w:t>This problem ar</w:t>
      </w:r>
      <w:r w:rsidRPr="000F62EF">
        <w:rPr>
          <w:rFonts w:ascii="Times New Roman" w:hAnsi="Times New Roman" w:cs="Times New Roman"/>
          <w:bCs/>
          <w:sz w:val="32"/>
          <w:szCs w:val="32"/>
          <w:lang w:val="en-IN"/>
        </w:rPr>
        <w:t>ises in case of public goods and leads to a ‘‘market-failure’’ where either there is no production or under-</w:t>
      </w:r>
      <w:r w:rsidRPr="000F62EF">
        <w:rPr>
          <w:rFonts w:ascii="Times New Roman" w:hAnsi="Times New Roman" w:cs="Times New Roman"/>
          <w:bCs/>
          <w:sz w:val="32"/>
          <w:szCs w:val="32"/>
          <w:lang w:val="en-IN"/>
        </w:rPr>
        <w:lastRenderedPageBreak/>
        <w:t>production of the public good in question and sub-optimal allocation of resources.</w:t>
      </w:r>
    </w:p>
    <w:p w:rsidR="00F94960" w:rsidRPr="000F62EF" w:rsidRDefault="00B76EBB" w:rsidP="00E53AA4">
      <w:pPr>
        <w:numPr>
          <w:ilvl w:val="0"/>
          <w:numId w:val="45"/>
        </w:numPr>
        <w:spacing w:line="360" w:lineRule="auto"/>
        <w:jc w:val="both"/>
        <w:rPr>
          <w:rFonts w:ascii="Times New Roman" w:hAnsi="Times New Roman" w:cs="Times New Roman"/>
          <w:bCs/>
          <w:sz w:val="32"/>
          <w:szCs w:val="32"/>
          <w:lang w:val="en-IN"/>
        </w:rPr>
      </w:pPr>
      <w:r w:rsidRPr="000F62EF">
        <w:rPr>
          <w:rFonts w:ascii="Times New Roman" w:hAnsi="Times New Roman" w:cs="Times New Roman"/>
          <w:bCs/>
          <w:sz w:val="32"/>
          <w:szCs w:val="32"/>
          <w:lang w:val="en-IN"/>
        </w:rPr>
        <w:t>While the demand for handloom products has generally been showin</w:t>
      </w:r>
      <w:r w:rsidRPr="000F62EF">
        <w:rPr>
          <w:rFonts w:ascii="Times New Roman" w:hAnsi="Times New Roman" w:cs="Times New Roman"/>
          <w:bCs/>
          <w:sz w:val="32"/>
          <w:szCs w:val="32"/>
          <w:lang w:val="en-IN"/>
        </w:rPr>
        <w:t>g a declining trend over the recent past, the weavers are confronted with multi-pronged problems.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004EE" w:rsidRPr="001004EE" w:rsidRDefault="001004EE" w:rsidP="001004EE">
      <w:pPr>
        <w:pStyle w:val="NormalWeb"/>
        <w:numPr>
          <w:ilvl w:val="0"/>
          <w:numId w:val="46"/>
        </w:numPr>
        <w:spacing w:before="0" w:beforeAutospacing="0" w:after="0" w:afterAutospacing="0" w:line="360" w:lineRule="auto"/>
        <w:ind w:left="709"/>
        <w:jc w:val="both"/>
        <w:rPr>
          <w:sz w:val="32"/>
          <w:szCs w:val="32"/>
        </w:rPr>
      </w:pPr>
      <w:r w:rsidRPr="001004EE">
        <w:rPr>
          <w:sz w:val="32"/>
          <w:szCs w:val="32"/>
        </w:rPr>
        <w:t xml:space="preserve">The GI for products that is yet to establish a reputation and consumer credibility will dilute the whole purpose of having market dominance and may discredit it. </w:t>
      </w:r>
    </w:p>
    <w:p w:rsidR="001004EE" w:rsidRPr="001004EE" w:rsidRDefault="001004EE" w:rsidP="001004EE">
      <w:pPr>
        <w:pStyle w:val="NormalWeb"/>
        <w:numPr>
          <w:ilvl w:val="0"/>
          <w:numId w:val="46"/>
        </w:numPr>
        <w:spacing w:before="0" w:beforeAutospacing="0" w:after="0" w:afterAutospacing="0" w:line="360" w:lineRule="auto"/>
        <w:ind w:left="709"/>
        <w:jc w:val="both"/>
        <w:rPr>
          <w:sz w:val="32"/>
          <w:szCs w:val="32"/>
        </w:rPr>
      </w:pPr>
      <w:r w:rsidRPr="001004EE">
        <w:rPr>
          <w:sz w:val="32"/>
          <w:szCs w:val="32"/>
        </w:rPr>
        <w:t xml:space="preserve">However, there exist significant divergences among countries with regard to the modes and the purpose of protection of IGOs at the national level. </w:t>
      </w:r>
    </w:p>
    <w:p w:rsidR="003A5D44" w:rsidRPr="001004EE" w:rsidRDefault="001004EE" w:rsidP="00E53AA4">
      <w:pPr>
        <w:pStyle w:val="NormalWeb"/>
        <w:numPr>
          <w:ilvl w:val="0"/>
          <w:numId w:val="46"/>
        </w:numPr>
        <w:spacing w:before="0" w:beforeAutospacing="0" w:after="0" w:afterAutospacing="0" w:line="360" w:lineRule="auto"/>
        <w:ind w:left="709"/>
        <w:jc w:val="both"/>
        <w:rPr>
          <w:sz w:val="32"/>
          <w:szCs w:val="32"/>
        </w:rPr>
      </w:pPr>
      <w:r w:rsidRPr="001004EE">
        <w:rPr>
          <w:sz w:val="32"/>
          <w:szCs w:val="32"/>
        </w:rPr>
        <w:t>By adopting this provision, GIs are positioned at the same level as any other trade mark for the purposes of asserting rights in an application procedure.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D66F2" w:rsidRDefault="00B76EBB" w:rsidP="00AD66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66F2">
        <w:rPr>
          <w:rFonts w:ascii="Times New Roman" w:eastAsia="AdvGulliv-R" w:hAnsi="Times New Roman" w:cs="Times New Roman"/>
          <w:bCs/>
          <w:sz w:val="32"/>
          <w:szCs w:val="32"/>
          <w:lang w:val="en-IN"/>
        </w:rPr>
        <w:t>Geographical indications are increasingly viewed as helpful tools for achieving product differentiation, and can increase economic efficiency because such measures provide producers with incentives to delive</w:t>
      </w:r>
      <w:r w:rsidRPr="00AD66F2">
        <w:rPr>
          <w:rFonts w:ascii="Times New Roman" w:eastAsia="AdvGulliv-R" w:hAnsi="Times New Roman" w:cs="Times New Roman"/>
          <w:bCs/>
          <w:sz w:val="32"/>
          <w:szCs w:val="32"/>
          <w:lang w:val="en-IN"/>
        </w:rPr>
        <w:t>r appropriate supply to the market.</w:t>
      </w:r>
    </w:p>
    <w:p w:rsidR="00000000" w:rsidRPr="00AD66F2" w:rsidRDefault="00B76EBB" w:rsidP="00AD66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66F2">
        <w:rPr>
          <w:rFonts w:ascii="Times New Roman" w:eastAsia="AdvGulliv-R" w:hAnsi="Times New Roman" w:cs="Times New Roman"/>
          <w:bCs/>
          <w:sz w:val="32"/>
          <w:szCs w:val="32"/>
          <w:lang w:val="en-IN"/>
        </w:rPr>
        <w:t xml:space="preserve">A geographical indication is a sign used on goods that have a specific geographical origin and qualities or a reputation possess that are due to that place of origin. </w:t>
      </w:r>
    </w:p>
    <w:p w:rsidR="00000000" w:rsidRPr="00AD66F2" w:rsidRDefault="00B76EBB" w:rsidP="00AD66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66F2">
        <w:rPr>
          <w:rFonts w:ascii="Times New Roman" w:eastAsia="AdvGulliv-R" w:hAnsi="Times New Roman" w:cs="Times New Roman"/>
          <w:bCs/>
          <w:sz w:val="32"/>
          <w:szCs w:val="32"/>
          <w:lang w:val="en-IN"/>
        </w:rPr>
        <w:lastRenderedPageBreak/>
        <w:t>ISO and BIS are the commonly used quality assuranc</w:t>
      </w:r>
      <w:r w:rsidRPr="00AD66F2">
        <w:rPr>
          <w:rFonts w:ascii="Times New Roman" w:eastAsia="AdvGulliv-R" w:hAnsi="Times New Roman" w:cs="Times New Roman"/>
          <w:bCs/>
          <w:sz w:val="32"/>
          <w:szCs w:val="32"/>
          <w:lang w:val="en-IN"/>
        </w:rPr>
        <w:t>e marks on the product, despite the fact that assurance marking of this qualification purposefully to attain product differentiation.</w:t>
      </w:r>
      <w:r w:rsidRPr="00AD66F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728"/>
        <w:gridCol w:w="3656"/>
      </w:tblGrid>
      <w:tr w:rsidR="000C407B" w:rsidTr="00F8535F">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72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65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8535F">
        <w:trPr>
          <w:trHeight w:val="1942"/>
        </w:trPr>
        <w:tc>
          <w:tcPr>
            <w:tcW w:w="3192" w:type="dxa"/>
          </w:tcPr>
          <w:p w:rsidR="000C407B" w:rsidRPr="00BD6824" w:rsidRDefault="00BD6824" w:rsidP="00E53AA4">
            <w:pPr>
              <w:tabs>
                <w:tab w:val="left" w:pos="720"/>
              </w:tabs>
              <w:spacing w:after="100" w:line="360" w:lineRule="auto"/>
              <w:jc w:val="both"/>
              <w:rPr>
                <w:rFonts w:ascii="Times New Roman" w:hAnsi="Times New Roman" w:cs="Times New Roman"/>
                <w:sz w:val="26"/>
                <w:szCs w:val="26"/>
              </w:rPr>
            </w:pPr>
            <w:r w:rsidRPr="00BD6824">
              <w:rPr>
                <w:rFonts w:ascii="Times New Roman" w:hAnsi="Times New Roman" w:cs="Times New Roman"/>
                <w:sz w:val="26"/>
                <w:szCs w:val="26"/>
              </w:rPr>
              <w:t>Dedicated and generic marketing strategies: The disconnection between geographical indications and consumer behavior in Italy</w:t>
            </w:r>
          </w:p>
        </w:tc>
        <w:tc>
          <w:tcPr>
            <w:tcW w:w="2728" w:type="dxa"/>
          </w:tcPr>
          <w:p w:rsidR="000C407B" w:rsidRPr="00BD6824" w:rsidRDefault="00BD6824" w:rsidP="00BD6824">
            <w:pPr>
              <w:tabs>
                <w:tab w:val="left" w:pos="720"/>
              </w:tabs>
              <w:spacing w:after="100" w:line="360" w:lineRule="auto"/>
              <w:jc w:val="both"/>
              <w:rPr>
                <w:rFonts w:ascii="Times New Roman" w:hAnsi="Times New Roman" w:cs="Times New Roman"/>
                <w:sz w:val="26"/>
                <w:szCs w:val="26"/>
              </w:rPr>
            </w:pPr>
            <w:r w:rsidRPr="00BD6824">
              <w:rPr>
                <w:rFonts w:ascii="Times New Roman" w:hAnsi="Times New Roman" w:cs="Times New Roman"/>
                <w:sz w:val="26"/>
                <w:szCs w:val="26"/>
              </w:rPr>
              <w:t xml:space="preserve">Adinolfi, F., Rosa, M.D. &amp; Trabalzi, F., 2011. </w:t>
            </w:r>
          </w:p>
        </w:tc>
        <w:tc>
          <w:tcPr>
            <w:tcW w:w="3656" w:type="dxa"/>
          </w:tcPr>
          <w:p w:rsidR="000C407B" w:rsidRPr="00BD6824" w:rsidRDefault="00BD6824" w:rsidP="00E53AA4">
            <w:pPr>
              <w:tabs>
                <w:tab w:val="left" w:pos="720"/>
              </w:tabs>
              <w:spacing w:after="100" w:line="360" w:lineRule="auto"/>
              <w:jc w:val="both"/>
              <w:rPr>
                <w:rFonts w:ascii="Times New Roman" w:hAnsi="Times New Roman" w:cs="Times New Roman"/>
                <w:sz w:val="26"/>
                <w:szCs w:val="26"/>
              </w:rPr>
            </w:pPr>
            <w:r w:rsidRPr="00BD6824">
              <w:rPr>
                <w:rFonts w:ascii="Times New Roman" w:hAnsi="Times New Roman" w:cs="Times New Roman"/>
                <w:sz w:val="26"/>
                <w:szCs w:val="26"/>
                <w:shd w:val="clear" w:color="auto" w:fill="FFFFFF"/>
              </w:rPr>
              <w:t> A multivariate analysis has clustered consumers according to their behaviors in relation to wines with a designation of origin.</w:t>
            </w:r>
          </w:p>
        </w:tc>
      </w:tr>
      <w:tr w:rsidR="000C407B" w:rsidTr="00F8535F">
        <w:trPr>
          <w:trHeight w:val="2942"/>
        </w:trPr>
        <w:tc>
          <w:tcPr>
            <w:tcW w:w="3192" w:type="dxa"/>
          </w:tcPr>
          <w:p w:rsidR="000C407B" w:rsidRPr="00BD6824" w:rsidRDefault="00BD6824" w:rsidP="00E53AA4">
            <w:pPr>
              <w:tabs>
                <w:tab w:val="left" w:pos="720"/>
              </w:tabs>
              <w:spacing w:after="100" w:line="360" w:lineRule="auto"/>
              <w:jc w:val="both"/>
              <w:rPr>
                <w:rFonts w:ascii="Times New Roman" w:hAnsi="Times New Roman" w:cs="Times New Roman"/>
                <w:sz w:val="26"/>
                <w:szCs w:val="26"/>
              </w:rPr>
            </w:pPr>
            <w:r w:rsidRPr="00BD6824">
              <w:rPr>
                <w:rFonts w:ascii="Times New Roman" w:hAnsi="Times New Roman" w:cs="Times New Roman"/>
                <w:sz w:val="26"/>
                <w:szCs w:val="26"/>
              </w:rPr>
              <w:t>The Economics of Geographically Differentiated Agri Food Products Theoretical Considerations and Empirical Evidence Kumulative Dissertation</w:t>
            </w:r>
          </w:p>
        </w:tc>
        <w:tc>
          <w:tcPr>
            <w:tcW w:w="2728" w:type="dxa"/>
          </w:tcPr>
          <w:p w:rsidR="000C407B" w:rsidRPr="00BD6824" w:rsidRDefault="00BD6824" w:rsidP="00BD6824">
            <w:pPr>
              <w:tabs>
                <w:tab w:val="left" w:pos="720"/>
              </w:tabs>
              <w:spacing w:after="100" w:line="360" w:lineRule="auto"/>
              <w:jc w:val="both"/>
              <w:rPr>
                <w:rFonts w:ascii="Times New Roman" w:hAnsi="Times New Roman" w:cs="Times New Roman"/>
                <w:sz w:val="26"/>
                <w:szCs w:val="26"/>
              </w:rPr>
            </w:pPr>
            <w:r w:rsidRPr="00BD6824">
              <w:rPr>
                <w:rFonts w:ascii="Times New Roman" w:hAnsi="Times New Roman" w:cs="Times New Roman"/>
                <w:sz w:val="26"/>
                <w:szCs w:val="26"/>
              </w:rPr>
              <w:t xml:space="preserve">Agrarwissenschaften, F. &amp; Teuber, R., 2010. </w:t>
            </w:r>
          </w:p>
        </w:tc>
        <w:tc>
          <w:tcPr>
            <w:tcW w:w="3656" w:type="dxa"/>
          </w:tcPr>
          <w:p w:rsidR="000C407B" w:rsidRPr="00BD6824" w:rsidRDefault="00BD6824" w:rsidP="00E53AA4">
            <w:pPr>
              <w:tabs>
                <w:tab w:val="left" w:pos="720"/>
              </w:tabs>
              <w:spacing w:after="100" w:line="360" w:lineRule="auto"/>
              <w:jc w:val="both"/>
              <w:rPr>
                <w:rFonts w:ascii="Times New Roman" w:hAnsi="Times New Roman" w:cs="Times New Roman"/>
                <w:sz w:val="26"/>
                <w:szCs w:val="26"/>
              </w:rPr>
            </w:pPr>
            <w:r w:rsidRPr="00BD6824">
              <w:rPr>
                <w:rFonts w:ascii="Times New Roman" w:hAnsi="Times New Roman" w:cs="Times New Roman"/>
                <w:sz w:val="26"/>
                <w:szCs w:val="26"/>
              </w:rPr>
              <w:t>It  is  expected  that geographically differentiated agri-food products can, at least partly, contribute to the survival of  small-scale  farmers  by facilitating  the  production  of high-quality  products</w:t>
            </w:r>
          </w:p>
        </w:tc>
      </w:tr>
      <w:tr w:rsidR="000C407B" w:rsidTr="00F8535F">
        <w:tc>
          <w:tcPr>
            <w:tcW w:w="3192" w:type="dxa"/>
          </w:tcPr>
          <w:p w:rsidR="000C407B" w:rsidRPr="00BD6824" w:rsidRDefault="00BD6824" w:rsidP="00E53AA4">
            <w:pPr>
              <w:tabs>
                <w:tab w:val="left" w:pos="720"/>
              </w:tabs>
              <w:spacing w:after="100" w:line="360" w:lineRule="auto"/>
              <w:jc w:val="both"/>
              <w:rPr>
                <w:rFonts w:ascii="Times New Roman" w:hAnsi="Times New Roman" w:cs="Times New Roman"/>
                <w:sz w:val="26"/>
                <w:szCs w:val="26"/>
              </w:rPr>
            </w:pPr>
            <w:r w:rsidRPr="00BD6824">
              <w:rPr>
                <w:rFonts w:ascii="Times New Roman" w:hAnsi="Times New Roman" w:cs="Times New Roman"/>
                <w:sz w:val="26"/>
                <w:szCs w:val="26"/>
              </w:rPr>
              <w:t>Embedding Local Places in Global Spaces: Geographical Indications as a Territorial Development Strategy</w:t>
            </w:r>
          </w:p>
        </w:tc>
        <w:tc>
          <w:tcPr>
            <w:tcW w:w="2728" w:type="dxa"/>
          </w:tcPr>
          <w:p w:rsidR="000C407B" w:rsidRPr="00BD6824" w:rsidRDefault="00BD6824" w:rsidP="00BD6824">
            <w:pPr>
              <w:tabs>
                <w:tab w:val="left" w:pos="720"/>
              </w:tabs>
              <w:spacing w:after="100" w:line="360" w:lineRule="auto"/>
              <w:jc w:val="both"/>
              <w:rPr>
                <w:rFonts w:ascii="Times New Roman" w:hAnsi="Times New Roman" w:cs="Times New Roman"/>
                <w:sz w:val="26"/>
                <w:szCs w:val="26"/>
              </w:rPr>
            </w:pPr>
            <w:r w:rsidRPr="00BD6824">
              <w:rPr>
                <w:rFonts w:ascii="Times New Roman" w:hAnsi="Times New Roman" w:cs="Times New Roman"/>
                <w:sz w:val="26"/>
                <w:szCs w:val="26"/>
              </w:rPr>
              <w:t xml:space="preserve">Bowen, S., 2010. </w:t>
            </w:r>
          </w:p>
        </w:tc>
        <w:tc>
          <w:tcPr>
            <w:tcW w:w="3656" w:type="dxa"/>
          </w:tcPr>
          <w:p w:rsidR="000C407B" w:rsidRPr="00BD6824" w:rsidRDefault="00BD6824" w:rsidP="00E53AA4">
            <w:pPr>
              <w:tabs>
                <w:tab w:val="left" w:pos="720"/>
              </w:tabs>
              <w:spacing w:after="100" w:line="360" w:lineRule="auto"/>
              <w:jc w:val="both"/>
              <w:rPr>
                <w:rFonts w:ascii="Times New Roman" w:hAnsi="Times New Roman" w:cs="Times New Roman"/>
                <w:sz w:val="26"/>
                <w:szCs w:val="26"/>
              </w:rPr>
            </w:pPr>
            <w:r w:rsidRPr="00BD6824">
              <w:rPr>
                <w:rFonts w:ascii="Times New Roman" w:hAnsi="Times New Roman" w:cs="Times New Roman"/>
                <w:sz w:val="26"/>
                <w:szCs w:val="26"/>
                <w:shd w:val="clear" w:color="auto" w:fill="FFFFFF"/>
              </w:rPr>
              <w:t>GIs are unique, in that they provide a means of ensuring that control over production and sales of a product stays within a local area, but at the same time they make use of extralocal markets.</w:t>
            </w:r>
          </w:p>
        </w:tc>
      </w:tr>
      <w:tr w:rsidR="000C407B" w:rsidTr="00F8535F">
        <w:tc>
          <w:tcPr>
            <w:tcW w:w="3192" w:type="dxa"/>
          </w:tcPr>
          <w:p w:rsidR="000C407B" w:rsidRPr="00BD6824" w:rsidRDefault="00BD6824" w:rsidP="00E53AA4">
            <w:pPr>
              <w:tabs>
                <w:tab w:val="left" w:pos="720"/>
              </w:tabs>
              <w:spacing w:after="100" w:line="360" w:lineRule="auto"/>
              <w:jc w:val="both"/>
              <w:rPr>
                <w:rFonts w:ascii="Times New Roman" w:hAnsi="Times New Roman" w:cs="Times New Roman"/>
                <w:sz w:val="26"/>
                <w:szCs w:val="26"/>
              </w:rPr>
            </w:pPr>
            <w:r w:rsidRPr="00BD6824">
              <w:rPr>
                <w:rFonts w:ascii="Times New Roman" w:hAnsi="Times New Roman" w:cs="Times New Roman"/>
                <w:sz w:val="26"/>
                <w:szCs w:val="26"/>
              </w:rPr>
              <w:t xml:space="preserve">Harnessing the development potential of geographical indications for traditional </w:t>
            </w:r>
            <w:r w:rsidRPr="00BD6824">
              <w:rPr>
                <w:rFonts w:ascii="Times New Roman" w:hAnsi="Times New Roman" w:cs="Times New Roman"/>
                <w:sz w:val="26"/>
                <w:szCs w:val="26"/>
              </w:rPr>
              <w:lastRenderedPageBreak/>
              <w:t>knowledge-based agricultural products</w:t>
            </w:r>
          </w:p>
        </w:tc>
        <w:tc>
          <w:tcPr>
            <w:tcW w:w="2728" w:type="dxa"/>
          </w:tcPr>
          <w:p w:rsidR="000C407B" w:rsidRPr="00BD6824" w:rsidRDefault="00BD6824" w:rsidP="00BD6824">
            <w:pPr>
              <w:tabs>
                <w:tab w:val="left" w:pos="720"/>
              </w:tabs>
              <w:spacing w:after="100" w:line="360" w:lineRule="auto"/>
              <w:jc w:val="both"/>
              <w:rPr>
                <w:rFonts w:ascii="Times New Roman" w:hAnsi="Times New Roman" w:cs="Times New Roman"/>
                <w:sz w:val="26"/>
                <w:szCs w:val="26"/>
              </w:rPr>
            </w:pPr>
            <w:r w:rsidRPr="00BD6824">
              <w:rPr>
                <w:rFonts w:ascii="Times New Roman" w:hAnsi="Times New Roman" w:cs="Times New Roman"/>
                <w:sz w:val="26"/>
                <w:szCs w:val="26"/>
              </w:rPr>
              <w:lastRenderedPageBreak/>
              <w:t xml:space="preserve">Dagne, T.W., 2010. </w:t>
            </w:r>
          </w:p>
        </w:tc>
        <w:tc>
          <w:tcPr>
            <w:tcW w:w="3656" w:type="dxa"/>
          </w:tcPr>
          <w:p w:rsidR="000C407B" w:rsidRPr="00BD6824" w:rsidRDefault="00BD6824" w:rsidP="00E53AA4">
            <w:pPr>
              <w:tabs>
                <w:tab w:val="left" w:pos="720"/>
              </w:tabs>
              <w:spacing w:after="100" w:line="360" w:lineRule="auto"/>
              <w:jc w:val="both"/>
              <w:rPr>
                <w:rFonts w:ascii="Times New Roman" w:hAnsi="Times New Roman" w:cs="Times New Roman"/>
                <w:sz w:val="26"/>
                <w:szCs w:val="26"/>
              </w:rPr>
            </w:pPr>
            <w:r w:rsidRPr="00BD6824">
              <w:rPr>
                <w:rFonts w:ascii="Times New Roman" w:hAnsi="Times New Roman" w:cs="Times New Roman"/>
                <w:sz w:val="26"/>
                <w:szCs w:val="26"/>
                <w:shd w:val="clear" w:color="auto" w:fill="FFFFFF"/>
              </w:rPr>
              <w:t xml:space="preserve">The paper indicates that the utility of geographical indications with regard to </w:t>
            </w:r>
            <w:r w:rsidRPr="00BD6824">
              <w:rPr>
                <w:rFonts w:ascii="Times New Roman" w:hAnsi="Times New Roman" w:cs="Times New Roman"/>
                <w:sz w:val="26"/>
                <w:szCs w:val="26"/>
                <w:shd w:val="clear" w:color="auto" w:fill="FFFFFF"/>
              </w:rPr>
              <w:lastRenderedPageBreak/>
              <w:t>traditional knowledge should be seen in light of the contemporary understanding of the link between “development” and “culture,” not just economic viability.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F8535F" w:rsidRDefault="00F8535F" w:rsidP="00E53AA4">
      <w:pPr>
        <w:tabs>
          <w:tab w:val="left" w:pos="720"/>
        </w:tabs>
        <w:spacing w:after="100" w:line="360" w:lineRule="auto"/>
        <w:jc w:val="both"/>
        <w:rPr>
          <w:rFonts w:ascii="Times New Roman" w:hAnsi="Times New Roman" w:cs="Times New Roman"/>
          <w:b/>
          <w:bCs/>
          <w:sz w:val="28"/>
          <w:szCs w:val="28"/>
        </w:rPr>
      </w:pPr>
    </w:p>
    <w:p w:rsidR="00F8535F" w:rsidRDefault="00F8535F"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F8535F" w:rsidRPr="00F853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8535F" w:rsidP="00F8535F">
      <w:pPr>
        <w:spacing w:after="0" w:line="360" w:lineRule="auto"/>
        <w:jc w:val="center"/>
        <w:rPr>
          <w:rFonts w:ascii="Times New Roman" w:hAnsi="Times New Roman" w:cs="Times New Roman"/>
        </w:rPr>
      </w:pPr>
      <w:r w:rsidRPr="00F8535F">
        <w:rPr>
          <w:rFonts w:ascii="Times New Roman" w:hAnsi="Times New Roman" w:cs="Times New Roman"/>
        </w:rPr>
        <w:drawing>
          <wp:inline distT="0" distB="0" distL="0" distR="0">
            <wp:extent cx="5943600" cy="406273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0627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F8535F" w:rsidRDefault="00F8535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C9413E" w:rsidRPr="00C9413E" w:rsidRDefault="00C9413E" w:rsidP="00C9413E">
      <w:pPr>
        <w:pStyle w:val="BodyText"/>
        <w:rPr>
          <w:bCs/>
          <w:sz w:val="32"/>
          <w:szCs w:val="32"/>
          <w:lang w:val="en-IN"/>
        </w:rPr>
      </w:pPr>
      <w:r w:rsidRPr="00C9413E">
        <w:rPr>
          <w:bCs/>
          <w:sz w:val="32"/>
          <w:szCs w:val="32"/>
          <w:lang w:val="en-IN"/>
        </w:rPr>
        <w:t xml:space="preserve">    The present paper conceptualizes that there are some elements which GI have a vita implication in marketing product. Here it shows that there is a clear cut element which helps GI more attractive and survives in the consumers mind. The step by step implication of these value added marketing ways will fetch a good end result in GI present scenario. Marketing tool and value are entrusted with GIs nevertheless case studies from India shows only couple products attained this geographical benefits. In generic, Comparing with the trademark GI is a collective geographical right makes the major difference. Market value of a symbol highly depended with the derived quality and fetched positive attitude of consumer towards that symbol. In many case studies from Europe has contributed these conclusion. Case studies from India show that consumers are unaware of these types of label and what it secures in the product.Though it has came with the object of market protection and fixing the geography of the endorsed producers by user registration, practical evidences shows geography was not delimited with the law. Though the powerful elements in hands of GIs, realization of the above huddles overrules and the producer illiteracy makes GI marketing makes a myth. </w:t>
      </w:r>
    </w:p>
    <w:p w:rsidR="00801BAA" w:rsidRDefault="00801BAA"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3372CD" w:rsidRDefault="00B76EBB" w:rsidP="003372CD">
      <w:pPr>
        <w:pStyle w:val="BodyText"/>
        <w:numPr>
          <w:ilvl w:val="0"/>
          <w:numId w:val="42"/>
        </w:numPr>
        <w:rPr>
          <w:sz w:val="32"/>
          <w:szCs w:val="32"/>
          <w:lang w:val="en-IN"/>
        </w:rPr>
      </w:pPr>
      <w:r w:rsidRPr="003372CD">
        <w:rPr>
          <w:sz w:val="32"/>
          <w:szCs w:val="32"/>
          <w:lang w:val="en-IN"/>
        </w:rPr>
        <w:t>1. Adinolfi, F., Rosa, M.D. &amp; Trabalzi, F., 2011. Dedicate</w:t>
      </w:r>
      <w:r w:rsidRPr="003372CD">
        <w:rPr>
          <w:sz w:val="32"/>
          <w:szCs w:val="32"/>
          <w:lang w:val="en-IN"/>
        </w:rPr>
        <w:t xml:space="preserve">d and generic marketing strategies: The disconnection between geographical indications and consumer behavior in Italy. British Food Journal, 113(3), Pp. 419-435. </w:t>
      </w:r>
    </w:p>
    <w:p w:rsidR="00000000" w:rsidRPr="003372CD" w:rsidRDefault="00B76EBB" w:rsidP="003372CD">
      <w:pPr>
        <w:pStyle w:val="BodyText"/>
        <w:numPr>
          <w:ilvl w:val="0"/>
          <w:numId w:val="42"/>
        </w:numPr>
        <w:rPr>
          <w:sz w:val="32"/>
          <w:szCs w:val="32"/>
          <w:lang w:val="en-IN"/>
        </w:rPr>
      </w:pPr>
      <w:r w:rsidRPr="003372CD">
        <w:rPr>
          <w:sz w:val="32"/>
          <w:szCs w:val="32"/>
          <w:lang w:val="en-IN"/>
        </w:rPr>
        <w:t>2. Agrarwissenschaften, F. &amp; Teuber, R., 2010. The Economics of Geographically Differentiate</w:t>
      </w:r>
      <w:r w:rsidRPr="003372CD">
        <w:rPr>
          <w:sz w:val="32"/>
          <w:szCs w:val="32"/>
          <w:lang w:val="en-IN"/>
        </w:rPr>
        <w:t xml:space="preserve">d AgriFood Products Theoretical Considerations and Empirical Evidence Kumulative Dissertation. Agribusiness. </w:t>
      </w:r>
    </w:p>
    <w:p w:rsidR="00000000" w:rsidRPr="003372CD" w:rsidRDefault="00B76EBB" w:rsidP="003372CD">
      <w:pPr>
        <w:pStyle w:val="BodyText"/>
        <w:numPr>
          <w:ilvl w:val="0"/>
          <w:numId w:val="42"/>
        </w:numPr>
        <w:rPr>
          <w:sz w:val="32"/>
          <w:szCs w:val="32"/>
          <w:lang w:val="en-IN"/>
        </w:rPr>
      </w:pPr>
      <w:r w:rsidRPr="003372CD">
        <w:rPr>
          <w:sz w:val="32"/>
          <w:szCs w:val="32"/>
          <w:lang w:val="en-IN"/>
        </w:rPr>
        <w:t>3. Bowen, S. &amp; De Master, K., 2011. New rural livelihoods or museums of production? Quality food initiatives in practice. Journal of Rural Studie</w:t>
      </w:r>
      <w:r w:rsidRPr="003372CD">
        <w:rPr>
          <w:sz w:val="32"/>
          <w:szCs w:val="32"/>
          <w:lang w:val="en-IN"/>
        </w:rPr>
        <w:t xml:space="preserve">s, 27(1), Pp. 73-82. </w:t>
      </w:r>
    </w:p>
    <w:p w:rsidR="00000000" w:rsidRPr="003372CD" w:rsidRDefault="00B76EBB" w:rsidP="003372CD">
      <w:pPr>
        <w:pStyle w:val="BodyText"/>
        <w:numPr>
          <w:ilvl w:val="0"/>
          <w:numId w:val="42"/>
        </w:numPr>
        <w:rPr>
          <w:sz w:val="32"/>
          <w:szCs w:val="32"/>
          <w:lang w:val="en-IN"/>
        </w:rPr>
      </w:pPr>
      <w:r w:rsidRPr="003372CD">
        <w:rPr>
          <w:sz w:val="32"/>
          <w:szCs w:val="32"/>
          <w:lang w:val="en-IN"/>
        </w:rPr>
        <w:t xml:space="preserve">4. Bowen, S., 2010. Embedding Local Places in Global Spaces: Geographical Indications as a Territorial Development Strategy. Rural Sociology, 75(2), Pp. 209-243. </w:t>
      </w:r>
    </w:p>
    <w:p w:rsidR="00000000" w:rsidRPr="003372CD" w:rsidRDefault="00B76EBB" w:rsidP="003372CD">
      <w:pPr>
        <w:pStyle w:val="BodyText"/>
        <w:numPr>
          <w:ilvl w:val="0"/>
          <w:numId w:val="42"/>
        </w:numPr>
        <w:rPr>
          <w:sz w:val="32"/>
          <w:szCs w:val="32"/>
          <w:lang w:val="en-IN"/>
        </w:rPr>
      </w:pPr>
      <w:r w:rsidRPr="003372CD">
        <w:rPr>
          <w:sz w:val="32"/>
          <w:szCs w:val="32"/>
          <w:lang w:val="en-IN"/>
        </w:rPr>
        <w:t>5. Dagne, T.W., 2010. Harnessing the development potential of geograp</w:t>
      </w:r>
      <w:r w:rsidRPr="003372CD">
        <w:rPr>
          <w:sz w:val="32"/>
          <w:szCs w:val="32"/>
          <w:lang w:val="en-IN"/>
        </w:rPr>
        <w:t>hical indications for traditional knowledge-based agricultural products. Journal of Intellectual Property Law &amp; Practice, 5(6), Pp. 441- 458.</w:t>
      </w:r>
      <w:r w:rsidRPr="003372CD">
        <w:rPr>
          <w:sz w:val="32"/>
          <w:szCs w:val="32"/>
        </w:rPr>
        <w:t xml:space="preserve"> </w:t>
      </w:r>
    </w:p>
    <w:p w:rsidR="00000000" w:rsidRPr="003372CD" w:rsidRDefault="00B76EBB" w:rsidP="003372CD">
      <w:pPr>
        <w:pStyle w:val="BodyText"/>
        <w:numPr>
          <w:ilvl w:val="0"/>
          <w:numId w:val="42"/>
        </w:numPr>
        <w:rPr>
          <w:sz w:val="32"/>
          <w:szCs w:val="32"/>
          <w:lang w:val="en-IN"/>
        </w:rPr>
      </w:pPr>
      <w:r w:rsidRPr="003372CD">
        <w:rPr>
          <w:sz w:val="32"/>
          <w:szCs w:val="32"/>
          <w:lang w:val="en-IN"/>
        </w:rPr>
        <w:t>6. Dagne, T.W., 2010. Harnessing the development potential of geographical indications for traditional knowledge</w:t>
      </w:r>
      <w:r w:rsidRPr="003372CD">
        <w:rPr>
          <w:sz w:val="32"/>
          <w:szCs w:val="32"/>
          <w:lang w:val="en-IN"/>
        </w:rPr>
        <w:t xml:space="preserve">-based agricultural products. Intellectual Property, 5(6), Pp. 441-458. </w:t>
      </w:r>
    </w:p>
    <w:p w:rsidR="00000000" w:rsidRPr="003372CD" w:rsidRDefault="00B76EBB" w:rsidP="003372CD">
      <w:pPr>
        <w:pStyle w:val="BodyText"/>
        <w:numPr>
          <w:ilvl w:val="0"/>
          <w:numId w:val="42"/>
        </w:numPr>
        <w:rPr>
          <w:sz w:val="32"/>
          <w:szCs w:val="32"/>
          <w:lang w:val="en-IN"/>
        </w:rPr>
      </w:pPr>
      <w:r w:rsidRPr="003372CD">
        <w:rPr>
          <w:sz w:val="32"/>
          <w:szCs w:val="32"/>
          <w:lang w:val="en-IN"/>
        </w:rPr>
        <w:lastRenderedPageBreak/>
        <w:t xml:space="preserve">7. Das, K., 2010. Prospects and Challenges of Geographical Indications in India. The Journal of World Intellectual Property, 13(2), Pp. 148-201. </w:t>
      </w:r>
    </w:p>
    <w:p w:rsidR="00000000" w:rsidRPr="003372CD" w:rsidRDefault="00B76EBB" w:rsidP="003372CD">
      <w:pPr>
        <w:pStyle w:val="BodyText"/>
        <w:numPr>
          <w:ilvl w:val="0"/>
          <w:numId w:val="42"/>
        </w:numPr>
        <w:rPr>
          <w:sz w:val="32"/>
          <w:szCs w:val="32"/>
          <w:lang w:val="en-IN"/>
        </w:rPr>
      </w:pPr>
      <w:r w:rsidRPr="003372CD">
        <w:rPr>
          <w:sz w:val="32"/>
          <w:szCs w:val="32"/>
          <w:lang w:val="en-IN"/>
        </w:rPr>
        <w:t xml:space="preserve">8. Hassan, D., Monier-Dilhan, S. &amp; </w:t>
      </w:r>
      <w:r w:rsidRPr="003372CD">
        <w:rPr>
          <w:sz w:val="32"/>
          <w:szCs w:val="32"/>
          <w:lang w:val="en-IN"/>
        </w:rPr>
        <w:t xml:space="preserve">Orozco, V., 2011. Measuring Consumers’ Attachment to Geographical Indications. Journal of Agricultural &amp; Food Industrial Organization, 9(1). </w:t>
      </w:r>
    </w:p>
    <w:p w:rsidR="00000000" w:rsidRPr="003372CD" w:rsidRDefault="00B76EBB" w:rsidP="003372CD">
      <w:pPr>
        <w:pStyle w:val="BodyText"/>
        <w:numPr>
          <w:ilvl w:val="0"/>
          <w:numId w:val="42"/>
        </w:numPr>
        <w:rPr>
          <w:sz w:val="32"/>
          <w:szCs w:val="32"/>
          <w:lang w:val="en-IN"/>
        </w:rPr>
      </w:pPr>
      <w:r w:rsidRPr="003372CD">
        <w:rPr>
          <w:sz w:val="32"/>
          <w:szCs w:val="32"/>
          <w:lang w:val="en-IN"/>
        </w:rPr>
        <w:t xml:space="preserve">9. http://ipindia.nic.in/ipr/gi/geo_ind.htm </w:t>
      </w:r>
    </w:p>
    <w:p w:rsidR="00000000" w:rsidRPr="003372CD" w:rsidRDefault="00B76EBB" w:rsidP="003372CD">
      <w:pPr>
        <w:pStyle w:val="BodyText"/>
        <w:numPr>
          <w:ilvl w:val="0"/>
          <w:numId w:val="42"/>
        </w:numPr>
        <w:rPr>
          <w:sz w:val="32"/>
          <w:szCs w:val="32"/>
          <w:lang w:val="en-IN"/>
        </w:rPr>
      </w:pPr>
      <w:r w:rsidRPr="003372CD">
        <w:rPr>
          <w:sz w:val="32"/>
          <w:szCs w:val="32"/>
          <w:lang w:val="en-IN"/>
        </w:rPr>
        <w:t>10.http://www.keralaindustry.org/e_magazine/geographical_indication</w:t>
      </w:r>
      <w:r w:rsidRPr="003372CD">
        <w:rPr>
          <w:sz w:val="32"/>
          <w:szCs w:val="32"/>
          <w:lang w:val="en-IN"/>
        </w:rPr>
        <w:t xml:space="preserve">s_registr.htm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6EBB" w:rsidRDefault="00B76EBB" w:rsidP="003654DF">
      <w:pPr>
        <w:spacing w:after="0" w:line="240" w:lineRule="auto"/>
      </w:pPr>
      <w:r>
        <w:separator/>
      </w:r>
    </w:p>
  </w:endnote>
  <w:endnote w:type="continuationSeparator" w:id="1">
    <w:p w:rsidR="00B76EBB" w:rsidRDefault="00B76EB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6EBB" w:rsidRDefault="00B76EBB" w:rsidP="003654DF">
      <w:pPr>
        <w:spacing w:after="0" w:line="240" w:lineRule="auto"/>
      </w:pPr>
      <w:r>
        <w:separator/>
      </w:r>
    </w:p>
  </w:footnote>
  <w:footnote w:type="continuationSeparator" w:id="1">
    <w:p w:rsidR="00B76EBB" w:rsidRDefault="00B76EB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B29D5">
        <w:pPr>
          <w:pStyle w:val="Header"/>
          <w:jc w:val="right"/>
        </w:pPr>
        <w:fldSimple w:instr=" PAGE   \* MERGEFORMAT ">
          <w:r w:rsidR="00F8535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3E70450"/>
    <w:multiLevelType w:val="hybridMultilevel"/>
    <w:tmpl w:val="44E43B4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A918EA"/>
    <w:multiLevelType w:val="hybridMultilevel"/>
    <w:tmpl w:val="E70A2850"/>
    <w:lvl w:ilvl="0" w:tplc="F0BE3DE0">
      <w:start w:val="1"/>
      <w:numFmt w:val="bullet"/>
      <w:lvlText w:val=""/>
      <w:lvlJc w:val="left"/>
      <w:pPr>
        <w:tabs>
          <w:tab w:val="num" w:pos="720"/>
        </w:tabs>
        <w:ind w:left="720" w:hanging="360"/>
      </w:pPr>
      <w:rPr>
        <w:rFonts w:ascii="Wingdings 2" w:hAnsi="Wingdings 2" w:hint="default"/>
      </w:rPr>
    </w:lvl>
    <w:lvl w:ilvl="1" w:tplc="321A9D06" w:tentative="1">
      <w:start w:val="1"/>
      <w:numFmt w:val="bullet"/>
      <w:lvlText w:val=""/>
      <w:lvlJc w:val="left"/>
      <w:pPr>
        <w:tabs>
          <w:tab w:val="num" w:pos="1440"/>
        </w:tabs>
        <w:ind w:left="1440" w:hanging="360"/>
      </w:pPr>
      <w:rPr>
        <w:rFonts w:ascii="Wingdings 2" w:hAnsi="Wingdings 2" w:hint="default"/>
      </w:rPr>
    </w:lvl>
    <w:lvl w:ilvl="2" w:tplc="87CE70A2" w:tentative="1">
      <w:start w:val="1"/>
      <w:numFmt w:val="bullet"/>
      <w:lvlText w:val=""/>
      <w:lvlJc w:val="left"/>
      <w:pPr>
        <w:tabs>
          <w:tab w:val="num" w:pos="2160"/>
        </w:tabs>
        <w:ind w:left="2160" w:hanging="360"/>
      </w:pPr>
      <w:rPr>
        <w:rFonts w:ascii="Wingdings 2" w:hAnsi="Wingdings 2" w:hint="default"/>
      </w:rPr>
    </w:lvl>
    <w:lvl w:ilvl="3" w:tplc="7B3E9CA2" w:tentative="1">
      <w:start w:val="1"/>
      <w:numFmt w:val="bullet"/>
      <w:lvlText w:val=""/>
      <w:lvlJc w:val="left"/>
      <w:pPr>
        <w:tabs>
          <w:tab w:val="num" w:pos="2880"/>
        </w:tabs>
        <w:ind w:left="2880" w:hanging="360"/>
      </w:pPr>
      <w:rPr>
        <w:rFonts w:ascii="Wingdings 2" w:hAnsi="Wingdings 2" w:hint="default"/>
      </w:rPr>
    </w:lvl>
    <w:lvl w:ilvl="4" w:tplc="9912E944" w:tentative="1">
      <w:start w:val="1"/>
      <w:numFmt w:val="bullet"/>
      <w:lvlText w:val=""/>
      <w:lvlJc w:val="left"/>
      <w:pPr>
        <w:tabs>
          <w:tab w:val="num" w:pos="3600"/>
        </w:tabs>
        <w:ind w:left="3600" w:hanging="360"/>
      </w:pPr>
      <w:rPr>
        <w:rFonts w:ascii="Wingdings 2" w:hAnsi="Wingdings 2" w:hint="default"/>
      </w:rPr>
    </w:lvl>
    <w:lvl w:ilvl="5" w:tplc="8CE837FA" w:tentative="1">
      <w:start w:val="1"/>
      <w:numFmt w:val="bullet"/>
      <w:lvlText w:val=""/>
      <w:lvlJc w:val="left"/>
      <w:pPr>
        <w:tabs>
          <w:tab w:val="num" w:pos="4320"/>
        </w:tabs>
        <w:ind w:left="4320" w:hanging="360"/>
      </w:pPr>
      <w:rPr>
        <w:rFonts w:ascii="Wingdings 2" w:hAnsi="Wingdings 2" w:hint="default"/>
      </w:rPr>
    </w:lvl>
    <w:lvl w:ilvl="6" w:tplc="C2641698" w:tentative="1">
      <w:start w:val="1"/>
      <w:numFmt w:val="bullet"/>
      <w:lvlText w:val=""/>
      <w:lvlJc w:val="left"/>
      <w:pPr>
        <w:tabs>
          <w:tab w:val="num" w:pos="5040"/>
        </w:tabs>
        <w:ind w:left="5040" w:hanging="360"/>
      </w:pPr>
      <w:rPr>
        <w:rFonts w:ascii="Wingdings 2" w:hAnsi="Wingdings 2" w:hint="default"/>
      </w:rPr>
    </w:lvl>
    <w:lvl w:ilvl="7" w:tplc="2F4AB7B2" w:tentative="1">
      <w:start w:val="1"/>
      <w:numFmt w:val="bullet"/>
      <w:lvlText w:val=""/>
      <w:lvlJc w:val="left"/>
      <w:pPr>
        <w:tabs>
          <w:tab w:val="num" w:pos="5760"/>
        </w:tabs>
        <w:ind w:left="5760" w:hanging="360"/>
      </w:pPr>
      <w:rPr>
        <w:rFonts w:ascii="Wingdings 2" w:hAnsi="Wingdings 2" w:hint="default"/>
      </w:rPr>
    </w:lvl>
    <w:lvl w:ilvl="8" w:tplc="B95A2568" w:tentative="1">
      <w:start w:val="1"/>
      <w:numFmt w:val="bullet"/>
      <w:lvlText w:val=""/>
      <w:lvlJc w:val="left"/>
      <w:pPr>
        <w:tabs>
          <w:tab w:val="num" w:pos="6480"/>
        </w:tabs>
        <w:ind w:left="6480" w:hanging="360"/>
      </w:pPr>
      <w:rPr>
        <w:rFonts w:ascii="Wingdings 2" w:hAnsi="Wingdings 2"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C54E0A"/>
    <w:multiLevelType w:val="hybridMultilevel"/>
    <w:tmpl w:val="306631C0"/>
    <w:lvl w:ilvl="0" w:tplc="EB12C126">
      <w:start w:val="1"/>
      <w:numFmt w:val="bullet"/>
      <w:lvlText w:val=""/>
      <w:lvlJc w:val="left"/>
      <w:pPr>
        <w:tabs>
          <w:tab w:val="num" w:pos="720"/>
        </w:tabs>
        <w:ind w:left="720" w:hanging="360"/>
      </w:pPr>
      <w:rPr>
        <w:rFonts w:ascii="Wingdings 2" w:hAnsi="Wingdings 2" w:hint="default"/>
      </w:rPr>
    </w:lvl>
    <w:lvl w:ilvl="1" w:tplc="66541EFA" w:tentative="1">
      <w:start w:val="1"/>
      <w:numFmt w:val="bullet"/>
      <w:lvlText w:val=""/>
      <w:lvlJc w:val="left"/>
      <w:pPr>
        <w:tabs>
          <w:tab w:val="num" w:pos="1440"/>
        </w:tabs>
        <w:ind w:left="1440" w:hanging="360"/>
      </w:pPr>
      <w:rPr>
        <w:rFonts w:ascii="Wingdings 2" w:hAnsi="Wingdings 2" w:hint="default"/>
      </w:rPr>
    </w:lvl>
    <w:lvl w:ilvl="2" w:tplc="D8FE1AA0" w:tentative="1">
      <w:start w:val="1"/>
      <w:numFmt w:val="bullet"/>
      <w:lvlText w:val=""/>
      <w:lvlJc w:val="left"/>
      <w:pPr>
        <w:tabs>
          <w:tab w:val="num" w:pos="2160"/>
        </w:tabs>
        <w:ind w:left="2160" w:hanging="360"/>
      </w:pPr>
      <w:rPr>
        <w:rFonts w:ascii="Wingdings 2" w:hAnsi="Wingdings 2" w:hint="default"/>
      </w:rPr>
    </w:lvl>
    <w:lvl w:ilvl="3" w:tplc="E25432CE" w:tentative="1">
      <w:start w:val="1"/>
      <w:numFmt w:val="bullet"/>
      <w:lvlText w:val=""/>
      <w:lvlJc w:val="left"/>
      <w:pPr>
        <w:tabs>
          <w:tab w:val="num" w:pos="2880"/>
        </w:tabs>
        <w:ind w:left="2880" w:hanging="360"/>
      </w:pPr>
      <w:rPr>
        <w:rFonts w:ascii="Wingdings 2" w:hAnsi="Wingdings 2" w:hint="default"/>
      </w:rPr>
    </w:lvl>
    <w:lvl w:ilvl="4" w:tplc="6D886CA4" w:tentative="1">
      <w:start w:val="1"/>
      <w:numFmt w:val="bullet"/>
      <w:lvlText w:val=""/>
      <w:lvlJc w:val="left"/>
      <w:pPr>
        <w:tabs>
          <w:tab w:val="num" w:pos="3600"/>
        </w:tabs>
        <w:ind w:left="3600" w:hanging="360"/>
      </w:pPr>
      <w:rPr>
        <w:rFonts w:ascii="Wingdings 2" w:hAnsi="Wingdings 2" w:hint="default"/>
      </w:rPr>
    </w:lvl>
    <w:lvl w:ilvl="5" w:tplc="72EC3AC8" w:tentative="1">
      <w:start w:val="1"/>
      <w:numFmt w:val="bullet"/>
      <w:lvlText w:val=""/>
      <w:lvlJc w:val="left"/>
      <w:pPr>
        <w:tabs>
          <w:tab w:val="num" w:pos="4320"/>
        </w:tabs>
        <w:ind w:left="4320" w:hanging="360"/>
      </w:pPr>
      <w:rPr>
        <w:rFonts w:ascii="Wingdings 2" w:hAnsi="Wingdings 2" w:hint="default"/>
      </w:rPr>
    </w:lvl>
    <w:lvl w:ilvl="6" w:tplc="5F64F382" w:tentative="1">
      <w:start w:val="1"/>
      <w:numFmt w:val="bullet"/>
      <w:lvlText w:val=""/>
      <w:lvlJc w:val="left"/>
      <w:pPr>
        <w:tabs>
          <w:tab w:val="num" w:pos="5040"/>
        </w:tabs>
        <w:ind w:left="5040" w:hanging="360"/>
      </w:pPr>
      <w:rPr>
        <w:rFonts w:ascii="Wingdings 2" w:hAnsi="Wingdings 2" w:hint="default"/>
      </w:rPr>
    </w:lvl>
    <w:lvl w:ilvl="7" w:tplc="4BD827FA" w:tentative="1">
      <w:start w:val="1"/>
      <w:numFmt w:val="bullet"/>
      <w:lvlText w:val=""/>
      <w:lvlJc w:val="left"/>
      <w:pPr>
        <w:tabs>
          <w:tab w:val="num" w:pos="5760"/>
        </w:tabs>
        <w:ind w:left="5760" w:hanging="360"/>
      </w:pPr>
      <w:rPr>
        <w:rFonts w:ascii="Wingdings 2" w:hAnsi="Wingdings 2" w:hint="default"/>
      </w:rPr>
    </w:lvl>
    <w:lvl w:ilvl="8" w:tplc="2A58E9AE"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277FF4"/>
    <w:multiLevelType w:val="hybridMultilevel"/>
    <w:tmpl w:val="04F0CB46"/>
    <w:lvl w:ilvl="0" w:tplc="E3B66B80">
      <w:start w:val="1"/>
      <w:numFmt w:val="bullet"/>
      <w:lvlText w:val=""/>
      <w:lvlJc w:val="left"/>
      <w:pPr>
        <w:tabs>
          <w:tab w:val="num" w:pos="720"/>
        </w:tabs>
        <w:ind w:left="720" w:hanging="360"/>
      </w:pPr>
      <w:rPr>
        <w:rFonts w:ascii="Wingdings 2" w:hAnsi="Wingdings 2" w:hint="default"/>
      </w:rPr>
    </w:lvl>
    <w:lvl w:ilvl="1" w:tplc="9A1ED662" w:tentative="1">
      <w:start w:val="1"/>
      <w:numFmt w:val="bullet"/>
      <w:lvlText w:val=""/>
      <w:lvlJc w:val="left"/>
      <w:pPr>
        <w:tabs>
          <w:tab w:val="num" w:pos="1440"/>
        </w:tabs>
        <w:ind w:left="1440" w:hanging="360"/>
      </w:pPr>
      <w:rPr>
        <w:rFonts w:ascii="Wingdings 2" w:hAnsi="Wingdings 2" w:hint="default"/>
      </w:rPr>
    </w:lvl>
    <w:lvl w:ilvl="2" w:tplc="0D2C96B4" w:tentative="1">
      <w:start w:val="1"/>
      <w:numFmt w:val="bullet"/>
      <w:lvlText w:val=""/>
      <w:lvlJc w:val="left"/>
      <w:pPr>
        <w:tabs>
          <w:tab w:val="num" w:pos="2160"/>
        </w:tabs>
        <w:ind w:left="2160" w:hanging="360"/>
      </w:pPr>
      <w:rPr>
        <w:rFonts w:ascii="Wingdings 2" w:hAnsi="Wingdings 2" w:hint="default"/>
      </w:rPr>
    </w:lvl>
    <w:lvl w:ilvl="3" w:tplc="26526B0C" w:tentative="1">
      <w:start w:val="1"/>
      <w:numFmt w:val="bullet"/>
      <w:lvlText w:val=""/>
      <w:lvlJc w:val="left"/>
      <w:pPr>
        <w:tabs>
          <w:tab w:val="num" w:pos="2880"/>
        </w:tabs>
        <w:ind w:left="2880" w:hanging="360"/>
      </w:pPr>
      <w:rPr>
        <w:rFonts w:ascii="Wingdings 2" w:hAnsi="Wingdings 2" w:hint="default"/>
      </w:rPr>
    </w:lvl>
    <w:lvl w:ilvl="4" w:tplc="34F4E9A6" w:tentative="1">
      <w:start w:val="1"/>
      <w:numFmt w:val="bullet"/>
      <w:lvlText w:val=""/>
      <w:lvlJc w:val="left"/>
      <w:pPr>
        <w:tabs>
          <w:tab w:val="num" w:pos="3600"/>
        </w:tabs>
        <w:ind w:left="3600" w:hanging="360"/>
      </w:pPr>
      <w:rPr>
        <w:rFonts w:ascii="Wingdings 2" w:hAnsi="Wingdings 2" w:hint="default"/>
      </w:rPr>
    </w:lvl>
    <w:lvl w:ilvl="5" w:tplc="36FA6736" w:tentative="1">
      <w:start w:val="1"/>
      <w:numFmt w:val="bullet"/>
      <w:lvlText w:val=""/>
      <w:lvlJc w:val="left"/>
      <w:pPr>
        <w:tabs>
          <w:tab w:val="num" w:pos="4320"/>
        </w:tabs>
        <w:ind w:left="4320" w:hanging="360"/>
      </w:pPr>
      <w:rPr>
        <w:rFonts w:ascii="Wingdings 2" w:hAnsi="Wingdings 2" w:hint="default"/>
      </w:rPr>
    </w:lvl>
    <w:lvl w:ilvl="6" w:tplc="F4D2C038" w:tentative="1">
      <w:start w:val="1"/>
      <w:numFmt w:val="bullet"/>
      <w:lvlText w:val=""/>
      <w:lvlJc w:val="left"/>
      <w:pPr>
        <w:tabs>
          <w:tab w:val="num" w:pos="5040"/>
        </w:tabs>
        <w:ind w:left="5040" w:hanging="360"/>
      </w:pPr>
      <w:rPr>
        <w:rFonts w:ascii="Wingdings 2" w:hAnsi="Wingdings 2" w:hint="default"/>
      </w:rPr>
    </w:lvl>
    <w:lvl w:ilvl="7" w:tplc="DBB8C454" w:tentative="1">
      <w:start w:val="1"/>
      <w:numFmt w:val="bullet"/>
      <w:lvlText w:val=""/>
      <w:lvlJc w:val="left"/>
      <w:pPr>
        <w:tabs>
          <w:tab w:val="num" w:pos="5760"/>
        </w:tabs>
        <w:ind w:left="5760" w:hanging="360"/>
      </w:pPr>
      <w:rPr>
        <w:rFonts w:ascii="Wingdings 2" w:hAnsi="Wingdings 2" w:hint="default"/>
      </w:rPr>
    </w:lvl>
    <w:lvl w:ilvl="8" w:tplc="6A7E0336"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842E3E"/>
    <w:multiLevelType w:val="hybridMultilevel"/>
    <w:tmpl w:val="7A82351A"/>
    <w:lvl w:ilvl="0" w:tplc="6CC65BE8">
      <w:start w:val="1"/>
      <w:numFmt w:val="bullet"/>
      <w:lvlText w:val=""/>
      <w:lvlJc w:val="left"/>
      <w:pPr>
        <w:tabs>
          <w:tab w:val="num" w:pos="720"/>
        </w:tabs>
        <w:ind w:left="720" w:hanging="360"/>
      </w:pPr>
      <w:rPr>
        <w:rFonts w:ascii="Wingdings 2" w:hAnsi="Wingdings 2" w:hint="default"/>
      </w:rPr>
    </w:lvl>
    <w:lvl w:ilvl="1" w:tplc="6F4E8AEA" w:tentative="1">
      <w:start w:val="1"/>
      <w:numFmt w:val="bullet"/>
      <w:lvlText w:val=""/>
      <w:lvlJc w:val="left"/>
      <w:pPr>
        <w:tabs>
          <w:tab w:val="num" w:pos="1440"/>
        </w:tabs>
        <w:ind w:left="1440" w:hanging="360"/>
      </w:pPr>
      <w:rPr>
        <w:rFonts w:ascii="Wingdings 2" w:hAnsi="Wingdings 2" w:hint="default"/>
      </w:rPr>
    </w:lvl>
    <w:lvl w:ilvl="2" w:tplc="C4C8D764" w:tentative="1">
      <w:start w:val="1"/>
      <w:numFmt w:val="bullet"/>
      <w:lvlText w:val=""/>
      <w:lvlJc w:val="left"/>
      <w:pPr>
        <w:tabs>
          <w:tab w:val="num" w:pos="2160"/>
        </w:tabs>
        <w:ind w:left="2160" w:hanging="360"/>
      </w:pPr>
      <w:rPr>
        <w:rFonts w:ascii="Wingdings 2" w:hAnsi="Wingdings 2" w:hint="default"/>
      </w:rPr>
    </w:lvl>
    <w:lvl w:ilvl="3" w:tplc="CCC67044" w:tentative="1">
      <w:start w:val="1"/>
      <w:numFmt w:val="bullet"/>
      <w:lvlText w:val=""/>
      <w:lvlJc w:val="left"/>
      <w:pPr>
        <w:tabs>
          <w:tab w:val="num" w:pos="2880"/>
        </w:tabs>
        <w:ind w:left="2880" w:hanging="360"/>
      </w:pPr>
      <w:rPr>
        <w:rFonts w:ascii="Wingdings 2" w:hAnsi="Wingdings 2" w:hint="default"/>
      </w:rPr>
    </w:lvl>
    <w:lvl w:ilvl="4" w:tplc="4282EE8A" w:tentative="1">
      <w:start w:val="1"/>
      <w:numFmt w:val="bullet"/>
      <w:lvlText w:val=""/>
      <w:lvlJc w:val="left"/>
      <w:pPr>
        <w:tabs>
          <w:tab w:val="num" w:pos="3600"/>
        </w:tabs>
        <w:ind w:left="3600" w:hanging="360"/>
      </w:pPr>
      <w:rPr>
        <w:rFonts w:ascii="Wingdings 2" w:hAnsi="Wingdings 2" w:hint="default"/>
      </w:rPr>
    </w:lvl>
    <w:lvl w:ilvl="5" w:tplc="BABE9D7E" w:tentative="1">
      <w:start w:val="1"/>
      <w:numFmt w:val="bullet"/>
      <w:lvlText w:val=""/>
      <w:lvlJc w:val="left"/>
      <w:pPr>
        <w:tabs>
          <w:tab w:val="num" w:pos="4320"/>
        </w:tabs>
        <w:ind w:left="4320" w:hanging="360"/>
      </w:pPr>
      <w:rPr>
        <w:rFonts w:ascii="Wingdings 2" w:hAnsi="Wingdings 2" w:hint="default"/>
      </w:rPr>
    </w:lvl>
    <w:lvl w:ilvl="6" w:tplc="8F60C07A" w:tentative="1">
      <w:start w:val="1"/>
      <w:numFmt w:val="bullet"/>
      <w:lvlText w:val=""/>
      <w:lvlJc w:val="left"/>
      <w:pPr>
        <w:tabs>
          <w:tab w:val="num" w:pos="5040"/>
        </w:tabs>
        <w:ind w:left="5040" w:hanging="360"/>
      </w:pPr>
      <w:rPr>
        <w:rFonts w:ascii="Wingdings 2" w:hAnsi="Wingdings 2" w:hint="default"/>
      </w:rPr>
    </w:lvl>
    <w:lvl w:ilvl="7" w:tplc="B78E4184" w:tentative="1">
      <w:start w:val="1"/>
      <w:numFmt w:val="bullet"/>
      <w:lvlText w:val=""/>
      <w:lvlJc w:val="left"/>
      <w:pPr>
        <w:tabs>
          <w:tab w:val="num" w:pos="5760"/>
        </w:tabs>
        <w:ind w:left="5760" w:hanging="360"/>
      </w:pPr>
      <w:rPr>
        <w:rFonts w:ascii="Wingdings 2" w:hAnsi="Wingdings 2" w:hint="default"/>
      </w:rPr>
    </w:lvl>
    <w:lvl w:ilvl="8" w:tplc="D7D2177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D037C4"/>
    <w:multiLevelType w:val="hybridMultilevel"/>
    <w:tmpl w:val="21BEDD36"/>
    <w:lvl w:ilvl="0" w:tplc="F470FEEA">
      <w:start w:val="1"/>
      <w:numFmt w:val="bullet"/>
      <w:lvlText w:val=""/>
      <w:lvlJc w:val="left"/>
      <w:pPr>
        <w:tabs>
          <w:tab w:val="num" w:pos="720"/>
        </w:tabs>
        <w:ind w:left="720" w:hanging="360"/>
      </w:pPr>
      <w:rPr>
        <w:rFonts w:ascii="Wingdings 2" w:hAnsi="Wingdings 2" w:hint="default"/>
      </w:rPr>
    </w:lvl>
    <w:lvl w:ilvl="1" w:tplc="136EB81C" w:tentative="1">
      <w:start w:val="1"/>
      <w:numFmt w:val="bullet"/>
      <w:lvlText w:val=""/>
      <w:lvlJc w:val="left"/>
      <w:pPr>
        <w:tabs>
          <w:tab w:val="num" w:pos="1440"/>
        </w:tabs>
        <w:ind w:left="1440" w:hanging="360"/>
      </w:pPr>
      <w:rPr>
        <w:rFonts w:ascii="Wingdings 2" w:hAnsi="Wingdings 2" w:hint="default"/>
      </w:rPr>
    </w:lvl>
    <w:lvl w:ilvl="2" w:tplc="96BE91CA" w:tentative="1">
      <w:start w:val="1"/>
      <w:numFmt w:val="bullet"/>
      <w:lvlText w:val=""/>
      <w:lvlJc w:val="left"/>
      <w:pPr>
        <w:tabs>
          <w:tab w:val="num" w:pos="2160"/>
        </w:tabs>
        <w:ind w:left="2160" w:hanging="360"/>
      </w:pPr>
      <w:rPr>
        <w:rFonts w:ascii="Wingdings 2" w:hAnsi="Wingdings 2" w:hint="default"/>
      </w:rPr>
    </w:lvl>
    <w:lvl w:ilvl="3" w:tplc="946ED4CA" w:tentative="1">
      <w:start w:val="1"/>
      <w:numFmt w:val="bullet"/>
      <w:lvlText w:val=""/>
      <w:lvlJc w:val="left"/>
      <w:pPr>
        <w:tabs>
          <w:tab w:val="num" w:pos="2880"/>
        </w:tabs>
        <w:ind w:left="2880" w:hanging="360"/>
      </w:pPr>
      <w:rPr>
        <w:rFonts w:ascii="Wingdings 2" w:hAnsi="Wingdings 2" w:hint="default"/>
      </w:rPr>
    </w:lvl>
    <w:lvl w:ilvl="4" w:tplc="F4D2C7C4" w:tentative="1">
      <w:start w:val="1"/>
      <w:numFmt w:val="bullet"/>
      <w:lvlText w:val=""/>
      <w:lvlJc w:val="left"/>
      <w:pPr>
        <w:tabs>
          <w:tab w:val="num" w:pos="3600"/>
        </w:tabs>
        <w:ind w:left="3600" w:hanging="360"/>
      </w:pPr>
      <w:rPr>
        <w:rFonts w:ascii="Wingdings 2" w:hAnsi="Wingdings 2" w:hint="default"/>
      </w:rPr>
    </w:lvl>
    <w:lvl w:ilvl="5" w:tplc="3684B49C" w:tentative="1">
      <w:start w:val="1"/>
      <w:numFmt w:val="bullet"/>
      <w:lvlText w:val=""/>
      <w:lvlJc w:val="left"/>
      <w:pPr>
        <w:tabs>
          <w:tab w:val="num" w:pos="4320"/>
        </w:tabs>
        <w:ind w:left="4320" w:hanging="360"/>
      </w:pPr>
      <w:rPr>
        <w:rFonts w:ascii="Wingdings 2" w:hAnsi="Wingdings 2" w:hint="default"/>
      </w:rPr>
    </w:lvl>
    <w:lvl w:ilvl="6" w:tplc="56FEC658" w:tentative="1">
      <w:start w:val="1"/>
      <w:numFmt w:val="bullet"/>
      <w:lvlText w:val=""/>
      <w:lvlJc w:val="left"/>
      <w:pPr>
        <w:tabs>
          <w:tab w:val="num" w:pos="5040"/>
        </w:tabs>
        <w:ind w:left="5040" w:hanging="360"/>
      </w:pPr>
      <w:rPr>
        <w:rFonts w:ascii="Wingdings 2" w:hAnsi="Wingdings 2" w:hint="default"/>
      </w:rPr>
    </w:lvl>
    <w:lvl w:ilvl="7" w:tplc="D8CA4F60" w:tentative="1">
      <w:start w:val="1"/>
      <w:numFmt w:val="bullet"/>
      <w:lvlText w:val=""/>
      <w:lvlJc w:val="left"/>
      <w:pPr>
        <w:tabs>
          <w:tab w:val="num" w:pos="5760"/>
        </w:tabs>
        <w:ind w:left="5760" w:hanging="360"/>
      </w:pPr>
      <w:rPr>
        <w:rFonts w:ascii="Wingdings 2" w:hAnsi="Wingdings 2" w:hint="default"/>
      </w:rPr>
    </w:lvl>
    <w:lvl w:ilvl="8" w:tplc="65DAB89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7"/>
  </w:num>
  <w:num w:numId="18">
    <w:abstractNumId w:val="35"/>
  </w:num>
  <w:num w:numId="19">
    <w:abstractNumId w:val="23"/>
  </w:num>
  <w:num w:numId="20">
    <w:abstractNumId w:val="6"/>
  </w:num>
  <w:num w:numId="21">
    <w:abstractNumId w:val="46"/>
  </w:num>
  <w:num w:numId="22">
    <w:abstractNumId w:val="18"/>
  </w:num>
  <w:num w:numId="23">
    <w:abstractNumId w:val="42"/>
  </w:num>
  <w:num w:numId="24">
    <w:abstractNumId w:val="43"/>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6"/>
  </w:num>
  <w:num w:numId="34">
    <w:abstractNumId w:val="21"/>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2"/>
  </w:num>
  <w:num w:numId="42">
    <w:abstractNumId w:val="27"/>
  </w:num>
  <w:num w:numId="43">
    <w:abstractNumId w:val="36"/>
  </w:num>
  <w:num w:numId="44">
    <w:abstractNumId w:val="32"/>
  </w:num>
  <w:num w:numId="45">
    <w:abstractNumId w:val="44"/>
  </w:num>
  <w:num w:numId="46">
    <w:abstractNumId w:val="9"/>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62EF"/>
    <w:rsid w:val="00100426"/>
    <w:rsid w:val="001004EE"/>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372CD"/>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29D5"/>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1BAA"/>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66F2"/>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76EBB"/>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6824"/>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2F02"/>
    <w:rsid w:val="00C26AB3"/>
    <w:rsid w:val="00C2717F"/>
    <w:rsid w:val="00C27D79"/>
    <w:rsid w:val="00C306E8"/>
    <w:rsid w:val="00C34311"/>
    <w:rsid w:val="00C3437A"/>
    <w:rsid w:val="00C343E5"/>
    <w:rsid w:val="00C344C0"/>
    <w:rsid w:val="00C37605"/>
    <w:rsid w:val="00C40E83"/>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13E"/>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3B55"/>
    <w:rsid w:val="00CD4A2C"/>
    <w:rsid w:val="00CD7993"/>
    <w:rsid w:val="00CE1650"/>
    <w:rsid w:val="00CE6A0D"/>
    <w:rsid w:val="00CE715A"/>
    <w:rsid w:val="00CE73EE"/>
    <w:rsid w:val="00CE7842"/>
    <w:rsid w:val="00CF01AF"/>
    <w:rsid w:val="00CF0B5E"/>
    <w:rsid w:val="00CF1066"/>
    <w:rsid w:val="00CF3C1B"/>
    <w:rsid w:val="00CF5BEA"/>
    <w:rsid w:val="00CF73D2"/>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C36"/>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35F"/>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0243974">
      <w:bodyDiv w:val="1"/>
      <w:marLeft w:val="0"/>
      <w:marRight w:val="0"/>
      <w:marTop w:val="0"/>
      <w:marBottom w:val="0"/>
      <w:divBdr>
        <w:top w:val="none" w:sz="0" w:space="0" w:color="auto"/>
        <w:left w:val="none" w:sz="0" w:space="0" w:color="auto"/>
        <w:bottom w:val="none" w:sz="0" w:space="0" w:color="auto"/>
        <w:right w:val="none" w:sz="0" w:space="0" w:color="auto"/>
      </w:divBdr>
      <w:divsChild>
        <w:div w:id="1201892753">
          <w:marLeft w:val="576"/>
          <w:marRight w:val="0"/>
          <w:marTop w:val="120"/>
          <w:marBottom w:val="0"/>
          <w:divBdr>
            <w:top w:val="none" w:sz="0" w:space="0" w:color="auto"/>
            <w:left w:val="none" w:sz="0" w:space="0" w:color="auto"/>
            <w:bottom w:val="none" w:sz="0" w:space="0" w:color="auto"/>
            <w:right w:val="none" w:sz="0" w:space="0" w:color="auto"/>
          </w:divBdr>
        </w:div>
        <w:div w:id="149758734">
          <w:marLeft w:val="576"/>
          <w:marRight w:val="0"/>
          <w:marTop w:val="120"/>
          <w:marBottom w:val="0"/>
          <w:divBdr>
            <w:top w:val="none" w:sz="0" w:space="0" w:color="auto"/>
            <w:left w:val="none" w:sz="0" w:space="0" w:color="auto"/>
            <w:bottom w:val="none" w:sz="0" w:space="0" w:color="auto"/>
            <w:right w:val="none" w:sz="0" w:space="0" w:color="auto"/>
          </w:divBdr>
        </w:div>
        <w:div w:id="1463889173">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5402679">
      <w:bodyDiv w:val="1"/>
      <w:marLeft w:val="0"/>
      <w:marRight w:val="0"/>
      <w:marTop w:val="0"/>
      <w:marBottom w:val="0"/>
      <w:divBdr>
        <w:top w:val="none" w:sz="0" w:space="0" w:color="auto"/>
        <w:left w:val="none" w:sz="0" w:space="0" w:color="auto"/>
        <w:bottom w:val="none" w:sz="0" w:space="0" w:color="auto"/>
        <w:right w:val="none" w:sz="0" w:space="0" w:color="auto"/>
      </w:divBdr>
      <w:divsChild>
        <w:div w:id="15425886">
          <w:marLeft w:val="576"/>
          <w:marRight w:val="0"/>
          <w:marTop w:val="120"/>
          <w:marBottom w:val="0"/>
          <w:divBdr>
            <w:top w:val="none" w:sz="0" w:space="0" w:color="auto"/>
            <w:left w:val="none" w:sz="0" w:space="0" w:color="auto"/>
            <w:bottom w:val="none" w:sz="0" w:space="0" w:color="auto"/>
            <w:right w:val="none" w:sz="0" w:space="0" w:color="auto"/>
          </w:divBdr>
        </w:div>
        <w:div w:id="43215948">
          <w:marLeft w:val="576"/>
          <w:marRight w:val="0"/>
          <w:marTop w:val="120"/>
          <w:marBottom w:val="0"/>
          <w:divBdr>
            <w:top w:val="none" w:sz="0" w:space="0" w:color="auto"/>
            <w:left w:val="none" w:sz="0" w:space="0" w:color="auto"/>
            <w:bottom w:val="none" w:sz="0" w:space="0" w:color="auto"/>
            <w:right w:val="none" w:sz="0" w:space="0" w:color="auto"/>
          </w:divBdr>
        </w:div>
        <w:div w:id="1404522261">
          <w:marLeft w:val="576"/>
          <w:marRight w:val="0"/>
          <w:marTop w:val="120"/>
          <w:marBottom w:val="0"/>
          <w:divBdr>
            <w:top w:val="none" w:sz="0" w:space="0" w:color="auto"/>
            <w:left w:val="none" w:sz="0" w:space="0" w:color="auto"/>
            <w:bottom w:val="none" w:sz="0" w:space="0" w:color="auto"/>
            <w:right w:val="none" w:sz="0" w:space="0" w:color="auto"/>
          </w:divBdr>
        </w:div>
        <w:div w:id="5405415">
          <w:marLeft w:val="576"/>
          <w:marRight w:val="0"/>
          <w:marTop w:val="120"/>
          <w:marBottom w:val="0"/>
          <w:divBdr>
            <w:top w:val="none" w:sz="0" w:space="0" w:color="auto"/>
            <w:left w:val="none" w:sz="0" w:space="0" w:color="auto"/>
            <w:bottom w:val="none" w:sz="0" w:space="0" w:color="auto"/>
            <w:right w:val="none" w:sz="0" w:space="0" w:color="auto"/>
          </w:divBdr>
        </w:div>
        <w:div w:id="296228669">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5585281">
      <w:bodyDiv w:val="1"/>
      <w:marLeft w:val="0"/>
      <w:marRight w:val="0"/>
      <w:marTop w:val="0"/>
      <w:marBottom w:val="0"/>
      <w:divBdr>
        <w:top w:val="none" w:sz="0" w:space="0" w:color="auto"/>
        <w:left w:val="none" w:sz="0" w:space="0" w:color="auto"/>
        <w:bottom w:val="none" w:sz="0" w:space="0" w:color="auto"/>
        <w:right w:val="none" w:sz="0" w:space="0" w:color="auto"/>
      </w:divBdr>
      <w:divsChild>
        <w:div w:id="663319868">
          <w:marLeft w:val="576"/>
          <w:marRight w:val="0"/>
          <w:marTop w:val="120"/>
          <w:marBottom w:val="0"/>
          <w:divBdr>
            <w:top w:val="none" w:sz="0" w:space="0" w:color="auto"/>
            <w:left w:val="none" w:sz="0" w:space="0" w:color="auto"/>
            <w:bottom w:val="none" w:sz="0" w:space="0" w:color="auto"/>
            <w:right w:val="none" w:sz="0" w:space="0" w:color="auto"/>
          </w:divBdr>
        </w:div>
        <w:div w:id="763913760">
          <w:marLeft w:val="576"/>
          <w:marRight w:val="0"/>
          <w:marTop w:val="120"/>
          <w:marBottom w:val="0"/>
          <w:divBdr>
            <w:top w:val="none" w:sz="0" w:space="0" w:color="auto"/>
            <w:left w:val="none" w:sz="0" w:space="0" w:color="auto"/>
            <w:bottom w:val="none" w:sz="0" w:space="0" w:color="auto"/>
            <w:right w:val="none" w:sz="0" w:space="0" w:color="auto"/>
          </w:divBdr>
        </w:div>
        <w:div w:id="2084915426">
          <w:marLeft w:val="576"/>
          <w:marRight w:val="0"/>
          <w:marTop w:val="120"/>
          <w:marBottom w:val="0"/>
          <w:divBdr>
            <w:top w:val="none" w:sz="0" w:space="0" w:color="auto"/>
            <w:left w:val="none" w:sz="0" w:space="0" w:color="auto"/>
            <w:bottom w:val="none" w:sz="0" w:space="0" w:color="auto"/>
            <w:right w:val="none" w:sz="0" w:space="0" w:color="auto"/>
          </w:divBdr>
        </w:div>
        <w:div w:id="581380989">
          <w:marLeft w:val="576"/>
          <w:marRight w:val="0"/>
          <w:marTop w:val="120"/>
          <w:marBottom w:val="0"/>
          <w:divBdr>
            <w:top w:val="none" w:sz="0" w:space="0" w:color="auto"/>
            <w:left w:val="none" w:sz="0" w:space="0" w:color="auto"/>
            <w:bottom w:val="none" w:sz="0" w:space="0" w:color="auto"/>
            <w:right w:val="none" w:sz="0" w:space="0" w:color="auto"/>
          </w:divBdr>
        </w:div>
        <w:div w:id="160479701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6699965">
      <w:bodyDiv w:val="1"/>
      <w:marLeft w:val="0"/>
      <w:marRight w:val="0"/>
      <w:marTop w:val="0"/>
      <w:marBottom w:val="0"/>
      <w:divBdr>
        <w:top w:val="none" w:sz="0" w:space="0" w:color="auto"/>
        <w:left w:val="none" w:sz="0" w:space="0" w:color="auto"/>
        <w:bottom w:val="none" w:sz="0" w:space="0" w:color="auto"/>
        <w:right w:val="none" w:sz="0" w:space="0" w:color="auto"/>
      </w:divBdr>
      <w:divsChild>
        <w:div w:id="1249729025">
          <w:marLeft w:val="576"/>
          <w:marRight w:val="0"/>
          <w:marTop w:val="120"/>
          <w:marBottom w:val="0"/>
          <w:divBdr>
            <w:top w:val="none" w:sz="0" w:space="0" w:color="auto"/>
            <w:left w:val="none" w:sz="0" w:space="0" w:color="auto"/>
            <w:bottom w:val="none" w:sz="0" w:space="0" w:color="auto"/>
            <w:right w:val="none" w:sz="0" w:space="0" w:color="auto"/>
          </w:divBdr>
        </w:div>
        <w:div w:id="1754164475">
          <w:marLeft w:val="576"/>
          <w:marRight w:val="0"/>
          <w:marTop w:val="120"/>
          <w:marBottom w:val="0"/>
          <w:divBdr>
            <w:top w:val="none" w:sz="0" w:space="0" w:color="auto"/>
            <w:left w:val="none" w:sz="0" w:space="0" w:color="auto"/>
            <w:bottom w:val="none" w:sz="0" w:space="0" w:color="auto"/>
            <w:right w:val="none" w:sz="0" w:space="0" w:color="auto"/>
          </w:divBdr>
        </w:div>
        <w:div w:id="2123763468">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1665404">
      <w:bodyDiv w:val="1"/>
      <w:marLeft w:val="0"/>
      <w:marRight w:val="0"/>
      <w:marTop w:val="0"/>
      <w:marBottom w:val="0"/>
      <w:divBdr>
        <w:top w:val="none" w:sz="0" w:space="0" w:color="auto"/>
        <w:left w:val="none" w:sz="0" w:space="0" w:color="auto"/>
        <w:bottom w:val="none" w:sz="0" w:space="0" w:color="auto"/>
        <w:right w:val="none" w:sz="0" w:space="0" w:color="auto"/>
      </w:divBdr>
      <w:divsChild>
        <w:div w:id="1414740865">
          <w:marLeft w:val="576"/>
          <w:marRight w:val="0"/>
          <w:marTop w:val="120"/>
          <w:marBottom w:val="0"/>
          <w:divBdr>
            <w:top w:val="none" w:sz="0" w:space="0" w:color="auto"/>
            <w:left w:val="none" w:sz="0" w:space="0" w:color="auto"/>
            <w:bottom w:val="none" w:sz="0" w:space="0" w:color="auto"/>
            <w:right w:val="none" w:sz="0" w:space="0" w:color="auto"/>
          </w:divBdr>
        </w:div>
        <w:div w:id="1396976705">
          <w:marLeft w:val="576"/>
          <w:marRight w:val="0"/>
          <w:marTop w:val="120"/>
          <w:marBottom w:val="0"/>
          <w:divBdr>
            <w:top w:val="none" w:sz="0" w:space="0" w:color="auto"/>
            <w:left w:val="none" w:sz="0" w:space="0" w:color="auto"/>
            <w:bottom w:val="none" w:sz="0" w:space="0" w:color="auto"/>
            <w:right w:val="none" w:sz="0" w:space="0" w:color="auto"/>
          </w:divBdr>
        </w:div>
        <w:div w:id="1384325341">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361323">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4764928">
      <w:bodyDiv w:val="1"/>
      <w:marLeft w:val="0"/>
      <w:marRight w:val="0"/>
      <w:marTop w:val="0"/>
      <w:marBottom w:val="0"/>
      <w:divBdr>
        <w:top w:val="none" w:sz="0" w:space="0" w:color="auto"/>
        <w:left w:val="none" w:sz="0" w:space="0" w:color="auto"/>
        <w:bottom w:val="none" w:sz="0" w:space="0" w:color="auto"/>
        <w:right w:val="none" w:sz="0" w:space="0" w:color="auto"/>
      </w:divBdr>
      <w:divsChild>
        <w:div w:id="1159887612">
          <w:marLeft w:val="576"/>
          <w:marRight w:val="0"/>
          <w:marTop w:val="120"/>
          <w:marBottom w:val="0"/>
          <w:divBdr>
            <w:top w:val="none" w:sz="0" w:space="0" w:color="auto"/>
            <w:left w:val="none" w:sz="0" w:space="0" w:color="auto"/>
            <w:bottom w:val="none" w:sz="0" w:space="0" w:color="auto"/>
            <w:right w:val="none" w:sz="0" w:space="0" w:color="auto"/>
          </w:divBdr>
        </w:div>
        <w:div w:id="1168324927">
          <w:marLeft w:val="576"/>
          <w:marRight w:val="0"/>
          <w:marTop w:val="120"/>
          <w:marBottom w:val="0"/>
          <w:divBdr>
            <w:top w:val="none" w:sz="0" w:space="0" w:color="auto"/>
            <w:left w:val="none" w:sz="0" w:space="0" w:color="auto"/>
            <w:bottom w:val="none" w:sz="0" w:space="0" w:color="auto"/>
            <w:right w:val="none" w:sz="0" w:space="0" w:color="auto"/>
          </w:divBdr>
        </w:div>
        <w:div w:id="114662483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3660</TotalTime>
  <Pages>14</Pages>
  <Words>1783</Words>
  <Characters>10166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2022-03-23T08:39:00Z</dcterms:modified>
</cp:coreProperties>
</file>