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66C66" w:rsidRDefault="00466C66" w:rsidP="00466C66">
      <w:pPr>
        <w:spacing w:line="360" w:lineRule="auto"/>
        <w:jc w:val="center"/>
        <w:rPr>
          <w:rFonts w:ascii="Times New Roman" w:hAnsi="Times New Roman" w:cs="Times New Roman"/>
          <w:b/>
          <w:sz w:val="56"/>
          <w:szCs w:val="56"/>
        </w:rPr>
      </w:pPr>
      <w:r w:rsidRPr="00466C66">
        <w:rPr>
          <w:rFonts w:ascii="Times New Roman" w:hAnsi="Times New Roman" w:cs="Times New Roman"/>
          <w:b/>
          <w:sz w:val="56"/>
          <w:szCs w:val="56"/>
        </w:rPr>
        <w:t>User friendly data visualization tool for interpretation of groundwater isotope data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364AC5" w:rsidRDefault="00AD5748" w:rsidP="00E53AA4">
      <w:pPr>
        <w:spacing w:line="360" w:lineRule="auto"/>
        <w:jc w:val="both"/>
        <w:rPr>
          <w:rFonts w:ascii="Times New Roman" w:hAnsi="Times New Roman" w:cs="Times New Roman"/>
          <w:b/>
          <w:sz w:val="52"/>
          <w:szCs w:val="52"/>
        </w:rPr>
      </w:pPr>
      <w:r w:rsidRPr="00364AC5">
        <w:rPr>
          <w:rFonts w:ascii="Times New Roman" w:hAnsi="Times New Roman" w:cs="Times New Roman"/>
          <w:sz w:val="32"/>
          <w:szCs w:val="32"/>
        </w:rPr>
        <w:t>Management of groundwater systems requires realistic conceptual hydrogeological models as a framework for numerical simulation modelling, but also for system understanding and communicatin g this to stakeholders and the broader community. To help overcome these challenges we developed GVS (Groundwater Visualisation System), a stand-alone desktop software package that uses interactive 3D visualisation and animation techniques. The goal was a user-friendly groundwater management tool that could support a range of existing real-world and pre-processed data, both surface and subsurface, including geology and various types of temporal hydrological information. GVS allows these data to be integrated into a single conceptual hydrogeological model. In addition, 3D geological models produced externally using other software packages, can readily be imported into GVS models, as can outputs of simulations (e.g. piezometric surfaces) produced by software suc h as MODFLOW or FEFLOW. Boreholes can be integrated, showing any down-hole data and properties, includ ing screen information, intersected geology, water leve l data and water chemistry. Animation is used to display spatial and temporal changes, with time-series data such as rainfall, standing water levels and electrical conductivity, displaying dynamic processes.</w:t>
      </w:r>
    </w:p>
    <w:p w:rsidR="00845895" w:rsidRDefault="00845895" w:rsidP="00E53AA4">
      <w:pPr>
        <w:spacing w:line="360" w:lineRule="auto"/>
        <w:jc w:val="both"/>
        <w:rPr>
          <w:rFonts w:ascii="Times New Roman" w:hAnsi="Times New Roman" w:cs="Times New Roman"/>
          <w:b/>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64AC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3784F" w:rsidRDefault="004E3C77" w:rsidP="00B378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784F">
        <w:rPr>
          <w:rFonts w:ascii="Times New Roman" w:hAnsi="Times New Roman" w:cs="Times New Roman"/>
          <w:sz w:val="32"/>
          <w:szCs w:val="32"/>
          <w:lang w:val="en-IN"/>
        </w:rPr>
        <w:t>Water-level measurements serve as primary data required for calibration and testing of ground-water models, and it is often not until development of these models that the</w:t>
      </w:r>
      <w:r w:rsidRPr="00B3784F">
        <w:rPr>
          <w:rFonts w:ascii="Times New Roman" w:hAnsi="Times New Roman" w:cs="Times New Roman"/>
          <w:sz w:val="32"/>
          <w:szCs w:val="32"/>
          <w:lang w:val="en-IN"/>
        </w:rPr>
        <w:t xml:space="preserve"> limitations of existing water-level data are fully recognized. </w:t>
      </w:r>
    </w:p>
    <w:p w:rsidR="00000000" w:rsidRPr="00B3784F" w:rsidRDefault="004E3C77" w:rsidP="00B378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784F">
        <w:rPr>
          <w:rFonts w:ascii="Times New Roman" w:hAnsi="Times New Roman" w:cs="Times New Roman"/>
          <w:sz w:val="32"/>
          <w:szCs w:val="32"/>
          <w:lang w:val="en-IN"/>
        </w:rPr>
        <w:t xml:space="preserve">These limitations, statistical analysis of data from existing networks can provide useful guidance in evaluating these networks and a firmer basis for network modifications. </w:t>
      </w:r>
    </w:p>
    <w:p w:rsidR="00000000" w:rsidRPr="00B3784F" w:rsidRDefault="004E3C77" w:rsidP="00B378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3784F">
        <w:rPr>
          <w:rFonts w:ascii="Times New Roman" w:hAnsi="Times New Roman" w:cs="Times New Roman"/>
          <w:sz w:val="32"/>
          <w:szCs w:val="32"/>
          <w:lang w:val="en-IN"/>
        </w:rPr>
        <w:t>However, water</w:t>
      </w:r>
      <w:r w:rsidRPr="00B3784F">
        <w:rPr>
          <w:rFonts w:ascii="Times New Roman" w:hAnsi="Times New Roman" w:cs="Times New Roman"/>
          <w:sz w:val="32"/>
          <w:szCs w:val="32"/>
          <w:lang w:val="en-IN"/>
        </w:rPr>
        <w:t>-level monitoring in the United States is fragmented and largely subject to the vagaries of existing local projects.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30F5B" w:rsidRDefault="004E3C77" w:rsidP="00430F5B">
      <w:pPr>
        <w:numPr>
          <w:ilvl w:val="0"/>
          <w:numId w:val="45"/>
        </w:numPr>
        <w:spacing w:line="360" w:lineRule="auto"/>
        <w:jc w:val="both"/>
        <w:rPr>
          <w:rFonts w:ascii="Times New Roman" w:hAnsi="Times New Roman" w:cs="Times New Roman"/>
          <w:bCs/>
          <w:sz w:val="32"/>
          <w:szCs w:val="32"/>
          <w:lang w:val="en-IN"/>
        </w:rPr>
      </w:pPr>
      <w:r w:rsidRPr="00430F5B">
        <w:rPr>
          <w:rFonts w:ascii="Times New Roman" w:hAnsi="Times New Roman" w:cs="Times New Roman"/>
          <w:bCs/>
          <w:sz w:val="32"/>
          <w:szCs w:val="32"/>
          <w:lang w:val="en-IN"/>
        </w:rPr>
        <w:t>A common problem is the localised scale view, and the lack of understanding of the wider context of a whole system and the potential catch</w:t>
      </w:r>
      <w:r w:rsidRPr="00430F5B">
        <w:rPr>
          <w:rFonts w:ascii="Times New Roman" w:hAnsi="Times New Roman" w:cs="Times New Roman"/>
          <w:bCs/>
          <w:sz w:val="32"/>
          <w:szCs w:val="32"/>
          <w:lang w:val="en-IN"/>
        </w:rPr>
        <w:t xml:space="preserve">ment links. </w:t>
      </w:r>
    </w:p>
    <w:p w:rsidR="00000000" w:rsidRPr="00430F5B" w:rsidRDefault="004E3C77" w:rsidP="00430F5B">
      <w:pPr>
        <w:numPr>
          <w:ilvl w:val="0"/>
          <w:numId w:val="45"/>
        </w:numPr>
        <w:spacing w:line="360" w:lineRule="auto"/>
        <w:jc w:val="both"/>
        <w:rPr>
          <w:rFonts w:ascii="Times New Roman" w:hAnsi="Times New Roman" w:cs="Times New Roman"/>
          <w:bCs/>
          <w:sz w:val="32"/>
          <w:szCs w:val="32"/>
          <w:lang w:val="en-IN"/>
        </w:rPr>
      </w:pPr>
      <w:r w:rsidRPr="00430F5B">
        <w:rPr>
          <w:rFonts w:ascii="Times New Roman" w:hAnsi="Times New Roman" w:cs="Times New Roman"/>
          <w:bCs/>
          <w:sz w:val="32"/>
          <w:szCs w:val="32"/>
          <w:lang w:val="en-IN"/>
        </w:rPr>
        <w:t>Our early activities involved developing visualisation applications for groundwater systems to analyse large data sets in areas with water management and salinity concerns or other resource use issues.</w:t>
      </w:r>
    </w:p>
    <w:p w:rsidR="00F94960" w:rsidRPr="00430F5B" w:rsidRDefault="004E3C77" w:rsidP="00E53AA4">
      <w:pPr>
        <w:numPr>
          <w:ilvl w:val="0"/>
          <w:numId w:val="45"/>
        </w:numPr>
        <w:spacing w:line="360" w:lineRule="auto"/>
        <w:jc w:val="both"/>
        <w:rPr>
          <w:rFonts w:ascii="Times New Roman" w:hAnsi="Times New Roman" w:cs="Times New Roman"/>
          <w:bCs/>
          <w:sz w:val="32"/>
          <w:szCs w:val="32"/>
          <w:lang w:val="en-IN"/>
        </w:rPr>
      </w:pPr>
      <w:r w:rsidRPr="00430F5B">
        <w:rPr>
          <w:rFonts w:ascii="Times New Roman" w:hAnsi="Times New Roman" w:cs="Times New Roman"/>
          <w:bCs/>
          <w:sz w:val="32"/>
          <w:szCs w:val="32"/>
          <w:lang w:val="en-IN"/>
        </w:rPr>
        <w:lastRenderedPageBreak/>
        <w:t>A specific aim of the GVS model develop</w:t>
      </w:r>
      <w:r w:rsidRPr="00430F5B">
        <w:rPr>
          <w:rFonts w:ascii="Times New Roman" w:hAnsi="Times New Roman" w:cs="Times New Roman"/>
          <w:bCs/>
          <w:sz w:val="32"/>
          <w:szCs w:val="32"/>
          <w:lang w:val="en-IN"/>
        </w:rPr>
        <w:t>ment was to use 3D visualisation, combined with animation, to demonstrate the impact of over 40 years of groundwater abstraction.</w:t>
      </w:r>
      <w:r w:rsidRPr="00430F5B">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A5FDF" w:rsidRPr="00BA5FDF" w:rsidRDefault="00BA5FDF" w:rsidP="00BA5FDF">
      <w:pPr>
        <w:pStyle w:val="NormalWeb"/>
        <w:numPr>
          <w:ilvl w:val="0"/>
          <w:numId w:val="46"/>
        </w:numPr>
        <w:spacing w:before="0" w:beforeAutospacing="0" w:after="0" w:afterAutospacing="0" w:line="360" w:lineRule="auto"/>
        <w:ind w:left="709"/>
        <w:jc w:val="both"/>
        <w:rPr>
          <w:sz w:val="32"/>
          <w:szCs w:val="32"/>
        </w:rPr>
      </w:pPr>
      <w:r w:rsidRPr="00BA5FDF">
        <w:rPr>
          <w:sz w:val="32"/>
          <w:szCs w:val="32"/>
        </w:rPr>
        <w:t>SAR, the sodium adsorption ratio index, is an important parameter to determine the use of groundwater for irrigation purposes.</w:t>
      </w:r>
    </w:p>
    <w:p w:rsidR="00BA5FDF" w:rsidRPr="00BA5FDF" w:rsidRDefault="00BA5FDF" w:rsidP="00BA5FDF">
      <w:pPr>
        <w:pStyle w:val="NormalWeb"/>
        <w:numPr>
          <w:ilvl w:val="0"/>
          <w:numId w:val="46"/>
        </w:numPr>
        <w:spacing w:before="0" w:beforeAutospacing="0" w:after="0" w:afterAutospacing="0" w:line="360" w:lineRule="auto"/>
        <w:ind w:left="709"/>
        <w:jc w:val="both"/>
        <w:rPr>
          <w:sz w:val="32"/>
          <w:szCs w:val="32"/>
        </w:rPr>
      </w:pPr>
      <w:r w:rsidRPr="00BA5FDF">
        <w:rPr>
          <w:sz w:val="32"/>
          <w:szCs w:val="32"/>
        </w:rPr>
        <w:t xml:space="preserve">Several innovative uses of long-term waterlevel monitoring have been proposed in addition to the more conventional uses described thus far. </w:t>
      </w:r>
    </w:p>
    <w:p w:rsidR="003A5D44" w:rsidRPr="00BA5FDF" w:rsidRDefault="00BA5FDF" w:rsidP="00E53AA4">
      <w:pPr>
        <w:pStyle w:val="NormalWeb"/>
        <w:numPr>
          <w:ilvl w:val="0"/>
          <w:numId w:val="46"/>
        </w:numPr>
        <w:spacing w:before="0" w:beforeAutospacing="0" w:after="0" w:afterAutospacing="0" w:line="360" w:lineRule="auto"/>
        <w:ind w:left="709"/>
        <w:jc w:val="both"/>
        <w:rPr>
          <w:sz w:val="32"/>
          <w:szCs w:val="32"/>
        </w:rPr>
      </w:pPr>
      <w:r w:rsidRPr="00BA5FDF">
        <w:rPr>
          <w:sz w:val="32"/>
          <w:szCs w:val="32"/>
        </w:rPr>
        <w:t>If one of the purposes of a network is to monitor ambient ground-water conditions, or the effects of natural, climatic-induced hydrologic stresses, the observation network will require wells that are unaffected by pumping, irrigation, and land uses that affect ground-water recharge.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312A0F" w:rsidRDefault="004E3C77" w:rsidP="00312A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2A0F">
        <w:rPr>
          <w:rFonts w:ascii="Times New Roman" w:eastAsia="AdvGulliv-R" w:hAnsi="Times New Roman" w:cs="Times New Roman"/>
          <w:bCs/>
          <w:sz w:val="32"/>
          <w:szCs w:val="32"/>
          <w:lang w:val="en-IN"/>
        </w:rPr>
        <w:t>Common misconceptions of surface water-ground water connectivity, recharge processes, base flow in drainage systems, and groundwater-dependent ecosystems (GDE) further challenge efficient groundw</w:t>
      </w:r>
      <w:r w:rsidRPr="00312A0F">
        <w:rPr>
          <w:rFonts w:ascii="Times New Roman" w:eastAsia="AdvGulliv-R" w:hAnsi="Times New Roman" w:cs="Times New Roman"/>
          <w:bCs/>
          <w:sz w:val="32"/>
          <w:szCs w:val="32"/>
          <w:lang w:val="en-IN"/>
        </w:rPr>
        <w:t>ater management practices.</w:t>
      </w:r>
    </w:p>
    <w:p w:rsidR="00000000" w:rsidRPr="00312A0F" w:rsidRDefault="004E3C77" w:rsidP="00312A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2A0F">
        <w:rPr>
          <w:rFonts w:ascii="Times New Roman" w:eastAsia="AdvGulliv-R" w:hAnsi="Times New Roman" w:cs="Times New Roman"/>
          <w:bCs/>
          <w:sz w:val="32"/>
          <w:szCs w:val="32"/>
          <w:lang w:val="en-IN"/>
        </w:rPr>
        <w:t>The advantage of considering stratigraphy and developing layer boundaries within a 3D geological model is that the 3D hydrogeological model developed is usually more realistic.</w:t>
      </w:r>
    </w:p>
    <w:p w:rsidR="00000000" w:rsidRPr="00312A0F" w:rsidRDefault="004E3C77" w:rsidP="00312A0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312A0F">
        <w:rPr>
          <w:rFonts w:ascii="Times New Roman" w:eastAsia="AdvGulliv-R" w:hAnsi="Times New Roman" w:cs="Times New Roman"/>
          <w:bCs/>
          <w:sz w:val="32"/>
          <w:szCs w:val="32"/>
          <w:lang w:val="en-IN"/>
        </w:rPr>
        <w:t>The 3D model, however, must be adapted to the grid</w:t>
      </w:r>
      <w:r w:rsidR="00312A0F">
        <w:rPr>
          <w:rFonts w:ascii="Times New Roman" w:eastAsia="AdvGulliv-R" w:hAnsi="Times New Roman" w:cs="Times New Roman"/>
          <w:bCs/>
          <w:sz w:val="32"/>
          <w:szCs w:val="32"/>
          <w:lang w:val="en-IN"/>
        </w:rPr>
        <w:t xml:space="preserve"> format of the simulatio</w:t>
      </w:r>
      <w:r w:rsidRPr="00312A0F">
        <w:rPr>
          <w:rFonts w:ascii="Times New Roman" w:eastAsia="AdvGulliv-R" w:hAnsi="Times New Roman" w:cs="Times New Roman"/>
          <w:bCs/>
          <w:sz w:val="32"/>
          <w:szCs w:val="32"/>
          <w:lang w:val="en-IN"/>
        </w:rPr>
        <w:t>n software being used.</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8C1EDF">
        <w:trPr>
          <w:trHeight w:val="1750"/>
        </w:trPr>
        <w:tc>
          <w:tcPr>
            <w:tcW w:w="3192" w:type="dxa"/>
          </w:tcPr>
          <w:p w:rsidR="000C407B" w:rsidRPr="00B24540" w:rsidRDefault="008C1EDF" w:rsidP="00E53AA4">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rPr>
              <w:t>Configuration of the limestone aquifers in the central part of Egypt using electrical measurements</w:t>
            </w:r>
          </w:p>
        </w:tc>
        <w:tc>
          <w:tcPr>
            <w:tcW w:w="3192" w:type="dxa"/>
          </w:tcPr>
          <w:p w:rsidR="000C407B" w:rsidRPr="00B24540" w:rsidRDefault="008C1EDF" w:rsidP="008C1EDF">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rPr>
              <w:t xml:space="preserve">Abou Heleika, M.M., Niesner, E., 2009. </w:t>
            </w:r>
          </w:p>
        </w:tc>
        <w:tc>
          <w:tcPr>
            <w:tcW w:w="3192" w:type="dxa"/>
          </w:tcPr>
          <w:p w:rsidR="000C407B" w:rsidRPr="00B24540" w:rsidRDefault="008C1EDF" w:rsidP="00E53AA4">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shd w:val="clear" w:color="auto" w:fill="FFFFFF"/>
              </w:rPr>
              <w:t>The integrated analyses carried out represent a significant and cost-effective method for delineating the main aquifer in this area.</w:t>
            </w:r>
          </w:p>
        </w:tc>
      </w:tr>
      <w:tr w:rsidR="000C407B" w:rsidTr="008C1EDF">
        <w:trPr>
          <w:trHeight w:val="2371"/>
        </w:trPr>
        <w:tc>
          <w:tcPr>
            <w:tcW w:w="3192" w:type="dxa"/>
          </w:tcPr>
          <w:p w:rsidR="000C407B" w:rsidRPr="00B24540" w:rsidRDefault="008C1EDF" w:rsidP="00E53AA4">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rPr>
              <w:t>How scientific knowledge informs community understanding of groundwater</w:t>
            </w:r>
          </w:p>
        </w:tc>
        <w:tc>
          <w:tcPr>
            <w:tcW w:w="3192" w:type="dxa"/>
          </w:tcPr>
          <w:p w:rsidR="000C407B" w:rsidRPr="00B24540" w:rsidRDefault="008C1EDF" w:rsidP="008C1EDF">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rPr>
              <w:t xml:space="preserve">Baldwin, C., Tan, P.-L., White, I., Hoverman, S., Burry, K., 2012. </w:t>
            </w:r>
          </w:p>
        </w:tc>
        <w:tc>
          <w:tcPr>
            <w:tcW w:w="3192" w:type="dxa"/>
          </w:tcPr>
          <w:p w:rsidR="000C407B" w:rsidRPr="00B24540" w:rsidRDefault="008C1EDF" w:rsidP="00E53AA4">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shd w:val="clear" w:color="auto" w:fill="FFFFFF"/>
              </w:rPr>
              <w:t>Robust information is integral to any good decision-making process. Information needs to be seen as credible by the community and defensible by scientists and independent reviewers.</w:t>
            </w:r>
          </w:p>
        </w:tc>
      </w:tr>
      <w:tr w:rsidR="000C407B" w:rsidTr="000C407B">
        <w:tc>
          <w:tcPr>
            <w:tcW w:w="3192" w:type="dxa"/>
          </w:tcPr>
          <w:p w:rsidR="000C407B" w:rsidRPr="00B24540" w:rsidRDefault="008C1EDF" w:rsidP="00E53AA4">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rPr>
              <w:t>Upper Condamine Groundwater Model Calibration Report</w:t>
            </w:r>
          </w:p>
        </w:tc>
        <w:tc>
          <w:tcPr>
            <w:tcW w:w="3192" w:type="dxa"/>
          </w:tcPr>
          <w:p w:rsidR="000C407B" w:rsidRPr="00B24540" w:rsidRDefault="008C1EDF" w:rsidP="008C1EDF">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rPr>
              <w:t xml:space="preserve">Barnett, B.G., Muller, J., 2008. </w:t>
            </w:r>
          </w:p>
        </w:tc>
        <w:tc>
          <w:tcPr>
            <w:tcW w:w="3192" w:type="dxa"/>
          </w:tcPr>
          <w:p w:rsidR="000C407B" w:rsidRPr="00B24540" w:rsidRDefault="008C1EDF" w:rsidP="00E53AA4">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rPr>
              <w:t>In particular changes to the manner in which diffuse areal recharge is represented in the model were required.</w:t>
            </w:r>
          </w:p>
        </w:tc>
      </w:tr>
      <w:tr w:rsidR="000C407B" w:rsidTr="000C407B">
        <w:tc>
          <w:tcPr>
            <w:tcW w:w="3192" w:type="dxa"/>
          </w:tcPr>
          <w:p w:rsidR="000C407B" w:rsidRPr="00B24540" w:rsidRDefault="008C1EDF" w:rsidP="00E53AA4">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rPr>
              <w:t>GWVis: A tool for comparative ground-water data visualization</w:t>
            </w:r>
          </w:p>
        </w:tc>
        <w:tc>
          <w:tcPr>
            <w:tcW w:w="3192" w:type="dxa"/>
          </w:tcPr>
          <w:p w:rsidR="000C407B" w:rsidRPr="00B24540" w:rsidRDefault="008C1EDF" w:rsidP="008C1EDF">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rPr>
              <w:t xml:space="preserve">Best, D.M., Lewis, R.R., 2010. </w:t>
            </w:r>
          </w:p>
        </w:tc>
        <w:tc>
          <w:tcPr>
            <w:tcW w:w="3192" w:type="dxa"/>
          </w:tcPr>
          <w:p w:rsidR="000C407B" w:rsidRPr="00B24540" w:rsidRDefault="008C1EDF" w:rsidP="00E53AA4">
            <w:pPr>
              <w:tabs>
                <w:tab w:val="left" w:pos="720"/>
              </w:tabs>
              <w:spacing w:after="100" w:line="360" w:lineRule="auto"/>
              <w:jc w:val="both"/>
              <w:rPr>
                <w:rFonts w:ascii="Times New Roman" w:hAnsi="Times New Roman" w:cs="Times New Roman"/>
                <w:sz w:val="26"/>
                <w:szCs w:val="26"/>
              </w:rPr>
            </w:pPr>
            <w:r w:rsidRPr="00B24540">
              <w:rPr>
                <w:rFonts w:ascii="Times New Roman" w:hAnsi="Times New Roman" w:cs="Times New Roman"/>
                <w:sz w:val="26"/>
                <w:szCs w:val="26"/>
                <w:shd w:val="clear" w:color="auto" w:fill="FFFFFF"/>
              </w:rPr>
              <w:t>The Ground-Water Visualization application (GWVis) presents ground-water data visually in order to educate the public on ground-water issues.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B24540" w:rsidRDefault="00B2454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24540" w:rsidRDefault="00B24540"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24540" w:rsidRDefault="00B24540"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24540" w:rsidP="00E53AA4">
      <w:pPr>
        <w:spacing w:after="0" w:line="360" w:lineRule="auto"/>
        <w:jc w:val="both"/>
        <w:rPr>
          <w:rFonts w:ascii="Times New Roman" w:hAnsi="Times New Roman" w:cs="Times New Roman"/>
        </w:rPr>
      </w:pPr>
      <w:r w:rsidRPr="00B24540">
        <w:rPr>
          <w:rFonts w:ascii="Times New Roman" w:hAnsi="Times New Roman" w:cs="Times New Roman"/>
        </w:rPr>
        <w:drawing>
          <wp:inline distT="0" distB="0" distL="0" distR="0">
            <wp:extent cx="5943600" cy="3529330"/>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1.jpg"/>
                    <pic:cNvPicPr>
                      <a:picLocks noGrp="1" noChangeAspect="1" noChangeArrowheads="1"/>
                    </pic:cNvPicPr>
                  </pic:nvPicPr>
                  <pic:blipFill>
                    <a:blip r:embed="rId8"/>
                    <a:srcRect/>
                    <a:stretch>
                      <a:fillRect/>
                    </a:stretch>
                  </pic:blipFill>
                  <pic:spPr bwMode="auto">
                    <a:xfrm>
                      <a:off x="0" y="0"/>
                      <a:ext cx="5943600" cy="352933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B24540" w:rsidRDefault="00B24540"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D90378" w:rsidRPr="00D90378" w:rsidRDefault="00D90378" w:rsidP="00D90378">
      <w:pPr>
        <w:pStyle w:val="BodyText"/>
        <w:rPr>
          <w:bCs/>
          <w:sz w:val="32"/>
          <w:szCs w:val="32"/>
          <w:lang w:val="en-IN"/>
        </w:rPr>
      </w:pPr>
      <w:r w:rsidRPr="00D90378">
        <w:rPr>
          <w:bCs/>
          <w:sz w:val="32"/>
          <w:szCs w:val="32"/>
          <w:lang w:val="en-IN"/>
        </w:rPr>
        <w:t xml:space="preserve">    GVS has been highly successful as a tool that enhances community/stakeholder understanding and knowledge of groundwater systems, is of value for training and educational purposes and provides effective support to management and decision making. The software was utilised as a major component in several projects aimed at development of community understanding of groundwater condition and use, and the need for management. The models produced also provide useful visuals for reporting, plus become permanent data repositories. We are continuing to develop the system and its capability, both in its current application, and in an up-scaled form applied to regional basin groundwater systems.</w:t>
      </w:r>
      <w:r w:rsidRPr="00D90378">
        <w:rPr>
          <w:bCs/>
          <w:sz w:val="32"/>
          <w:szCs w:val="32"/>
        </w:rPr>
        <w:t xml:space="preserve"> </w:t>
      </w:r>
    </w:p>
    <w:p w:rsidR="00364AC5" w:rsidRDefault="00364AC5" w:rsidP="009E62B1">
      <w:pPr>
        <w:pStyle w:val="BodyText"/>
        <w:rPr>
          <w:b/>
          <w:sz w:val="36"/>
          <w:szCs w:val="36"/>
        </w:rPr>
      </w:pPr>
    </w:p>
    <w:p w:rsidR="001F1E5A" w:rsidRDefault="001F1E5A" w:rsidP="009E62B1">
      <w:pPr>
        <w:pStyle w:val="BodyText"/>
        <w:jc w:val="center"/>
        <w:rPr>
          <w:b/>
          <w:iCs/>
          <w:sz w:val="28"/>
          <w:szCs w:val="28"/>
        </w:rPr>
      </w:pPr>
    </w:p>
    <w:p w:rsidR="00D90378" w:rsidRDefault="00D90378" w:rsidP="009E62B1">
      <w:pPr>
        <w:pStyle w:val="BodyText"/>
        <w:jc w:val="center"/>
        <w:rPr>
          <w:b/>
          <w:iCs/>
          <w:sz w:val="28"/>
          <w:szCs w:val="28"/>
        </w:rPr>
      </w:pPr>
    </w:p>
    <w:p w:rsidR="00D90378" w:rsidRDefault="00D90378" w:rsidP="009E62B1">
      <w:pPr>
        <w:pStyle w:val="BodyText"/>
        <w:jc w:val="center"/>
        <w:rPr>
          <w:b/>
          <w:iCs/>
          <w:sz w:val="28"/>
          <w:szCs w:val="28"/>
        </w:rPr>
      </w:pPr>
    </w:p>
    <w:p w:rsidR="00D90378" w:rsidRDefault="00D90378" w:rsidP="009E62B1">
      <w:pPr>
        <w:pStyle w:val="BodyText"/>
        <w:jc w:val="center"/>
        <w:rPr>
          <w:b/>
          <w:iCs/>
          <w:sz w:val="28"/>
          <w:szCs w:val="28"/>
        </w:rPr>
      </w:pPr>
    </w:p>
    <w:p w:rsidR="00D90378" w:rsidRDefault="00D90378" w:rsidP="009E62B1">
      <w:pPr>
        <w:pStyle w:val="BodyText"/>
        <w:jc w:val="center"/>
        <w:rPr>
          <w:b/>
          <w:iCs/>
          <w:sz w:val="28"/>
          <w:szCs w:val="28"/>
        </w:rPr>
      </w:pPr>
    </w:p>
    <w:p w:rsidR="00D90378" w:rsidRDefault="00D90378" w:rsidP="009E62B1">
      <w:pPr>
        <w:pStyle w:val="BodyText"/>
        <w:jc w:val="center"/>
        <w:rPr>
          <w:b/>
          <w:iCs/>
          <w:sz w:val="28"/>
          <w:szCs w:val="28"/>
        </w:rPr>
      </w:pPr>
    </w:p>
    <w:p w:rsidR="00D90378" w:rsidRDefault="00D90378" w:rsidP="009E62B1">
      <w:pPr>
        <w:pStyle w:val="BodyText"/>
        <w:jc w:val="center"/>
        <w:rPr>
          <w:b/>
          <w:iCs/>
          <w:sz w:val="28"/>
          <w:szCs w:val="28"/>
        </w:rPr>
      </w:pPr>
    </w:p>
    <w:p w:rsidR="00D90378" w:rsidRDefault="00D90378" w:rsidP="009E62B1">
      <w:pPr>
        <w:pStyle w:val="BodyText"/>
        <w:jc w:val="center"/>
        <w:rPr>
          <w:b/>
          <w:iCs/>
          <w:sz w:val="28"/>
          <w:szCs w:val="28"/>
        </w:rPr>
      </w:pPr>
    </w:p>
    <w:p w:rsidR="00D90378" w:rsidRDefault="00D90378" w:rsidP="009E62B1">
      <w:pPr>
        <w:pStyle w:val="BodyText"/>
        <w:jc w:val="center"/>
        <w:rPr>
          <w:b/>
          <w:iCs/>
          <w:sz w:val="28"/>
          <w:szCs w:val="28"/>
        </w:rPr>
      </w:pPr>
    </w:p>
    <w:p w:rsidR="003C0F6F" w:rsidRDefault="003C0F6F" w:rsidP="009E62B1">
      <w:pPr>
        <w:pStyle w:val="BodyText"/>
        <w:jc w:val="center"/>
        <w:rPr>
          <w:b/>
          <w:iCs/>
          <w:sz w:val="28"/>
          <w:szCs w:val="28"/>
        </w:rPr>
      </w:pPr>
    </w:p>
    <w:p w:rsidR="00D90378" w:rsidRDefault="00D90378"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D22257" w:rsidRDefault="004E3C77" w:rsidP="00D22257">
      <w:pPr>
        <w:pStyle w:val="BodyText"/>
        <w:numPr>
          <w:ilvl w:val="0"/>
          <w:numId w:val="42"/>
        </w:numPr>
        <w:rPr>
          <w:sz w:val="32"/>
          <w:szCs w:val="32"/>
          <w:lang w:val="en-IN"/>
        </w:rPr>
      </w:pPr>
      <w:r w:rsidRPr="00D22257">
        <w:rPr>
          <w:sz w:val="32"/>
          <w:szCs w:val="32"/>
          <w:lang w:val="en-IN"/>
        </w:rPr>
        <w:t>Abou Heleika, M.M., Niesner, E., 2009. Configuration of the limestone aquifers in the central part of Egypt using electrical me</w:t>
      </w:r>
      <w:r w:rsidRPr="00D22257">
        <w:rPr>
          <w:sz w:val="32"/>
          <w:szCs w:val="32"/>
          <w:lang w:val="en-IN"/>
        </w:rPr>
        <w:t xml:space="preserve">asurements. Hydrogeol. J. 17 (2), 433– 446. </w:t>
      </w:r>
    </w:p>
    <w:p w:rsidR="00000000" w:rsidRPr="00D22257" w:rsidRDefault="004E3C77" w:rsidP="00D22257">
      <w:pPr>
        <w:pStyle w:val="BodyText"/>
        <w:numPr>
          <w:ilvl w:val="0"/>
          <w:numId w:val="42"/>
        </w:numPr>
        <w:rPr>
          <w:sz w:val="32"/>
          <w:szCs w:val="32"/>
          <w:lang w:val="en-IN"/>
        </w:rPr>
      </w:pPr>
      <w:r w:rsidRPr="00D22257">
        <w:rPr>
          <w:sz w:val="32"/>
          <w:szCs w:val="32"/>
          <w:lang w:val="en-IN"/>
        </w:rPr>
        <w:t>Artimo, A., Mäkinen, J., Berg, R.C., Abert, C.C., Salonen, V.-P., 2003. Threedimensional geological modeling and visualization of the Virttaankangas aquifer, southwestern Finland. Hydrogeol. J. 11 (3), 378–386.</w:t>
      </w:r>
      <w:r w:rsidRPr="00D22257">
        <w:rPr>
          <w:sz w:val="32"/>
          <w:szCs w:val="32"/>
          <w:lang w:val="en-IN"/>
        </w:rPr>
        <w:t xml:space="preserve"> </w:t>
      </w:r>
    </w:p>
    <w:p w:rsidR="00000000" w:rsidRPr="00D22257" w:rsidRDefault="004E3C77" w:rsidP="00D22257">
      <w:pPr>
        <w:pStyle w:val="BodyText"/>
        <w:numPr>
          <w:ilvl w:val="0"/>
          <w:numId w:val="42"/>
        </w:numPr>
        <w:rPr>
          <w:sz w:val="32"/>
          <w:szCs w:val="32"/>
          <w:lang w:val="en-IN"/>
        </w:rPr>
      </w:pPr>
      <w:r w:rsidRPr="00D22257">
        <w:rPr>
          <w:sz w:val="32"/>
          <w:szCs w:val="32"/>
          <w:lang w:val="en-IN"/>
        </w:rPr>
        <w:t xml:space="preserve">Baldwin, C., Tan, P.-L., White, I., Hoverman, S., Burry, K., 2012. How scientific knowledge informs community understanding of groundwater. J. Hydrol. 474 (2012), 74–83. </w:t>
      </w:r>
    </w:p>
    <w:p w:rsidR="00000000" w:rsidRPr="00D22257" w:rsidRDefault="004E3C77" w:rsidP="00D22257">
      <w:pPr>
        <w:pStyle w:val="BodyText"/>
        <w:numPr>
          <w:ilvl w:val="0"/>
          <w:numId w:val="42"/>
        </w:numPr>
        <w:rPr>
          <w:sz w:val="32"/>
          <w:szCs w:val="32"/>
          <w:lang w:val="en-IN"/>
        </w:rPr>
      </w:pPr>
      <w:r w:rsidRPr="00D22257">
        <w:rPr>
          <w:sz w:val="32"/>
          <w:szCs w:val="32"/>
          <w:lang w:val="en-IN"/>
        </w:rPr>
        <w:t>Barnett, B.G., Muller, J., 2008. Upper Condamine Groundwater Model Calibration Re</w:t>
      </w:r>
      <w:r w:rsidRPr="00D22257">
        <w:rPr>
          <w:sz w:val="32"/>
          <w:szCs w:val="32"/>
          <w:lang w:val="en-IN"/>
        </w:rPr>
        <w:t>port. A report to the Australian Government from the CSIRO Murray-Darling Basin Sustainable Yields Project. CSIRO, Australia, 51 pp.</w:t>
      </w:r>
    </w:p>
    <w:p w:rsidR="00000000" w:rsidRPr="00D22257" w:rsidRDefault="004E3C77" w:rsidP="00D22257">
      <w:pPr>
        <w:pStyle w:val="BodyText"/>
        <w:numPr>
          <w:ilvl w:val="0"/>
          <w:numId w:val="42"/>
        </w:numPr>
        <w:rPr>
          <w:sz w:val="32"/>
          <w:szCs w:val="32"/>
          <w:lang w:val="en-IN"/>
        </w:rPr>
      </w:pPr>
      <w:r w:rsidRPr="00D22257">
        <w:rPr>
          <w:sz w:val="32"/>
          <w:szCs w:val="32"/>
          <w:lang w:val="en-IN"/>
        </w:rPr>
        <w:t>Best, D.M., Lewis, R.R., 2010. GWVis: A tool for comparative ground-water data visualization. Comput. Geosci. 36 (11), 143</w:t>
      </w:r>
      <w:r w:rsidRPr="00D22257">
        <w:rPr>
          <w:sz w:val="32"/>
          <w:szCs w:val="32"/>
          <w:lang w:val="en-IN"/>
        </w:rPr>
        <w:t>6–1442.</w:t>
      </w:r>
      <w:r w:rsidRPr="00D22257">
        <w:rPr>
          <w:sz w:val="32"/>
          <w:szCs w:val="32"/>
        </w:rPr>
        <w:t xml:space="preserve"> </w:t>
      </w:r>
    </w:p>
    <w:p w:rsidR="00000000" w:rsidRPr="00D22257" w:rsidRDefault="004E3C77" w:rsidP="00D22257">
      <w:pPr>
        <w:pStyle w:val="BodyText"/>
        <w:numPr>
          <w:ilvl w:val="0"/>
          <w:numId w:val="42"/>
        </w:numPr>
        <w:rPr>
          <w:sz w:val="32"/>
          <w:szCs w:val="32"/>
          <w:lang w:val="en-IN"/>
        </w:rPr>
      </w:pPr>
      <w:r w:rsidRPr="00D22257">
        <w:rPr>
          <w:sz w:val="32"/>
          <w:szCs w:val="32"/>
          <w:lang w:val="en-IN"/>
        </w:rPr>
        <w:t>Bleakley, A., and Durick, A. 2000. Central Lockyer Groundwater Model. Queensland Department of Natural Resources and Mines. Brisbane.</w:t>
      </w:r>
    </w:p>
    <w:p w:rsidR="00000000" w:rsidRPr="00D22257" w:rsidRDefault="004E3C77" w:rsidP="00D22257">
      <w:pPr>
        <w:pStyle w:val="BodyText"/>
        <w:numPr>
          <w:ilvl w:val="0"/>
          <w:numId w:val="42"/>
        </w:numPr>
        <w:rPr>
          <w:sz w:val="32"/>
          <w:szCs w:val="32"/>
          <w:lang w:val="en-IN"/>
        </w:rPr>
      </w:pPr>
      <w:r w:rsidRPr="00D22257">
        <w:rPr>
          <w:sz w:val="32"/>
          <w:szCs w:val="32"/>
          <w:lang w:val="en-IN"/>
        </w:rPr>
        <w:t>Cowan, E.J., Beatson, R.K., Fright, W.R., McLennan, T.J., Mitchell, T.J., 2002. Rapid geological modeling. Appl</w:t>
      </w:r>
      <w:r w:rsidRPr="00D22257">
        <w:rPr>
          <w:sz w:val="32"/>
          <w:szCs w:val="32"/>
          <w:lang w:val="en-IN"/>
        </w:rPr>
        <w:t xml:space="preserve">ied </w:t>
      </w:r>
      <w:r w:rsidRPr="00D22257">
        <w:rPr>
          <w:sz w:val="32"/>
          <w:szCs w:val="32"/>
          <w:lang w:val="en-IN"/>
        </w:rPr>
        <w:lastRenderedPageBreak/>
        <w:t>Structural Geology for Mineral Exploration and Mining, International Symposium, 23–25 September 2002, Kalgoorlie.</w:t>
      </w:r>
    </w:p>
    <w:p w:rsidR="00000000" w:rsidRPr="00D22257" w:rsidRDefault="004E3C77" w:rsidP="00D22257">
      <w:pPr>
        <w:pStyle w:val="BodyText"/>
        <w:numPr>
          <w:ilvl w:val="0"/>
          <w:numId w:val="42"/>
        </w:numPr>
        <w:rPr>
          <w:sz w:val="32"/>
          <w:szCs w:val="32"/>
          <w:lang w:val="en-IN"/>
        </w:rPr>
      </w:pPr>
      <w:r w:rsidRPr="00D22257">
        <w:rPr>
          <w:sz w:val="32"/>
          <w:szCs w:val="32"/>
          <w:lang w:val="en-IN"/>
        </w:rPr>
        <w:t>Dhont, D., Luxey, P., Chorowicz, J., 2005. 3-D modeling of geological maps from surface data. AAPG Bull. 89 (11), 1465–1474.</w:t>
      </w:r>
    </w:p>
    <w:p w:rsidR="00000000" w:rsidRPr="00D22257" w:rsidRDefault="004E3C77" w:rsidP="00D22257">
      <w:pPr>
        <w:pStyle w:val="BodyText"/>
        <w:numPr>
          <w:ilvl w:val="0"/>
          <w:numId w:val="42"/>
        </w:numPr>
        <w:rPr>
          <w:sz w:val="32"/>
          <w:szCs w:val="32"/>
          <w:lang w:val="en-IN"/>
        </w:rPr>
      </w:pPr>
      <w:r w:rsidRPr="00D22257">
        <w:rPr>
          <w:sz w:val="32"/>
          <w:szCs w:val="32"/>
          <w:lang w:val="en-IN"/>
        </w:rPr>
        <w:t>Exon, N.F.,</w:t>
      </w:r>
      <w:r w:rsidRPr="00D22257">
        <w:rPr>
          <w:sz w:val="32"/>
          <w:szCs w:val="32"/>
          <w:lang w:val="en-IN"/>
        </w:rPr>
        <w:t xml:space="preserve"> 1976. Geology of the Surat Basin in Queensland. Bureau of Mineral Resources, Australia, Bulletin 166.</w:t>
      </w:r>
    </w:p>
    <w:p w:rsidR="00000000" w:rsidRPr="00D22257" w:rsidRDefault="004E3C77" w:rsidP="00D22257">
      <w:pPr>
        <w:pStyle w:val="BodyText"/>
        <w:numPr>
          <w:ilvl w:val="0"/>
          <w:numId w:val="42"/>
        </w:numPr>
        <w:rPr>
          <w:sz w:val="32"/>
          <w:szCs w:val="32"/>
          <w:lang w:val="en-IN"/>
        </w:rPr>
      </w:pPr>
      <w:r w:rsidRPr="00D22257">
        <w:rPr>
          <w:sz w:val="32"/>
          <w:szCs w:val="32"/>
          <w:lang w:val="en-IN"/>
        </w:rPr>
        <w:t>James, A., Cox, M., Hawke, A., Young, J., 2010a. A 3D visualisation model applied to a thick, multi-layered alluvial groundwater system under stress: Co</w:t>
      </w:r>
      <w:r w:rsidRPr="00D22257">
        <w:rPr>
          <w:sz w:val="32"/>
          <w:szCs w:val="32"/>
          <w:lang w:val="en-IN"/>
        </w:rPr>
        <w:t xml:space="preserve">ndamine Valley, Qld. Groundwater 2010, Canberra, 31 October–4 November, 2010, 1 pp.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3C77" w:rsidRDefault="004E3C77" w:rsidP="003654DF">
      <w:pPr>
        <w:spacing w:after="0" w:line="240" w:lineRule="auto"/>
      </w:pPr>
      <w:r>
        <w:separator/>
      </w:r>
    </w:p>
  </w:endnote>
  <w:endnote w:type="continuationSeparator" w:id="1">
    <w:p w:rsidR="004E3C77" w:rsidRDefault="004E3C7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3C77" w:rsidRDefault="004E3C77" w:rsidP="003654DF">
      <w:pPr>
        <w:spacing w:after="0" w:line="240" w:lineRule="auto"/>
      </w:pPr>
      <w:r>
        <w:separator/>
      </w:r>
    </w:p>
  </w:footnote>
  <w:footnote w:type="continuationSeparator" w:id="1">
    <w:p w:rsidR="004E3C77" w:rsidRDefault="004E3C7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8596E">
        <w:pPr>
          <w:pStyle w:val="Header"/>
          <w:jc w:val="right"/>
        </w:pPr>
        <w:fldSimple w:instr=" PAGE   \* MERGEFORMAT ">
          <w:r w:rsidR="00B24540">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F232ED"/>
    <w:multiLevelType w:val="hybridMultilevel"/>
    <w:tmpl w:val="EF80A5FA"/>
    <w:lvl w:ilvl="0" w:tplc="1B061FFE">
      <w:start w:val="1"/>
      <w:numFmt w:val="bullet"/>
      <w:lvlText w:val=""/>
      <w:lvlJc w:val="left"/>
      <w:pPr>
        <w:tabs>
          <w:tab w:val="num" w:pos="720"/>
        </w:tabs>
        <w:ind w:left="720" w:hanging="360"/>
      </w:pPr>
      <w:rPr>
        <w:rFonts w:ascii="Wingdings 2" w:hAnsi="Wingdings 2" w:hint="default"/>
      </w:rPr>
    </w:lvl>
    <w:lvl w:ilvl="1" w:tplc="A178E0F8" w:tentative="1">
      <w:start w:val="1"/>
      <w:numFmt w:val="bullet"/>
      <w:lvlText w:val=""/>
      <w:lvlJc w:val="left"/>
      <w:pPr>
        <w:tabs>
          <w:tab w:val="num" w:pos="1440"/>
        </w:tabs>
        <w:ind w:left="1440" w:hanging="360"/>
      </w:pPr>
      <w:rPr>
        <w:rFonts w:ascii="Wingdings 2" w:hAnsi="Wingdings 2" w:hint="default"/>
      </w:rPr>
    </w:lvl>
    <w:lvl w:ilvl="2" w:tplc="343672C8" w:tentative="1">
      <w:start w:val="1"/>
      <w:numFmt w:val="bullet"/>
      <w:lvlText w:val=""/>
      <w:lvlJc w:val="left"/>
      <w:pPr>
        <w:tabs>
          <w:tab w:val="num" w:pos="2160"/>
        </w:tabs>
        <w:ind w:left="2160" w:hanging="360"/>
      </w:pPr>
      <w:rPr>
        <w:rFonts w:ascii="Wingdings 2" w:hAnsi="Wingdings 2" w:hint="default"/>
      </w:rPr>
    </w:lvl>
    <w:lvl w:ilvl="3" w:tplc="DB6C5616" w:tentative="1">
      <w:start w:val="1"/>
      <w:numFmt w:val="bullet"/>
      <w:lvlText w:val=""/>
      <w:lvlJc w:val="left"/>
      <w:pPr>
        <w:tabs>
          <w:tab w:val="num" w:pos="2880"/>
        </w:tabs>
        <w:ind w:left="2880" w:hanging="360"/>
      </w:pPr>
      <w:rPr>
        <w:rFonts w:ascii="Wingdings 2" w:hAnsi="Wingdings 2" w:hint="default"/>
      </w:rPr>
    </w:lvl>
    <w:lvl w:ilvl="4" w:tplc="DC8A357C" w:tentative="1">
      <w:start w:val="1"/>
      <w:numFmt w:val="bullet"/>
      <w:lvlText w:val=""/>
      <w:lvlJc w:val="left"/>
      <w:pPr>
        <w:tabs>
          <w:tab w:val="num" w:pos="3600"/>
        </w:tabs>
        <w:ind w:left="3600" w:hanging="360"/>
      </w:pPr>
      <w:rPr>
        <w:rFonts w:ascii="Wingdings 2" w:hAnsi="Wingdings 2" w:hint="default"/>
      </w:rPr>
    </w:lvl>
    <w:lvl w:ilvl="5" w:tplc="3172653C" w:tentative="1">
      <w:start w:val="1"/>
      <w:numFmt w:val="bullet"/>
      <w:lvlText w:val=""/>
      <w:lvlJc w:val="left"/>
      <w:pPr>
        <w:tabs>
          <w:tab w:val="num" w:pos="4320"/>
        </w:tabs>
        <w:ind w:left="4320" w:hanging="360"/>
      </w:pPr>
      <w:rPr>
        <w:rFonts w:ascii="Wingdings 2" w:hAnsi="Wingdings 2" w:hint="default"/>
      </w:rPr>
    </w:lvl>
    <w:lvl w:ilvl="6" w:tplc="307E9C12" w:tentative="1">
      <w:start w:val="1"/>
      <w:numFmt w:val="bullet"/>
      <w:lvlText w:val=""/>
      <w:lvlJc w:val="left"/>
      <w:pPr>
        <w:tabs>
          <w:tab w:val="num" w:pos="5040"/>
        </w:tabs>
        <w:ind w:left="5040" w:hanging="360"/>
      </w:pPr>
      <w:rPr>
        <w:rFonts w:ascii="Wingdings 2" w:hAnsi="Wingdings 2" w:hint="default"/>
      </w:rPr>
    </w:lvl>
    <w:lvl w:ilvl="7" w:tplc="EEFE1CD6" w:tentative="1">
      <w:start w:val="1"/>
      <w:numFmt w:val="bullet"/>
      <w:lvlText w:val=""/>
      <w:lvlJc w:val="left"/>
      <w:pPr>
        <w:tabs>
          <w:tab w:val="num" w:pos="5760"/>
        </w:tabs>
        <w:ind w:left="5760" w:hanging="360"/>
      </w:pPr>
      <w:rPr>
        <w:rFonts w:ascii="Wingdings 2" w:hAnsi="Wingdings 2" w:hint="default"/>
      </w:rPr>
    </w:lvl>
    <w:lvl w:ilvl="8" w:tplc="B1C0BA82"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8242AA"/>
    <w:multiLevelType w:val="hybridMultilevel"/>
    <w:tmpl w:val="53B232D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B377F58"/>
    <w:multiLevelType w:val="hybridMultilevel"/>
    <w:tmpl w:val="35DC8218"/>
    <w:lvl w:ilvl="0" w:tplc="457ABCF8">
      <w:start w:val="1"/>
      <w:numFmt w:val="bullet"/>
      <w:lvlText w:val=""/>
      <w:lvlJc w:val="left"/>
      <w:pPr>
        <w:tabs>
          <w:tab w:val="num" w:pos="720"/>
        </w:tabs>
        <w:ind w:left="720" w:hanging="360"/>
      </w:pPr>
      <w:rPr>
        <w:rFonts w:ascii="Wingdings 2" w:hAnsi="Wingdings 2" w:hint="default"/>
      </w:rPr>
    </w:lvl>
    <w:lvl w:ilvl="1" w:tplc="FF7842EC" w:tentative="1">
      <w:start w:val="1"/>
      <w:numFmt w:val="bullet"/>
      <w:lvlText w:val=""/>
      <w:lvlJc w:val="left"/>
      <w:pPr>
        <w:tabs>
          <w:tab w:val="num" w:pos="1440"/>
        </w:tabs>
        <w:ind w:left="1440" w:hanging="360"/>
      </w:pPr>
      <w:rPr>
        <w:rFonts w:ascii="Wingdings 2" w:hAnsi="Wingdings 2" w:hint="default"/>
      </w:rPr>
    </w:lvl>
    <w:lvl w:ilvl="2" w:tplc="BDB695DA" w:tentative="1">
      <w:start w:val="1"/>
      <w:numFmt w:val="bullet"/>
      <w:lvlText w:val=""/>
      <w:lvlJc w:val="left"/>
      <w:pPr>
        <w:tabs>
          <w:tab w:val="num" w:pos="2160"/>
        </w:tabs>
        <w:ind w:left="2160" w:hanging="360"/>
      </w:pPr>
      <w:rPr>
        <w:rFonts w:ascii="Wingdings 2" w:hAnsi="Wingdings 2" w:hint="default"/>
      </w:rPr>
    </w:lvl>
    <w:lvl w:ilvl="3" w:tplc="36722DD0" w:tentative="1">
      <w:start w:val="1"/>
      <w:numFmt w:val="bullet"/>
      <w:lvlText w:val=""/>
      <w:lvlJc w:val="left"/>
      <w:pPr>
        <w:tabs>
          <w:tab w:val="num" w:pos="2880"/>
        </w:tabs>
        <w:ind w:left="2880" w:hanging="360"/>
      </w:pPr>
      <w:rPr>
        <w:rFonts w:ascii="Wingdings 2" w:hAnsi="Wingdings 2" w:hint="default"/>
      </w:rPr>
    </w:lvl>
    <w:lvl w:ilvl="4" w:tplc="D24414FC" w:tentative="1">
      <w:start w:val="1"/>
      <w:numFmt w:val="bullet"/>
      <w:lvlText w:val=""/>
      <w:lvlJc w:val="left"/>
      <w:pPr>
        <w:tabs>
          <w:tab w:val="num" w:pos="3600"/>
        </w:tabs>
        <w:ind w:left="3600" w:hanging="360"/>
      </w:pPr>
      <w:rPr>
        <w:rFonts w:ascii="Wingdings 2" w:hAnsi="Wingdings 2" w:hint="default"/>
      </w:rPr>
    </w:lvl>
    <w:lvl w:ilvl="5" w:tplc="476C5CD4" w:tentative="1">
      <w:start w:val="1"/>
      <w:numFmt w:val="bullet"/>
      <w:lvlText w:val=""/>
      <w:lvlJc w:val="left"/>
      <w:pPr>
        <w:tabs>
          <w:tab w:val="num" w:pos="4320"/>
        </w:tabs>
        <w:ind w:left="4320" w:hanging="360"/>
      </w:pPr>
      <w:rPr>
        <w:rFonts w:ascii="Wingdings 2" w:hAnsi="Wingdings 2" w:hint="default"/>
      </w:rPr>
    </w:lvl>
    <w:lvl w:ilvl="6" w:tplc="BEB4A694" w:tentative="1">
      <w:start w:val="1"/>
      <w:numFmt w:val="bullet"/>
      <w:lvlText w:val=""/>
      <w:lvlJc w:val="left"/>
      <w:pPr>
        <w:tabs>
          <w:tab w:val="num" w:pos="5040"/>
        </w:tabs>
        <w:ind w:left="5040" w:hanging="360"/>
      </w:pPr>
      <w:rPr>
        <w:rFonts w:ascii="Wingdings 2" w:hAnsi="Wingdings 2" w:hint="default"/>
      </w:rPr>
    </w:lvl>
    <w:lvl w:ilvl="7" w:tplc="1FFC615A" w:tentative="1">
      <w:start w:val="1"/>
      <w:numFmt w:val="bullet"/>
      <w:lvlText w:val=""/>
      <w:lvlJc w:val="left"/>
      <w:pPr>
        <w:tabs>
          <w:tab w:val="num" w:pos="5760"/>
        </w:tabs>
        <w:ind w:left="5760" w:hanging="360"/>
      </w:pPr>
      <w:rPr>
        <w:rFonts w:ascii="Wingdings 2" w:hAnsi="Wingdings 2" w:hint="default"/>
      </w:rPr>
    </w:lvl>
    <w:lvl w:ilvl="8" w:tplc="46BAC186"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31B36AC"/>
    <w:multiLevelType w:val="hybridMultilevel"/>
    <w:tmpl w:val="50D0ACF8"/>
    <w:lvl w:ilvl="0" w:tplc="37763886">
      <w:start w:val="1"/>
      <w:numFmt w:val="bullet"/>
      <w:lvlText w:val=""/>
      <w:lvlJc w:val="left"/>
      <w:pPr>
        <w:tabs>
          <w:tab w:val="num" w:pos="720"/>
        </w:tabs>
        <w:ind w:left="720" w:hanging="360"/>
      </w:pPr>
      <w:rPr>
        <w:rFonts w:ascii="Wingdings 2" w:hAnsi="Wingdings 2" w:hint="default"/>
      </w:rPr>
    </w:lvl>
    <w:lvl w:ilvl="1" w:tplc="B94AE798" w:tentative="1">
      <w:start w:val="1"/>
      <w:numFmt w:val="bullet"/>
      <w:lvlText w:val=""/>
      <w:lvlJc w:val="left"/>
      <w:pPr>
        <w:tabs>
          <w:tab w:val="num" w:pos="1440"/>
        </w:tabs>
        <w:ind w:left="1440" w:hanging="360"/>
      </w:pPr>
      <w:rPr>
        <w:rFonts w:ascii="Wingdings 2" w:hAnsi="Wingdings 2" w:hint="default"/>
      </w:rPr>
    </w:lvl>
    <w:lvl w:ilvl="2" w:tplc="47084BF4" w:tentative="1">
      <w:start w:val="1"/>
      <w:numFmt w:val="bullet"/>
      <w:lvlText w:val=""/>
      <w:lvlJc w:val="left"/>
      <w:pPr>
        <w:tabs>
          <w:tab w:val="num" w:pos="2160"/>
        </w:tabs>
        <w:ind w:left="2160" w:hanging="360"/>
      </w:pPr>
      <w:rPr>
        <w:rFonts w:ascii="Wingdings 2" w:hAnsi="Wingdings 2" w:hint="default"/>
      </w:rPr>
    </w:lvl>
    <w:lvl w:ilvl="3" w:tplc="58D6A4F2" w:tentative="1">
      <w:start w:val="1"/>
      <w:numFmt w:val="bullet"/>
      <w:lvlText w:val=""/>
      <w:lvlJc w:val="left"/>
      <w:pPr>
        <w:tabs>
          <w:tab w:val="num" w:pos="2880"/>
        </w:tabs>
        <w:ind w:left="2880" w:hanging="360"/>
      </w:pPr>
      <w:rPr>
        <w:rFonts w:ascii="Wingdings 2" w:hAnsi="Wingdings 2" w:hint="default"/>
      </w:rPr>
    </w:lvl>
    <w:lvl w:ilvl="4" w:tplc="5CD2791C" w:tentative="1">
      <w:start w:val="1"/>
      <w:numFmt w:val="bullet"/>
      <w:lvlText w:val=""/>
      <w:lvlJc w:val="left"/>
      <w:pPr>
        <w:tabs>
          <w:tab w:val="num" w:pos="3600"/>
        </w:tabs>
        <w:ind w:left="3600" w:hanging="360"/>
      </w:pPr>
      <w:rPr>
        <w:rFonts w:ascii="Wingdings 2" w:hAnsi="Wingdings 2" w:hint="default"/>
      </w:rPr>
    </w:lvl>
    <w:lvl w:ilvl="5" w:tplc="830A9CFA" w:tentative="1">
      <w:start w:val="1"/>
      <w:numFmt w:val="bullet"/>
      <w:lvlText w:val=""/>
      <w:lvlJc w:val="left"/>
      <w:pPr>
        <w:tabs>
          <w:tab w:val="num" w:pos="4320"/>
        </w:tabs>
        <w:ind w:left="4320" w:hanging="360"/>
      </w:pPr>
      <w:rPr>
        <w:rFonts w:ascii="Wingdings 2" w:hAnsi="Wingdings 2" w:hint="default"/>
      </w:rPr>
    </w:lvl>
    <w:lvl w:ilvl="6" w:tplc="B69E3F6C" w:tentative="1">
      <w:start w:val="1"/>
      <w:numFmt w:val="bullet"/>
      <w:lvlText w:val=""/>
      <w:lvlJc w:val="left"/>
      <w:pPr>
        <w:tabs>
          <w:tab w:val="num" w:pos="5040"/>
        </w:tabs>
        <w:ind w:left="5040" w:hanging="360"/>
      </w:pPr>
      <w:rPr>
        <w:rFonts w:ascii="Wingdings 2" w:hAnsi="Wingdings 2" w:hint="default"/>
      </w:rPr>
    </w:lvl>
    <w:lvl w:ilvl="7" w:tplc="93BE83A4" w:tentative="1">
      <w:start w:val="1"/>
      <w:numFmt w:val="bullet"/>
      <w:lvlText w:val=""/>
      <w:lvlJc w:val="left"/>
      <w:pPr>
        <w:tabs>
          <w:tab w:val="num" w:pos="5760"/>
        </w:tabs>
        <w:ind w:left="5760" w:hanging="360"/>
      </w:pPr>
      <w:rPr>
        <w:rFonts w:ascii="Wingdings 2" w:hAnsi="Wingdings 2" w:hint="default"/>
      </w:rPr>
    </w:lvl>
    <w:lvl w:ilvl="8" w:tplc="BE123C18"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1523C"/>
    <w:multiLevelType w:val="hybridMultilevel"/>
    <w:tmpl w:val="1DE2B4CC"/>
    <w:lvl w:ilvl="0" w:tplc="72F0BEDE">
      <w:start w:val="1"/>
      <w:numFmt w:val="bullet"/>
      <w:lvlText w:val=""/>
      <w:lvlJc w:val="left"/>
      <w:pPr>
        <w:tabs>
          <w:tab w:val="num" w:pos="720"/>
        </w:tabs>
        <w:ind w:left="720" w:hanging="360"/>
      </w:pPr>
      <w:rPr>
        <w:rFonts w:ascii="Wingdings 2" w:hAnsi="Wingdings 2" w:hint="default"/>
      </w:rPr>
    </w:lvl>
    <w:lvl w:ilvl="1" w:tplc="C6B4624C" w:tentative="1">
      <w:start w:val="1"/>
      <w:numFmt w:val="bullet"/>
      <w:lvlText w:val=""/>
      <w:lvlJc w:val="left"/>
      <w:pPr>
        <w:tabs>
          <w:tab w:val="num" w:pos="1440"/>
        </w:tabs>
        <w:ind w:left="1440" w:hanging="360"/>
      </w:pPr>
      <w:rPr>
        <w:rFonts w:ascii="Wingdings 2" w:hAnsi="Wingdings 2" w:hint="default"/>
      </w:rPr>
    </w:lvl>
    <w:lvl w:ilvl="2" w:tplc="771010FC" w:tentative="1">
      <w:start w:val="1"/>
      <w:numFmt w:val="bullet"/>
      <w:lvlText w:val=""/>
      <w:lvlJc w:val="left"/>
      <w:pPr>
        <w:tabs>
          <w:tab w:val="num" w:pos="2160"/>
        </w:tabs>
        <w:ind w:left="2160" w:hanging="360"/>
      </w:pPr>
      <w:rPr>
        <w:rFonts w:ascii="Wingdings 2" w:hAnsi="Wingdings 2" w:hint="default"/>
      </w:rPr>
    </w:lvl>
    <w:lvl w:ilvl="3" w:tplc="F9A8481C" w:tentative="1">
      <w:start w:val="1"/>
      <w:numFmt w:val="bullet"/>
      <w:lvlText w:val=""/>
      <w:lvlJc w:val="left"/>
      <w:pPr>
        <w:tabs>
          <w:tab w:val="num" w:pos="2880"/>
        </w:tabs>
        <w:ind w:left="2880" w:hanging="360"/>
      </w:pPr>
      <w:rPr>
        <w:rFonts w:ascii="Wingdings 2" w:hAnsi="Wingdings 2" w:hint="default"/>
      </w:rPr>
    </w:lvl>
    <w:lvl w:ilvl="4" w:tplc="C816A9F4" w:tentative="1">
      <w:start w:val="1"/>
      <w:numFmt w:val="bullet"/>
      <w:lvlText w:val=""/>
      <w:lvlJc w:val="left"/>
      <w:pPr>
        <w:tabs>
          <w:tab w:val="num" w:pos="3600"/>
        </w:tabs>
        <w:ind w:left="3600" w:hanging="360"/>
      </w:pPr>
      <w:rPr>
        <w:rFonts w:ascii="Wingdings 2" w:hAnsi="Wingdings 2" w:hint="default"/>
      </w:rPr>
    </w:lvl>
    <w:lvl w:ilvl="5" w:tplc="637036A8" w:tentative="1">
      <w:start w:val="1"/>
      <w:numFmt w:val="bullet"/>
      <w:lvlText w:val=""/>
      <w:lvlJc w:val="left"/>
      <w:pPr>
        <w:tabs>
          <w:tab w:val="num" w:pos="4320"/>
        </w:tabs>
        <w:ind w:left="4320" w:hanging="360"/>
      </w:pPr>
      <w:rPr>
        <w:rFonts w:ascii="Wingdings 2" w:hAnsi="Wingdings 2" w:hint="default"/>
      </w:rPr>
    </w:lvl>
    <w:lvl w:ilvl="6" w:tplc="3D323922" w:tentative="1">
      <w:start w:val="1"/>
      <w:numFmt w:val="bullet"/>
      <w:lvlText w:val=""/>
      <w:lvlJc w:val="left"/>
      <w:pPr>
        <w:tabs>
          <w:tab w:val="num" w:pos="5040"/>
        </w:tabs>
        <w:ind w:left="5040" w:hanging="360"/>
      </w:pPr>
      <w:rPr>
        <w:rFonts w:ascii="Wingdings 2" w:hAnsi="Wingdings 2" w:hint="default"/>
      </w:rPr>
    </w:lvl>
    <w:lvl w:ilvl="7" w:tplc="57663694" w:tentative="1">
      <w:start w:val="1"/>
      <w:numFmt w:val="bullet"/>
      <w:lvlText w:val=""/>
      <w:lvlJc w:val="left"/>
      <w:pPr>
        <w:tabs>
          <w:tab w:val="num" w:pos="5760"/>
        </w:tabs>
        <w:ind w:left="5760" w:hanging="360"/>
      </w:pPr>
      <w:rPr>
        <w:rFonts w:ascii="Wingdings 2" w:hAnsi="Wingdings 2" w:hint="default"/>
      </w:rPr>
    </w:lvl>
    <w:lvl w:ilvl="8" w:tplc="4732DFB6" w:tentative="1">
      <w:start w:val="1"/>
      <w:numFmt w:val="bullet"/>
      <w:lvlText w:val=""/>
      <w:lvlJc w:val="left"/>
      <w:pPr>
        <w:tabs>
          <w:tab w:val="num" w:pos="6480"/>
        </w:tabs>
        <w:ind w:left="6480" w:hanging="360"/>
      </w:pPr>
      <w:rPr>
        <w:rFonts w:ascii="Wingdings 2" w:hAnsi="Wingdings 2"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B356FF"/>
    <w:multiLevelType w:val="hybridMultilevel"/>
    <w:tmpl w:val="88AC96C6"/>
    <w:lvl w:ilvl="0" w:tplc="AE324536">
      <w:start w:val="1"/>
      <w:numFmt w:val="bullet"/>
      <w:lvlText w:val=""/>
      <w:lvlJc w:val="left"/>
      <w:pPr>
        <w:tabs>
          <w:tab w:val="num" w:pos="720"/>
        </w:tabs>
        <w:ind w:left="720" w:hanging="360"/>
      </w:pPr>
      <w:rPr>
        <w:rFonts w:ascii="Wingdings 2" w:hAnsi="Wingdings 2" w:hint="default"/>
      </w:rPr>
    </w:lvl>
    <w:lvl w:ilvl="1" w:tplc="BD5E4596" w:tentative="1">
      <w:start w:val="1"/>
      <w:numFmt w:val="bullet"/>
      <w:lvlText w:val=""/>
      <w:lvlJc w:val="left"/>
      <w:pPr>
        <w:tabs>
          <w:tab w:val="num" w:pos="1440"/>
        </w:tabs>
        <w:ind w:left="1440" w:hanging="360"/>
      </w:pPr>
      <w:rPr>
        <w:rFonts w:ascii="Wingdings 2" w:hAnsi="Wingdings 2" w:hint="default"/>
      </w:rPr>
    </w:lvl>
    <w:lvl w:ilvl="2" w:tplc="DE283592" w:tentative="1">
      <w:start w:val="1"/>
      <w:numFmt w:val="bullet"/>
      <w:lvlText w:val=""/>
      <w:lvlJc w:val="left"/>
      <w:pPr>
        <w:tabs>
          <w:tab w:val="num" w:pos="2160"/>
        </w:tabs>
        <w:ind w:left="2160" w:hanging="360"/>
      </w:pPr>
      <w:rPr>
        <w:rFonts w:ascii="Wingdings 2" w:hAnsi="Wingdings 2" w:hint="default"/>
      </w:rPr>
    </w:lvl>
    <w:lvl w:ilvl="3" w:tplc="AADA1992" w:tentative="1">
      <w:start w:val="1"/>
      <w:numFmt w:val="bullet"/>
      <w:lvlText w:val=""/>
      <w:lvlJc w:val="left"/>
      <w:pPr>
        <w:tabs>
          <w:tab w:val="num" w:pos="2880"/>
        </w:tabs>
        <w:ind w:left="2880" w:hanging="360"/>
      </w:pPr>
      <w:rPr>
        <w:rFonts w:ascii="Wingdings 2" w:hAnsi="Wingdings 2" w:hint="default"/>
      </w:rPr>
    </w:lvl>
    <w:lvl w:ilvl="4" w:tplc="4636D35C" w:tentative="1">
      <w:start w:val="1"/>
      <w:numFmt w:val="bullet"/>
      <w:lvlText w:val=""/>
      <w:lvlJc w:val="left"/>
      <w:pPr>
        <w:tabs>
          <w:tab w:val="num" w:pos="3600"/>
        </w:tabs>
        <w:ind w:left="3600" w:hanging="360"/>
      </w:pPr>
      <w:rPr>
        <w:rFonts w:ascii="Wingdings 2" w:hAnsi="Wingdings 2" w:hint="default"/>
      </w:rPr>
    </w:lvl>
    <w:lvl w:ilvl="5" w:tplc="27C2AAB8" w:tentative="1">
      <w:start w:val="1"/>
      <w:numFmt w:val="bullet"/>
      <w:lvlText w:val=""/>
      <w:lvlJc w:val="left"/>
      <w:pPr>
        <w:tabs>
          <w:tab w:val="num" w:pos="4320"/>
        </w:tabs>
        <w:ind w:left="4320" w:hanging="360"/>
      </w:pPr>
      <w:rPr>
        <w:rFonts w:ascii="Wingdings 2" w:hAnsi="Wingdings 2" w:hint="default"/>
      </w:rPr>
    </w:lvl>
    <w:lvl w:ilvl="6" w:tplc="D46CDD2A" w:tentative="1">
      <w:start w:val="1"/>
      <w:numFmt w:val="bullet"/>
      <w:lvlText w:val=""/>
      <w:lvlJc w:val="left"/>
      <w:pPr>
        <w:tabs>
          <w:tab w:val="num" w:pos="5040"/>
        </w:tabs>
        <w:ind w:left="5040" w:hanging="360"/>
      </w:pPr>
      <w:rPr>
        <w:rFonts w:ascii="Wingdings 2" w:hAnsi="Wingdings 2" w:hint="default"/>
      </w:rPr>
    </w:lvl>
    <w:lvl w:ilvl="7" w:tplc="523E6384" w:tentative="1">
      <w:start w:val="1"/>
      <w:numFmt w:val="bullet"/>
      <w:lvlText w:val=""/>
      <w:lvlJc w:val="left"/>
      <w:pPr>
        <w:tabs>
          <w:tab w:val="num" w:pos="5760"/>
        </w:tabs>
        <w:ind w:left="5760" w:hanging="360"/>
      </w:pPr>
      <w:rPr>
        <w:rFonts w:ascii="Wingdings 2" w:hAnsi="Wingdings 2" w:hint="default"/>
      </w:rPr>
    </w:lvl>
    <w:lvl w:ilvl="8" w:tplc="5A0E666C"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4"/>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5"/>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9"/>
  </w:num>
  <w:num w:numId="38">
    <w:abstractNumId w:val="38"/>
  </w:num>
  <w:num w:numId="39">
    <w:abstractNumId w:val="17"/>
  </w:num>
  <w:num w:numId="40">
    <w:abstractNumId w:val="13"/>
  </w:num>
  <w:num w:numId="41">
    <w:abstractNumId w:val="23"/>
  </w:num>
  <w:num w:numId="42">
    <w:abstractNumId w:val="24"/>
  </w:num>
  <w:num w:numId="43">
    <w:abstractNumId w:val="46"/>
  </w:num>
  <w:num w:numId="44">
    <w:abstractNumId w:val="37"/>
  </w:num>
  <w:num w:numId="45">
    <w:abstractNumId w:val="6"/>
  </w:num>
  <w:num w:numId="46">
    <w:abstractNumId w:val="15"/>
  </w:num>
  <w:num w:numId="47">
    <w:abstractNumId w:val="2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2A0F"/>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4AC5"/>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0F5B"/>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66"/>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C77"/>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96E"/>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B32"/>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1EDF"/>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5748"/>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4540"/>
    <w:rsid w:val="00B25075"/>
    <w:rsid w:val="00B252D9"/>
    <w:rsid w:val="00B2652D"/>
    <w:rsid w:val="00B309B7"/>
    <w:rsid w:val="00B31569"/>
    <w:rsid w:val="00B32CAC"/>
    <w:rsid w:val="00B3510C"/>
    <w:rsid w:val="00B351AE"/>
    <w:rsid w:val="00B372BB"/>
    <w:rsid w:val="00B3784F"/>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5FDF"/>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257"/>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378"/>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8884141">
      <w:bodyDiv w:val="1"/>
      <w:marLeft w:val="0"/>
      <w:marRight w:val="0"/>
      <w:marTop w:val="0"/>
      <w:marBottom w:val="0"/>
      <w:divBdr>
        <w:top w:val="none" w:sz="0" w:space="0" w:color="auto"/>
        <w:left w:val="none" w:sz="0" w:space="0" w:color="auto"/>
        <w:bottom w:val="none" w:sz="0" w:space="0" w:color="auto"/>
        <w:right w:val="none" w:sz="0" w:space="0" w:color="auto"/>
      </w:divBdr>
      <w:divsChild>
        <w:div w:id="2007173248">
          <w:marLeft w:val="576"/>
          <w:marRight w:val="0"/>
          <w:marTop w:val="120"/>
          <w:marBottom w:val="0"/>
          <w:divBdr>
            <w:top w:val="none" w:sz="0" w:space="0" w:color="auto"/>
            <w:left w:val="none" w:sz="0" w:space="0" w:color="auto"/>
            <w:bottom w:val="none" w:sz="0" w:space="0" w:color="auto"/>
            <w:right w:val="none" w:sz="0" w:space="0" w:color="auto"/>
          </w:divBdr>
        </w:div>
        <w:div w:id="700940107">
          <w:marLeft w:val="576"/>
          <w:marRight w:val="0"/>
          <w:marTop w:val="120"/>
          <w:marBottom w:val="0"/>
          <w:divBdr>
            <w:top w:val="none" w:sz="0" w:space="0" w:color="auto"/>
            <w:left w:val="none" w:sz="0" w:space="0" w:color="auto"/>
            <w:bottom w:val="none" w:sz="0" w:space="0" w:color="auto"/>
            <w:right w:val="none" w:sz="0" w:space="0" w:color="auto"/>
          </w:divBdr>
        </w:div>
        <w:div w:id="288705405">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0724595">
      <w:bodyDiv w:val="1"/>
      <w:marLeft w:val="0"/>
      <w:marRight w:val="0"/>
      <w:marTop w:val="0"/>
      <w:marBottom w:val="0"/>
      <w:divBdr>
        <w:top w:val="none" w:sz="0" w:space="0" w:color="auto"/>
        <w:left w:val="none" w:sz="0" w:space="0" w:color="auto"/>
        <w:bottom w:val="none" w:sz="0" w:space="0" w:color="auto"/>
        <w:right w:val="none" w:sz="0" w:space="0" w:color="auto"/>
      </w:divBdr>
      <w:divsChild>
        <w:div w:id="1560097165">
          <w:marLeft w:val="576"/>
          <w:marRight w:val="0"/>
          <w:marTop w:val="120"/>
          <w:marBottom w:val="0"/>
          <w:divBdr>
            <w:top w:val="none" w:sz="0" w:space="0" w:color="auto"/>
            <w:left w:val="none" w:sz="0" w:space="0" w:color="auto"/>
            <w:bottom w:val="none" w:sz="0" w:space="0" w:color="auto"/>
            <w:right w:val="none" w:sz="0" w:space="0" w:color="auto"/>
          </w:divBdr>
        </w:div>
        <w:div w:id="323045268">
          <w:marLeft w:val="576"/>
          <w:marRight w:val="0"/>
          <w:marTop w:val="120"/>
          <w:marBottom w:val="0"/>
          <w:divBdr>
            <w:top w:val="none" w:sz="0" w:space="0" w:color="auto"/>
            <w:left w:val="none" w:sz="0" w:space="0" w:color="auto"/>
            <w:bottom w:val="none" w:sz="0" w:space="0" w:color="auto"/>
            <w:right w:val="none" w:sz="0" w:space="0" w:color="auto"/>
          </w:divBdr>
        </w:div>
        <w:div w:id="228728996">
          <w:marLeft w:val="576"/>
          <w:marRight w:val="0"/>
          <w:marTop w:val="120"/>
          <w:marBottom w:val="0"/>
          <w:divBdr>
            <w:top w:val="none" w:sz="0" w:space="0" w:color="auto"/>
            <w:left w:val="none" w:sz="0" w:space="0" w:color="auto"/>
            <w:bottom w:val="none" w:sz="0" w:space="0" w:color="auto"/>
            <w:right w:val="none" w:sz="0" w:space="0" w:color="auto"/>
          </w:divBdr>
        </w:div>
        <w:div w:id="1225992429">
          <w:marLeft w:val="576"/>
          <w:marRight w:val="0"/>
          <w:marTop w:val="120"/>
          <w:marBottom w:val="0"/>
          <w:divBdr>
            <w:top w:val="none" w:sz="0" w:space="0" w:color="auto"/>
            <w:left w:val="none" w:sz="0" w:space="0" w:color="auto"/>
            <w:bottom w:val="none" w:sz="0" w:space="0" w:color="auto"/>
            <w:right w:val="none" w:sz="0" w:space="0" w:color="auto"/>
          </w:divBdr>
        </w:div>
        <w:div w:id="540898876">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0106279">
      <w:bodyDiv w:val="1"/>
      <w:marLeft w:val="0"/>
      <w:marRight w:val="0"/>
      <w:marTop w:val="0"/>
      <w:marBottom w:val="0"/>
      <w:divBdr>
        <w:top w:val="none" w:sz="0" w:space="0" w:color="auto"/>
        <w:left w:val="none" w:sz="0" w:space="0" w:color="auto"/>
        <w:bottom w:val="none" w:sz="0" w:space="0" w:color="auto"/>
        <w:right w:val="none" w:sz="0" w:space="0" w:color="auto"/>
      </w:divBdr>
      <w:divsChild>
        <w:div w:id="270863030">
          <w:marLeft w:val="576"/>
          <w:marRight w:val="0"/>
          <w:marTop w:val="120"/>
          <w:marBottom w:val="0"/>
          <w:divBdr>
            <w:top w:val="none" w:sz="0" w:space="0" w:color="auto"/>
            <w:left w:val="none" w:sz="0" w:space="0" w:color="auto"/>
            <w:bottom w:val="none" w:sz="0" w:space="0" w:color="auto"/>
            <w:right w:val="none" w:sz="0" w:space="0" w:color="auto"/>
          </w:divBdr>
        </w:div>
        <w:div w:id="1902978387">
          <w:marLeft w:val="576"/>
          <w:marRight w:val="0"/>
          <w:marTop w:val="120"/>
          <w:marBottom w:val="0"/>
          <w:divBdr>
            <w:top w:val="none" w:sz="0" w:space="0" w:color="auto"/>
            <w:left w:val="none" w:sz="0" w:space="0" w:color="auto"/>
            <w:bottom w:val="none" w:sz="0" w:space="0" w:color="auto"/>
            <w:right w:val="none" w:sz="0" w:space="0" w:color="auto"/>
          </w:divBdr>
        </w:div>
        <w:div w:id="1954090289">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3326817">
      <w:bodyDiv w:val="1"/>
      <w:marLeft w:val="0"/>
      <w:marRight w:val="0"/>
      <w:marTop w:val="0"/>
      <w:marBottom w:val="0"/>
      <w:divBdr>
        <w:top w:val="none" w:sz="0" w:space="0" w:color="auto"/>
        <w:left w:val="none" w:sz="0" w:space="0" w:color="auto"/>
        <w:bottom w:val="none" w:sz="0" w:space="0" w:color="auto"/>
        <w:right w:val="none" w:sz="0" w:space="0" w:color="auto"/>
      </w:divBdr>
      <w:divsChild>
        <w:div w:id="1381516711">
          <w:marLeft w:val="576"/>
          <w:marRight w:val="0"/>
          <w:marTop w:val="120"/>
          <w:marBottom w:val="0"/>
          <w:divBdr>
            <w:top w:val="none" w:sz="0" w:space="0" w:color="auto"/>
            <w:left w:val="none" w:sz="0" w:space="0" w:color="auto"/>
            <w:bottom w:val="none" w:sz="0" w:space="0" w:color="auto"/>
            <w:right w:val="none" w:sz="0" w:space="0" w:color="auto"/>
          </w:divBdr>
        </w:div>
        <w:div w:id="735857431">
          <w:marLeft w:val="576"/>
          <w:marRight w:val="0"/>
          <w:marTop w:val="120"/>
          <w:marBottom w:val="0"/>
          <w:divBdr>
            <w:top w:val="none" w:sz="0" w:space="0" w:color="auto"/>
            <w:left w:val="none" w:sz="0" w:space="0" w:color="auto"/>
            <w:bottom w:val="none" w:sz="0" w:space="0" w:color="auto"/>
            <w:right w:val="none" w:sz="0" w:space="0" w:color="auto"/>
          </w:divBdr>
        </w:div>
        <w:div w:id="1172836891">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5138374">
      <w:bodyDiv w:val="1"/>
      <w:marLeft w:val="0"/>
      <w:marRight w:val="0"/>
      <w:marTop w:val="0"/>
      <w:marBottom w:val="0"/>
      <w:divBdr>
        <w:top w:val="none" w:sz="0" w:space="0" w:color="auto"/>
        <w:left w:val="none" w:sz="0" w:space="0" w:color="auto"/>
        <w:bottom w:val="none" w:sz="0" w:space="0" w:color="auto"/>
        <w:right w:val="none" w:sz="0" w:space="0" w:color="auto"/>
      </w:divBdr>
    </w:div>
    <w:div w:id="642270158">
      <w:bodyDiv w:val="1"/>
      <w:marLeft w:val="0"/>
      <w:marRight w:val="0"/>
      <w:marTop w:val="0"/>
      <w:marBottom w:val="0"/>
      <w:divBdr>
        <w:top w:val="none" w:sz="0" w:space="0" w:color="auto"/>
        <w:left w:val="none" w:sz="0" w:space="0" w:color="auto"/>
        <w:bottom w:val="none" w:sz="0" w:space="0" w:color="auto"/>
        <w:right w:val="none" w:sz="0" w:space="0" w:color="auto"/>
      </w:divBdr>
      <w:divsChild>
        <w:div w:id="1586650735">
          <w:marLeft w:val="576"/>
          <w:marRight w:val="0"/>
          <w:marTop w:val="120"/>
          <w:marBottom w:val="0"/>
          <w:divBdr>
            <w:top w:val="none" w:sz="0" w:space="0" w:color="auto"/>
            <w:left w:val="none" w:sz="0" w:space="0" w:color="auto"/>
            <w:bottom w:val="none" w:sz="0" w:space="0" w:color="auto"/>
            <w:right w:val="none" w:sz="0" w:space="0" w:color="auto"/>
          </w:divBdr>
        </w:div>
        <w:div w:id="1973172926">
          <w:marLeft w:val="576"/>
          <w:marRight w:val="0"/>
          <w:marTop w:val="120"/>
          <w:marBottom w:val="0"/>
          <w:divBdr>
            <w:top w:val="none" w:sz="0" w:space="0" w:color="auto"/>
            <w:left w:val="none" w:sz="0" w:space="0" w:color="auto"/>
            <w:bottom w:val="none" w:sz="0" w:space="0" w:color="auto"/>
            <w:right w:val="none" w:sz="0" w:space="0" w:color="auto"/>
          </w:divBdr>
        </w:div>
        <w:div w:id="31792491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4663488">
      <w:bodyDiv w:val="1"/>
      <w:marLeft w:val="0"/>
      <w:marRight w:val="0"/>
      <w:marTop w:val="0"/>
      <w:marBottom w:val="0"/>
      <w:divBdr>
        <w:top w:val="none" w:sz="0" w:space="0" w:color="auto"/>
        <w:left w:val="none" w:sz="0" w:space="0" w:color="auto"/>
        <w:bottom w:val="none" w:sz="0" w:space="0" w:color="auto"/>
        <w:right w:val="none" w:sz="0" w:space="0" w:color="auto"/>
      </w:divBdr>
      <w:divsChild>
        <w:div w:id="1885674458">
          <w:marLeft w:val="576"/>
          <w:marRight w:val="0"/>
          <w:marTop w:val="120"/>
          <w:marBottom w:val="0"/>
          <w:divBdr>
            <w:top w:val="none" w:sz="0" w:space="0" w:color="auto"/>
            <w:left w:val="none" w:sz="0" w:space="0" w:color="auto"/>
            <w:bottom w:val="none" w:sz="0" w:space="0" w:color="auto"/>
            <w:right w:val="none" w:sz="0" w:space="0" w:color="auto"/>
          </w:divBdr>
        </w:div>
        <w:div w:id="448427258">
          <w:marLeft w:val="576"/>
          <w:marRight w:val="0"/>
          <w:marTop w:val="120"/>
          <w:marBottom w:val="0"/>
          <w:divBdr>
            <w:top w:val="none" w:sz="0" w:space="0" w:color="auto"/>
            <w:left w:val="none" w:sz="0" w:space="0" w:color="auto"/>
            <w:bottom w:val="none" w:sz="0" w:space="0" w:color="auto"/>
            <w:right w:val="none" w:sz="0" w:space="0" w:color="auto"/>
          </w:divBdr>
        </w:div>
        <w:div w:id="133202693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9648842">
      <w:bodyDiv w:val="1"/>
      <w:marLeft w:val="0"/>
      <w:marRight w:val="0"/>
      <w:marTop w:val="0"/>
      <w:marBottom w:val="0"/>
      <w:divBdr>
        <w:top w:val="none" w:sz="0" w:space="0" w:color="auto"/>
        <w:left w:val="none" w:sz="0" w:space="0" w:color="auto"/>
        <w:bottom w:val="none" w:sz="0" w:space="0" w:color="auto"/>
        <w:right w:val="none" w:sz="0" w:space="0" w:color="auto"/>
      </w:divBdr>
      <w:divsChild>
        <w:div w:id="1799570687">
          <w:marLeft w:val="576"/>
          <w:marRight w:val="0"/>
          <w:marTop w:val="120"/>
          <w:marBottom w:val="0"/>
          <w:divBdr>
            <w:top w:val="none" w:sz="0" w:space="0" w:color="auto"/>
            <w:left w:val="none" w:sz="0" w:space="0" w:color="auto"/>
            <w:bottom w:val="none" w:sz="0" w:space="0" w:color="auto"/>
            <w:right w:val="none" w:sz="0" w:space="0" w:color="auto"/>
          </w:divBdr>
        </w:div>
        <w:div w:id="2142914952">
          <w:marLeft w:val="576"/>
          <w:marRight w:val="0"/>
          <w:marTop w:val="120"/>
          <w:marBottom w:val="0"/>
          <w:divBdr>
            <w:top w:val="none" w:sz="0" w:space="0" w:color="auto"/>
            <w:left w:val="none" w:sz="0" w:space="0" w:color="auto"/>
            <w:bottom w:val="none" w:sz="0" w:space="0" w:color="auto"/>
            <w:right w:val="none" w:sz="0" w:space="0" w:color="auto"/>
          </w:divBdr>
        </w:div>
        <w:div w:id="350182243">
          <w:marLeft w:val="576"/>
          <w:marRight w:val="0"/>
          <w:marTop w:val="120"/>
          <w:marBottom w:val="0"/>
          <w:divBdr>
            <w:top w:val="none" w:sz="0" w:space="0" w:color="auto"/>
            <w:left w:val="none" w:sz="0" w:space="0" w:color="auto"/>
            <w:bottom w:val="none" w:sz="0" w:space="0" w:color="auto"/>
            <w:right w:val="none" w:sz="0" w:space="0" w:color="auto"/>
          </w:divBdr>
        </w:div>
        <w:div w:id="88238942">
          <w:marLeft w:val="576"/>
          <w:marRight w:val="0"/>
          <w:marTop w:val="120"/>
          <w:marBottom w:val="0"/>
          <w:divBdr>
            <w:top w:val="none" w:sz="0" w:space="0" w:color="auto"/>
            <w:left w:val="none" w:sz="0" w:space="0" w:color="auto"/>
            <w:bottom w:val="none" w:sz="0" w:space="0" w:color="auto"/>
            <w:right w:val="none" w:sz="0" w:space="0" w:color="auto"/>
          </w:divBdr>
        </w:div>
        <w:div w:id="495148668">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3631</TotalTime>
  <Pages>14</Pages>
  <Words>1689</Words>
  <Characters>9629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2022-03-12T11:54:00Z</dcterms:modified>
</cp:coreProperties>
</file>