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505B9" w:rsidRDefault="008505B9" w:rsidP="008505B9">
      <w:pPr>
        <w:spacing w:line="360" w:lineRule="auto"/>
        <w:jc w:val="center"/>
        <w:rPr>
          <w:rFonts w:ascii="Times New Roman" w:hAnsi="Times New Roman" w:cs="Times New Roman"/>
          <w:b/>
          <w:sz w:val="52"/>
          <w:szCs w:val="52"/>
        </w:rPr>
      </w:pPr>
      <w:r w:rsidRPr="008505B9">
        <w:rPr>
          <w:rFonts w:ascii="Times New Roman" w:hAnsi="Times New Roman" w:cs="Times New Roman"/>
          <w:b/>
          <w:sz w:val="52"/>
          <w:szCs w:val="52"/>
        </w:rPr>
        <w:t>Standalone desktop application for analysis, visualization and interpretation of hydro chemical data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505B9" w:rsidRDefault="008505B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13958" w:rsidRDefault="00913958" w:rsidP="00913958">
      <w:pPr>
        <w:spacing w:line="360" w:lineRule="auto"/>
        <w:jc w:val="both"/>
        <w:rPr>
          <w:rFonts w:ascii="Times New Roman" w:hAnsi="Times New Roman" w:cs="Times New Roman"/>
          <w:bCs/>
          <w:sz w:val="32"/>
          <w:szCs w:val="32"/>
        </w:rPr>
      </w:pPr>
      <w:r w:rsidRPr="00913958">
        <w:rPr>
          <w:rFonts w:ascii="Times New Roman" w:hAnsi="Times New Roman" w:cs="Times New Roman"/>
          <w:bCs/>
          <w:sz w:val="32"/>
          <w:szCs w:val="32"/>
        </w:rPr>
        <w:t>Integrating advanced simulation techniques and data analysis tools in a freeware Geographic Information</w:t>
      </w:r>
      <w:r>
        <w:rPr>
          <w:rFonts w:ascii="Times New Roman" w:hAnsi="Times New Roman" w:cs="Times New Roman"/>
          <w:bCs/>
          <w:sz w:val="32"/>
          <w:szCs w:val="32"/>
        </w:rPr>
        <w:t xml:space="preserve"> </w:t>
      </w:r>
      <w:r w:rsidRPr="00913958">
        <w:rPr>
          <w:rFonts w:ascii="Times New Roman" w:hAnsi="Times New Roman" w:cs="Times New Roman"/>
          <w:bCs/>
          <w:sz w:val="32"/>
          <w:szCs w:val="32"/>
        </w:rPr>
        <w:t>System (GIS) provides a valuable contribution to the management of conjunctive use of groundwater (the world's</w:t>
      </w:r>
      <w:r>
        <w:rPr>
          <w:rFonts w:ascii="Times New Roman" w:hAnsi="Times New Roman" w:cs="Times New Roman"/>
          <w:bCs/>
          <w:sz w:val="32"/>
          <w:szCs w:val="32"/>
        </w:rPr>
        <w:t xml:space="preserve"> </w:t>
      </w:r>
      <w:r w:rsidRPr="00913958">
        <w:rPr>
          <w:rFonts w:ascii="Times New Roman" w:hAnsi="Times New Roman" w:cs="Times New Roman"/>
          <w:bCs/>
          <w:sz w:val="32"/>
          <w:szCs w:val="32"/>
        </w:rPr>
        <w:t>largest freshwater resource) and surface-water. To this aim, we describe here the FREEWAT (FREE and open</w:t>
      </w:r>
      <w:r>
        <w:rPr>
          <w:rFonts w:ascii="Times New Roman" w:hAnsi="Times New Roman" w:cs="Times New Roman"/>
          <w:bCs/>
          <w:sz w:val="32"/>
          <w:szCs w:val="32"/>
        </w:rPr>
        <w:t xml:space="preserve"> </w:t>
      </w:r>
      <w:r w:rsidRPr="00913958">
        <w:rPr>
          <w:rFonts w:ascii="Times New Roman" w:hAnsi="Times New Roman" w:cs="Times New Roman"/>
          <w:bCs/>
          <w:sz w:val="32"/>
          <w:szCs w:val="32"/>
        </w:rPr>
        <w:t>source software tools for WATer resource management) platform. FREEWAT is a free and open source, QGIS-</w:t>
      </w:r>
      <w:r>
        <w:rPr>
          <w:rFonts w:ascii="Times New Roman" w:hAnsi="Times New Roman" w:cs="Times New Roman"/>
          <w:bCs/>
          <w:sz w:val="32"/>
          <w:szCs w:val="32"/>
        </w:rPr>
        <w:t xml:space="preserve"> </w:t>
      </w:r>
      <w:r w:rsidRPr="00913958">
        <w:rPr>
          <w:rFonts w:ascii="Times New Roman" w:hAnsi="Times New Roman" w:cs="Times New Roman"/>
          <w:bCs/>
          <w:sz w:val="32"/>
          <w:szCs w:val="32"/>
        </w:rPr>
        <w:t>integrated interface for planning and management of water resources, with specific attention to groundwater.</w:t>
      </w:r>
      <w:r>
        <w:rPr>
          <w:rFonts w:ascii="Times New Roman" w:hAnsi="Times New Roman" w:cs="Times New Roman"/>
          <w:bCs/>
          <w:sz w:val="32"/>
          <w:szCs w:val="32"/>
        </w:rPr>
        <w:t xml:space="preserve"> </w:t>
      </w:r>
      <w:r w:rsidRPr="00913958">
        <w:rPr>
          <w:rFonts w:ascii="Times New Roman" w:hAnsi="Times New Roman" w:cs="Times New Roman"/>
          <w:bCs/>
          <w:sz w:val="32"/>
          <w:szCs w:val="32"/>
        </w:rPr>
        <w:t>The FREEWAT platform couples the power of GIS geo-processing and post-processing tools in spatial data</w:t>
      </w:r>
      <w:r>
        <w:rPr>
          <w:rFonts w:ascii="Times New Roman" w:hAnsi="Times New Roman" w:cs="Times New Roman"/>
          <w:bCs/>
          <w:sz w:val="32"/>
          <w:szCs w:val="32"/>
        </w:rPr>
        <w:t xml:space="preserve"> </w:t>
      </w:r>
      <w:r w:rsidRPr="00913958">
        <w:rPr>
          <w:rFonts w:ascii="Times New Roman" w:hAnsi="Times New Roman" w:cs="Times New Roman"/>
          <w:bCs/>
          <w:sz w:val="32"/>
          <w:szCs w:val="32"/>
        </w:rPr>
        <w:t>analysis with that of process-based simulation models. The FREEWAT environment allows storage of large</w:t>
      </w:r>
      <w:r>
        <w:rPr>
          <w:rFonts w:ascii="Times New Roman" w:hAnsi="Times New Roman" w:cs="Times New Roman"/>
          <w:bCs/>
          <w:sz w:val="32"/>
          <w:szCs w:val="32"/>
        </w:rPr>
        <w:t xml:space="preserve"> </w:t>
      </w:r>
      <w:r w:rsidRPr="00913958">
        <w:rPr>
          <w:rFonts w:ascii="Times New Roman" w:hAnsi="Times New Roman" w:cs="Times New Roman"/>
          <w:bCs/>
          <w:sz w:val="32"/>
          <w:szCs w:val="32"/>
        </w:rPr>
        <w:t>spatial datasets, data management and visualization, and running of several distributed modelling codes (mainly</w:t>
      </w:r>
      <w:r>
        <w:rPr>
          <w:rFonts w:ascii="Times New Roman" w:hAnsi="Times New Roman" w:cs="Times New Roman"/>
          <w:bCs/>
          <w:sz w:val="32"/>
          <w:szCs w:val="32"/>
        </w:rPr>
        <w:t xml:space="preserve"> </w:t>
      </w:r>
      <w:r w:rsidRPr="00913958">
        <w:rPr>
          <w:rFonts w:ascii="Times New Roman" w:hAnsi="Times New Roman" w:cs="Times New Roman"/>
          <w:bCs/>
          <w:sz w:val="32"/>
          <w:szCs w:val="32"/>
        </w:rPr>
        <w:t>belonging to the MODFLOW family). It simulates hydrologic and transport processes, and provides a database</w:t>
      </w:r>
      <w:r>
        <w:rPr>
          <w:rFonts w:ascii="Times New Roman" w:hAnsi="Times New Roman" w:cs="Times New Roman"/>
          <w:bCs/>
          <w:sz w:val="32"/>
          <w:szCs w:val="32"/>
        </w:rPr>
        <w:t xml:space="preserve"> </w:t>
      </w:r>
      <w:r w:rsidRPr="00913958">
        <w:rPr>
          <w:rFonts w:ascii="Times New Roman" w:hAnsi="Times New Roman" w:cs="Times New Roman"/>
          <w:bCs/>
          <w:sz w:val="32"/>
          <w:szCs w:val="32"/>
        </w:rPr>
        <w:t>framework and visualization capabilities for hydrochemical analysis. Examples of real case study applications</w:t>
      </w:r>
      <w:r>
        <w:rPr>
          <w:rFonts w:ascii="Times New Roman" w:hAnsi="Times New Roman" w:cs="Times New Roman"/>
          <w:bCs/>
          <w:sz w:val="32"/>
          <w:szCs w:val="32"/>
        </w:rPr>
        <w:t xml:space="preserve"> </w:t>
      </w:r>
      <w:r w:rsidRPr="00913958">
        <w:rPr>
          <w:rFonts w:ascii="Times New Roman" w:hAnsi="Times New Roman" w:cs="Times New Roman"/>
          <w:bCs/>
          <w:sz w:val="32"/>
          <w:szCs w:val="32"/>
        </w:rPr>
        <w:t>are provided</w:t>
      </w:r>
      <w:r>
        <w:rPr>
          <w:rFonts w:ascii="Times New Roman" w:hAnsi="Times New Roman" w:cs="Times New Roman"/>
          <w:bCs/>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91395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91395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41244" w:rsidRDefault="00A12491" w:rsidP="00A412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1244">
        <w:rPr>
          <w:rFonts w:ascii="Times New Roman" w:hAnsi="Times New Roman" w:cs="Times New Roman"/>
          <w:sz w:val="32"/>
          <w:szCs w:val="32"/>
          <w:lang w:val="en-IN"/>
        </w:rPr>
        <w:t xml:space="preserve">There likely exists alternative RDBMSs which are faster at reading and writing data. </w:t>
      </w:r>
    </w:p>
    <w:p w:rsidR="00000000" w:rsidRPr="00A41244" w:rsidRDefault="00A12491" w:rsidP="00A412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1244">
        <w:rPr>
          <w:rFonts w:ascii="Times New Roman" w:hAnsi="Times New Roman" w:cs="Times New Roman"/>
          <w:sz w:val="32"/>
          <w:szCs w:val="32"/>
          <w:lang w:val="en-IN"/>
        </w:rPr>
        <w:t xml:space="preserve">The maximum value of the ID column is calculated and a column containing a sequence </w:t>
      </w:r>
      <w:r w:rsidRPr="00A41244">
        <w:rPr>
          <w:rFonts w:ascii="Times New Roman" w:hAnsi="Times New Roman" w:cs="Times New Roman"/>
          <w:sz w:val="32"/>
          <w:szCs w:val="32"/>
          <w:lang w:val="en-IN"/>
        </w:rPr>
        <w:t>of ID values greater than the maximum existing values are added to the raw data.</w:t>
      </w:r>
    </w:p>
    <w:p w:rsidR="00000000" w:rsidRPr="00A41244" w:rsidRDefault="00A12491" w:rsidP="00A412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1244">
        <w:rPr>
          <w:rFonts w:ascii="Times New Roman" w:hAnsi="Times New Roman" w:cs="Times New Roman"/>
          <w:sz w:val="32"/>
          <w:szCs w:val="32"/>
          <w:lang w:val="en-IN"/>
        </w:rPr>
        <w:t xml:space="preserve">An effort is being made to store all new data and move all existing data into relational database management systems (RDBMS), commonly referred to as “databases”.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27652" w:rsidRDefault="00A12491" w:rsidP="00027652">
      <w:pPr>
        <w:numPr>
          <w:ilvl w:val="0"/>
          <w:numId w:val="45"/>
        </w:numPr>
        <w:spacing w:line="360" w:lineRule="auto"/>
        <w:jc w:val="both"/>
        <w:rPr>
          <w:rFonts w:ascii="Times New Roman" w:hAnsi="Times New Roman" w:cs="Times New Roman"/>
          <w:bCs/>
          <w:sz w:val="32"/>
          <w:szCs w:val="32"/>
          <w:lang w:val="en-IN"/>
        </w:rPr>
      </w:pPr>
      <w:r w:rsidRPr="00027652">
        <w:rPr>
          <w:rFonts w:ascii="Times New Roman" w:hAnsi="Times New Roman" w:cs="Times New Roman"/>
          <w:bCs/>
          <w:sz w:val="32"/>
          <w:szCs w:val="32"/>
        </w:rPr>
        <w:t xml:space="preserve">Modelers </w:t>
      </w:r>
      <w:r w:rsidRPr="00027652">
        <w:rPr>
          <w:rFonts w:ascii="Times New Roman" w:hAnsi="Times New Roman" w:cs="Times New Roman"/>
          <w:bCs/>
          <w:sz w:val="32"/>
          <w:szCs w:val="32"/>
        </w:rPr>
        <w:t xml:space="preserve">may take advantage of integrating advanced hydrological modelling codes within a GIS environment, thus reducing model setup and analysis time, and avoiding data isolation, data integrity problems and broken data flows between model implementation and pre- </w:t>
      </w:r>
      <w:r w:rsidRPr="00027652">
        <w:rPr>
          <w:rFonts w:ascii="Times New Roman" w:hAnsi="Times New Roman" w:cs="Times New Roman"/>
          <w:bCs/>
          <w:sz w:val="32"/>
          <w:szCs w:val="32"/>
        </w:rPr>
        <w:t>and post-processing step.</w:t>
      </w:r>
    </w:p>
    <w:p w:rsidR="00000000" w:rsidRPr="00027652" w:rsidRDefault="00A12491" w:rsidP="00027652">
      <w:pPr>
        <w:numPr>
          <w:ilvl w:val="0"/>
          <w:numId w:val="45"/>
        </w:numPr>
        <w:spacing w:line="360" w:lineRule="auto"/>
        <w:jc w:val="both"/>
        <w:rPr>
          <w:rFonts w:ascii="Times New Roman" w:hAnsi="Times New Roman" w:cs="Times New Roman"/>
          <w:bCs/>
          <w:sz w:val="32"/>
          <w:szCs w:val="32"/>
          <w:lang w:val="en-IN"/>
        </w:rPr>
      </w:pPr>
      <w:r w:rsidRPr="00027652">
        <w:rPr>
          <w:rFonts w:ascii="Times New Roman" w:hAnsi="Times New Roman" w:cs="Times New Roman"/>
          <w:bCs/>
          <w:sz w:val="32"/>
          <w:szCs w:val="32"/>
          <w:lang w:val="en-IN"/>
        </w:rPr>
        <w:t xml:space="preserve">A synthetic problem was designed to show the application of FMP in FREEWAT as a tool to address water management issues in urban and rural areas. </w:t>
      </w:r>
    </w:p>
    <w:p w:rsidR="00F94960" w:rsidRPr="00027652" w:rsidRDefault="00A12491" w:rsidP="00E53AA4">
      <w:pPr>
        <w:numPr>
          <w:ilvl w:val="0"/>
          <w:numId w:val="45"/>
        </w:numPr>
        <w:spacing w:line="360" w:lineRule="auto"/>
        <w:jc w:val="both"/>
        <w:rPr>
          <w:rFonts w:ascii="Times New Roman" w:hAnsi="Times New Roman" w:cs="Times New Roman"/>
          <w:bCs/>
          <w:sz w:val="32"/>
          <w:szCs w:val="32"/>
          <w:lang w:val="en-IN"/>
        </w:rPr>
      </w:pPr>
      <w:r w:rsidRPr="00027652">
        <w:rPr>
          <w:rFonts w:ascii="Times New Roman" w:hAnsi="Times New Roman" w:cs="Times New Roman"/>
          <w:bCs/>
          <w:sz w:val="32"/>
          <w:szCs w:val="32"/>
          <w:lang w:val="en-IN"/>
        </w:rPr>
        <w:lastRenderedPageBreak/>
        <w:t>In FREEWAT, MODFLOW-OWHM is used to deal with the con-junctive use of ground- and</w:t>
      </w:r>
      <w:r w:rsidRPr="00027652">
        <w:rPr>
          <w:rFonts w:ascii="Times New Roman" w:hAnsi="Times New Roman" w:cs="Times New Roman"/>
          <w:bCs/>
          <w:sz w:val="32"/>
          <w:szCs w:val="32"/>
          <w:lang w:val="en-IN"/>
        </w:rPr>
        <w:t xml:space="preserve"> surface-water for water management issues.</w:t>
      </w:r>
      <w:r w:rsidRPr="00027652">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23567" w:rsidRPr="00D23567" w:rsidRDefault="00D23567" w:rsidP="00D23567">
      <w:pPr>
        <w:pStyle w:val="NormalWeb"/>
        <w:numPr>
          <w:ilvl w:val="0"/>
          <w:numId w:val="46"/>
        </w:numPr>
        <w:spacing w:before="0" w:beforeAutospacing="0" w:after="0" w:afterAutospacing="0" w:line="360" w:lineRule="auto"/>
        <w:ind w:left="567"/>
        <w:jc w:val="both"/>
        <w:rPr>
          <w:sz w:val="32"/>
          <w:szCs w:val="32"/>
        </w:rPr>
      </w:pPr>
      <w:r w:rsidRPr="00D23567">
        <w:rPr>
          <w:sz w:val="32"/>
          <w:szCs w:val="32"/>
        </w:rPr>
        <w:t>It was not possible to foresee the exact direction that WAVE was going take when the idea was first proposed.</w:t>
      </w:r>
    </w:p>
    <w:p w:rsidR="00D23567" w:rsidRPr="00D23567" w:rsidRDefault="00D23567" w:rsidP="00D23567">
      <w:pPr>
        <w:pStyle w:val="NormalWeb"/>
        <w:numPr>
          <w:ilvl w:val="0"/>
          <w:numId w:val="46"/>
        </w:numPr>
        <w:spacing w:before="0" w:beforeAutospacing="0" w:after="0" w:afterAutospacing="0" w:line="360" w:lineRule="auto"/>
        <w:ind w:left="567"/>
        <w:jc w:val="both"/>
        <w:rPr>
          <w:sz w:val="32"/>
          <w:szCs w:val="32"/>
        </w:rPr>
      </w:pPr>
      <w:r w:rsidRPr="00D23567">
        <w:rPr>
          <w:sz w:val="32"/>
          <w:szCs w:val="32"/>
        </w:rPr>
        <w:t>The DCR also handled the organization of these data files and databases within the DCR’s network. UMass proposed multiple test versions of the application which received feedback from the DCR.</w:t>
      </w:r>
    </w:p>
    <w:p w:rsidR="003A5D44" w:rsidRPr="00D23567" w:rsidRDefault="00D23567" w:rsidP="00E53AA4">
      <w:pPr>
        <w:pStyle w:val="NormalWeb"/>
        <w:numPr>
          <w:ilvl w:val="0"/>
          <w:numId w:val="46"/>
        </w:numPr>
        <w:spacing w:before="0" w:beforeAutospacing="0" w:after="0" w:afterAutospacing="0" w:line="360" w:lineRule="auto"/>
        <w:ind w:left="567"/>
        <w:jc w:val="both"/>
        <w:rPr>
          <w:sz w:val="32"/>
          <w:szCs w:val="32"/>
        </w:rPr>
      </w:pPr>
      <w:r w:rsidRPr="00D23567">
        <w:rPr>
          <w:sz w:val="32"/>
          <w:szCs w:val="32"/>
        </w:rPr>
        <w:t>GitHub is used for many purposes related to WAVE and WAVE development and system processes. The application code is stored on GitHub which offers advanced version control and collaboration features during development.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6331E" w:rsidRDefault="00A12491" w:rsidP="006633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331E">
        <w:rPr>
          <w:rFonts w:ascii="Times New Roman" w:eastAsia="AdvGulliv-R" w:hAnsi="Times New Roman" w:cs="Times New Roman"/>
          <w:bCs/>
          <w:sz w:val="32"/>
          <w:szCs w:val="32"/>
          <w:lang w:val="en-IN"/>
        </w:rPr>
        <w:t xml:space="preserve">There is the opportunity to take advantage of this large mass of data and information to develop dynamically growing and efficient ground water management plans. </w:t>
      </w:r>
    </w:p>
    <w:p w:rsidR="00000000" w:rsidRPr="0066331E" w:rsidRDefault="00A12491" w:rsidP="006633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331E">
        <w:rPr>
          <w:rFonts w:ascii="Times New Roman" w:eastAsia="AdvGulliv-R" w:hAnsi="Times New Roman" w:cs="Times New Roman"/>
          <w:bCs/>
          <w:sz w:val="32"/>
          <w:szCs w:val="32"/>
          <w:lang w:val="en-IN"/>
        </w:rPr>
        <w:t>Geographic Informatio</w:t>
      </w:r>
      <w:r w:rsidRPr="0066331E">
        <w:rPr>
          <w:rFonts w:ascii="Times New Roman" w:eastAsia="AdvGulliv-R" w:hAnsi="Times New Roman" w:cs="Times New Roman"/>
          <w:bCs/>
          <w:sz w:val="32"/>
          <w:szCs w:val="32"/>
          <w:lang w:val="en-IN"/>
        </w:rPr>
        <w:t>n Systems (GISs) have been applied to sup-port environmental modelling and, being able to store, manage/analyse and visualize large temporal, spatial and non-spatial datasets, they are the most efficient tools to deal with geometric and alphanumerical data</w:t>
      </w:r>
      <w:r w:rsidRPr="0066331E">
        <w:rPr>
          <w:rFonts w:ascii="Times New Roman" w:eastAsia="AdvGulliv-R" w:hAnsi="Times New Roman" w:cs="Times New Roman"/>
          <w:bCs/>
          <w:sz w:val="32"/>
          <w:szCs w:val="32"/>
          <w:lang w:val="en-IN"/>
        </w:rPr>
        <w:t>.</w:t>
      </w:r>
    </w:p>
    <w:p w:rsidR="00000000" w:rsidRPr="0066331E" w:rsidRDefault="00A12491" w:rsidP="006633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331E">
        <w:rPr>
          <w:rFonts w:ascii="Times New Roman" w:eastAsia="AdvGulliv-R" w:hAnsi="Times New Roman" w:cs="Times New Roman"/>
          <w:bCs/>
          <w:sz w:val="32"/>
          <w:szCs w:val="32"/>
          <w:lang w:val="en-IN"/>
        </w:rPr>
        <w:lastRenderedPageBreak/>
        <w:t xml:space="preserve">The interface allows non software programming Users to take advantage of the library features and manage temporal data in the modelling environment.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F19B0" w:rsidRDefault="00132137" w:rsidP="00E53AA4">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rPr>
              <w:t>RIPGIS-NET: a GIStool for riparian groundwater evapotranspiration in MODFLOW</w:t>
            </w:r>
          </w:p>
        </w:tc>
        <w:tc>
          <w:tcPr>
            <w:tcW w:w="3192" w:type="dxa"/>
          </w:tcPr>
          <w:p w:rsidR="000C407B" w:rsidRPr="005F19B0" w:rsidRDefault="00132137" w:rsidP="00132137">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rPr>
              <w:t xml:space="preserve">Ajami, H., Maddock, T., Meixner, T., Hogan, J.F., Guertin, D.P., 2012. </w:t>
            </w:r>
          </w:p>
        </w:tc>
        <w:tc>
          <w:tcPr>
            <w:tcW w:w="3192" w:type="dxa"/>
          </w:tcPr>
          <w:p w:rsidR="000C407B" w:rsidRPr="005F19B0" w:rsidRDefault="00132137" w:rsidP="00E53AA4">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shd w:val="clear" w:color="auto" w:fill="FFFFFF"/>
              </w:rPr>
              <w:t>RIPGIS-NET, a pre- and post-processor for RIP-ET, incorporates spatial variability of riparian vegetation and land surface elevation into ETg estimation in MODFLOW groundwater models.</w:t>
            </w:r>
          </w:p>
        </w:tc>
      </w:tr>
      <w:tr w:rsidR="000C407B" w:rsidTr="000C407B">
        <w:trPr>
          <w:trHeight w:val="2942"/>
        </w:trPr>
        <w:tc>
          <w:tcPr>
            <w:tcW w:w="3192" w:type="dxa"/>
          </w:tcPr>
          <w:p w:rsidR="000C407B" w:rsidRPr="005F19B0" w:rsidRDefault="00132137" w:rsidP="00E53AA4">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rPr>
              <w:t>Scripting MODFLOW model development using Python and FloPy</w:t>
            </w:r>
          </w:p>
        </w:tc>
        <w:tc>
          <w:tcPr>
            <w:tcW w:w="3192" w:type="dxa"/>
          </w:tcPr>
          <w:p w:rsidR="000C407B" w:rsidRPr="005F19B0" w:rsidRDefault="00132137" w:rsidP="00132137">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rPr>
              <w:t xml:space="preserve">Bakker, M., Post, V., Langevin, C.D., Hughes, J.D., White, J.T., Starn, J.J., Fienen, M.N.,2016. </w:t>
            </w:r>
          </w:p>
        </w:tc>
        <w:tc>
          <w:tcPr>
            <w:tcW w:w="3192" w:type="dxa"/>
          </w:tcPr>
          <w:p w:rsidR="000C407B" w:rsidRPr="005F19B0" w:rsidRDefault="00132137" w:rsidP="00E53AA4">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rPr>
              <w:t>One advantage of Python is that there are many packages available to facilitate the model development process, including packages for plotting, array manipulation, optimization, and data analysis.</w:t>
            </w:r>
          </w:p>
        </w:tc>
      </w:tr>
      <w:tr w:rsidR="000C407B" w:rsidTr="000C407B">
        <w:tc>
          <w:tcPr>
            <w:tcW w:w="3192" w:type="dxa"/>
          </w:tcPr>
          <w:p w:rsidR="000C407B" w:rsidRPr="005F19B0" w:rsidRDefault="00132137" w:rsidP="00E53AA4">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rPr>
              <w:t>Towards integrating GIS and catchment models</w:t>
            </w:r>
          </w:p>
        </w:tc>
        <w:tc>
          <w:tcPr>
            <w:tcW w:w="3192" w:type="dxa"/>
          </w:tcPr>
          <w:p w:rsidR="000C407B" w:rsidRPr="005F19B0" w:rsidRDefault="00132137" w:rsidP="00132137">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rPr>
              <w:t xml:space="preserve">Pullar, D., Springer, D., 2000. </w:t>
            </w:r>
          </w:p>
        </w:tc>
        <w:tc>
          <w:tcPr>
            <w:tcW w:w="3192" w:type="dxa"/>
          </w:tcPr>
          <w:p w:rsidR="000C407B" w:rsidRPr="005F19B0" w:rsidRDefault="00132137" w:rsidP="00E53AA4">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rPr>
              <w:t xml:space="preserve">The development of spatially distributed hydrologic models has led to improved model forecasting at the cost of requiring more detailed </w:t>
            </w:r>
            <w:r w:rsidRPr="005F19B0">
              <w:rPr>
                <w:rFonts w:ascii="Times New Roman" w:hAnsi="Times New Roman" w:cs="Times New Roman"/>
                <w:sz w:val="26"/>
                <w:szCs w:val="26"/>
              </w:rPr>
              <w:lastRenderedPageBreak/>
              <w:t>spatial information.</w:t>
            </w:r>
          </w:p>
        </w:tc>
      </w:tr>
      <w:tr w:rsidR="000C407B" w:rsidTr="000C407B">
        <w:tc>
          <w:tcPr>
            <w:tcW w:w="3192" w:type="dxa"/>
          </w:tcPr>
          <w:p w:rsidR="000C407B" w:rsidRPr="005F19B0" w:rsidRDefault="005F19B0" w:rsidP="00E53AA4">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rPr>
              <w:lastRenderedPageBreak/>
              <w:t>Estimates of the globalwater budget and its annual cycle using observational and model data</w:t>
            </w:r>
          </w:p>
        </w:tc>
        <w:tc>
          <w:tcPr>
            <w:tcW w:w="3192" w:type="dxa"/>
          </w:tcPr>
          <w:p w:rsidR="000C407B" w:rsidRPr="005F19B0" w:rsidRDefault="00132137" w:rsidP="005F19B0">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rPr>
              <w:t xml:space="preserve">Trenberth, K.E., Smith, L., Qian, T., Dai, A., Fasullo, J., 2006. </w:t>
            </w:r>
          </w:p>
        </w:tc>
        <w:tc>
          <w:tcPr>
            <w:tcW w:w="3192" w:type="dxa"/>
          </w:tcPr>
          <w:p w:rsidR="000C407B" w:rsidRPr="005F19B0" w:rsidRDefault="005F19B0" w:rsidP="00E53AA4">
            <w:pPr>
              <w:tabs>
                <w:tab w:val="left" w:pos="720"/>
              </w:tabs>
              <w:spacing w:after="100" w:line="360" w:lineRule="auto"/>
              <w:jc w:val="both"/>
              <w:rPr>
                <w:rFonts w:ascii="Times New Roman" w:hAnsi="Times New Roman" w:cs="Times New Roman"/>
                <w:sz w:val="26"/>
                <w:szCs w:val="26"/>
              </w:rPr>
            </w:pPr>
            <w:r w:rsidRPr="005F19B0">
              <w:rPr>
                <w:rFonts w:ascii="Times New Roman" w:hAnsi="Times New Roman" w:cs="Times New Roman"/>
                <w:sz w:val="26"/>
                <w:szCs w:val="26"/>
                <w:shd w:val="clear" w:color="auto" w:fill="FFFFFF"/>
              </w:rPr>
              <w:t>These include monthly estimates of P, evapotranspiration E, atmospheric moisture convergence over land, and changes in atmospheric storage, for the major continental landmasses, zonal means over land, hemispheric land means, and global land means.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DD2509" w:rsidRDefault="00DD2509" w:rsidP="00E53AA4">
      <w:pPr>
        <w:tabs>
          <w:tab w:val="left" w:pos="720"/>
          <w:tab w:val="left" w:pos="3390"/>
        </w:tabs>
        <w:spacing w:after="100" w:line="360" w:lineRule="auto"/>
        <w:jc w:val="both"/>
        <w:rPr>
          <w:rFonts w:ascii="Times New Roman" w:hAnsi="Times New Roman" w:cs="Times New Roman"/>
          <w:b/>
          <w:sz w:val="28"/>
          <w:szCs w:val="28"/>
        </w:rPr>
      </w:pPr>
    </w:p>
    <w:p w:rsidR="00DD2509" w:rsidRDefault="00DD2509"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5F19B0" w:rsidRDefault="005F19B0" w:rsidP="00E53AA4">
      <w:pPr>
        <w:spacing w:line="360" w:lineRule="auto"/>
        <w:jc w:val="both"/>
        <w:rPr>
          <w:rFonts w:ascii="Times New Roman" w:hAnsi="Times New Roman" w:cs="Times New Roman"/>
          <w:b/>
          <w:iCs/>
          <w:sz w:val="28"/>
          <w:szCs w:val="28"/>
        </w:rPr>
      </w:pPr>
    </w:p>
    <w:p w:rsidR="005F19B0" w:rsidRDefault="005F19B0" w:rsidP="00E53AA4">
      <w:pPr>
        <w:spacing w:line="360" w:lineRule="auto"/>
        <w:jc w:val="both"/>
        <w:rPr>
          <w:rFonts w:ascii="Times New Roman" w:hAnsi="Times New Roman" w:cs="Times New Roman"/>
          <w:b/>
          <w:iCs/>
          <w:sz w:val="28"/>
          <w:szCs w:val="28"/>
        </w:rPr>
      </w:pPr>
    </w:p>
    <w:p w:rsidR="005F19B0" w:rsidRDefault="005F19B0"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D2509" w:rsidP="00E53AA4">
      <w:pPr>
        <w:spacing w:after="0" w:line="360" w:lineRule="auto"/>
        <w:jc w:val="both"/>
        <w:rPr>
          <w:rFonts w:ascii="Times New Roman" w:hAnsi="Times New Roman" w:cs="Times New Roman"/>
        </w:rPr>
      </w:pPr>
      <w:r w:rsidRPr="00DD2509">
        <w:rPr>
          <w:rFonts w:ascii="Times New Roman" w:hAnsi="Times New Roman" w:cs="Times New Roman"/>
          <w:noProof/>
        </w:rPr>
        <w:drawing>
          <wp:inline distT="0" distB="0" distL="0" distR="0">
            <wp:extent cx="5943600" cy="4354195"/>
            <wp:effectExtent l="19050" t="0" r="0" b="0"/>
            <wp:docPr id="1" name="Picture 1" descr="C:\Users\ELCOT-Lenovo\Desktop\PI.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pn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r w:rsidR="00D81E16">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D2509"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D2509" w:rsidRDefault="00DD250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5E049E" w:rsidRPr="005E049E" w:rsidRDefault="005E049E" w:rsidP="005E049E">
      <w:pPr>
        <w:pStyle w:val="BodyText"/>
        <w:rPr>
          <w:bCs/>
          <w:sz w:val="32"/>
          <w:szCs w:val="32"/>
          <w:lang w:val="en-IN"/>
        </w:rPr>
      </w:pPr>
      <w:r w:rsidRPr="005E049E">
        <w:rPr>
          <w:bCs/>
          <w:sz w:val="32"/>
          <w:szCs w:val="32"/>
          <w:lang w:val="en-IN"/>
        </w:rPr>
        <w:t xml:space="preserve">    Groundwater is a critical resource for people and ecosystems. Tools are needed for efficient data management so that more technically sound and community-supported decisions may be made. In this view, development and diffusion of robust open source and free software constitutes a cornerstone to enhance groundwater management, thus empowering as much as possible technical units in water authorities, academia and private companies, also in communities/countries with limited resources. In recent years, several efforts have addressed these issues by developing tools in GIS and coupling GIS and numerical hydrological models. Often, commercial software was used to this scope, but the cost of such software is usually prohibitive in many areas of the world.</w:t>
      </w:r>
      <w:r w:rsidRPr="005E049E">
        <w:rPr>
          <w:bCs/>
          <w:sz w:val="32"/>
          <w:szCs w:val="32"/>
        </w:rPr>
        <w:t xml:space="preserve"> </w:t>
      </w:r>
    </w:p>
    <w:p w:rsidR="00913958" w:rsidRDefault="00913958"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5E049E" w:rsidRDefault="005E049E" w:rsidP="009E62B1">
      <w:pPr>
        <w:pStyle w:val="BodyText"/>
        <w:jc w:val="center"/>
        <w:rPr>
          <w:b/>
          <w:iCs/>
          <w:sz w:val="28"/>
          <w:szCs w:val="28"/>
        </w:rPr>
      </w:pPr>
    </w:p>
    <w:p w:rsidR="005E049E" w:rsidRDefault="005E049E" w:rsidP="009E62B1">
      <w:pPr>
        <w:pStyle w:val="BodyText"/>
        <w:jc w:val="center"/>
        <w:rPr>
          <w:b/>
          <w:iCs/>
          <w:sz w:val="28"/>
          <w:szCs w:val="28"/>
        </w:rPr>
      </w:pPr>
    </w:p>
    <w:p w:rsidR="005E049E" w:rsidRDefault="005E049E" w:rsidP="009E62B1">
      <w:pPr>
        <w:pStyle w:val="BodyText"/>
        <w:jc w:val="center"/>
        <w:rPr>
          <w:b/>
          <w:iCs/>
          <w:sz w:val="28"/>
          <w:szCs w:val="28"/>
        </w:rPr>
      </w:pPr>
    </w:p>
    <w:p w:rsidR="005E049E" w:rsidRDefault="005E049E" w:rsidP="009E62B1">
      <w:pPr>
        <w:pStyle w:val="BodyText"/>
        <w:jc w:val="center"/>
        <w:rPr>
          <w:b/>
          <w:iCs/>
          <w:sz w:val="28"/>
          <w:szCs w:val="28"/>
        </w:rPr>
      </w:pPr>
    </w:p>
    <w:p w:rsidR="005E049E" w:rsidRDefault="005E049E" w:rsidP="009E62B1">
      <w:pPr>
        <w:pStyle w:val="BodyText"/>
        <w:jc w:val="center"/>
        <w:rPr>
          <w:b/>
          <w:iCs/>
          <w:sz w:val="28"/>
          <w:szCs w:val="28"/>
        </w:rPr>
      </w:pPr>
    </w:p>
    <w:p w:rsidR="005E049E" w:rsidRDefault="005E049E" w:rsidP="009E62B1">
      <w:pPr>
        <w:pStyle w:val="BodyText"/>
        <w:jc w:val="center"/>
        <w:rPr>
          <w:b/>
          <w:iCs/>
          <w:sz w:val="28"/>
          <w:szCs w:val="28"/>
        </w:rPr>
      </w:pPr>
    </w:p>
    <w:p w:rsidR="005E049E" w:rsidRDefault="005E049E" w:rsidP="009E62B1">
      <w:pPr>
        <w:pStyle w:val="BodyText"/>
        <w:jc w:val="center"/>
        <w:rPr>
          <w:b/>
          <w:iCs/>
          <w:sz w:val="28"/>
          <w:szCs w:val="28"/>
        </w:rPr>
      </w:pPr>
    </w:p>
    <w:p w:rsidR="005E049E" w:rsidRDefault="005E049E" w:rsidP="005E049E">
      <w:pPr>
        <w:pStyle w:val="BodyText"/>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CB6706" w:rsidRPr="00181284" w:rsidRDefault="002B0D0F" w:rsidP="00181284">
      <w:pPr>
        <w:pStyle w:val="BodyText"/>
        <w:numPr>
          <w:ilvl w:val="0"/>
          <w:numId w:val="42"/>
        </w:numPr>
        <w:rPr>
          <w:sz w:val="32"/>
          <w:szCs w:val="32"/>
          <w:lang w:val="en-IN"/>
        </w:rPr>
      </w:pPr>
      <w:r w:rsidRPr="00181284">
        <w:rPr>
          <w:sz w:val="32"/>
          <w:szCs w:val="32"/>
        </w:rPr>
        <w:t>Ajami, H., Maddock, T., Meixner, T., Hogan, J.F., Guertin, D.P., 2012. RIPGIS-NET: a GIStool for riparian groundwater evapotranspiration in MODFLOW. Groundwater 50 (1),154–158.R. Rossetto et al. Environmental Modelling and Software 107 (2018) 210–230227</w:t>
      </w:r>
    </w:p>
    <w:p w:rsidR="00CB6706" w:rsidRPr="00181284" w:rsidRDefault="002B0D0F" w:rsidP="00181284">
      <w:pPr>
        <w:pStyle w:val="BodyText"/>
        <w:numPr>
          <w:ilvl w:val="0"/>
          <w:numId w:val="42"/>
        </w:numPr>
        <w:rPr>
          <w:sz w:val="32"/>
          <w:szCs w:val="32"/>
          <w:lang w:val="en-IN"/>
        </w:rPr>
      </w:pPr>
      <w:r w:rsidRPr="00181284">
        <w:rPr>
          <w:sz w:val="32"/>
          <w:szCs w:val="32"/>
          <w:lang w:val="en-IN"/>
        </w:rPr>
        <w:t>Aquaveo, 2012. Arc hydro groundwater – modflow Analyst. http://www.aquaveo.com/archydro-groundwater, Accessed date: 30 March 2016.</w:t>
      </w:r>
    </w:p>
    <w:p w:rsidR="00CB6706" w:rsidRPr="00181284" w:rsidRDefault="002B0D0F" w:rsidP="00181284">
      <w:pPr>
        <w:pStyle w:val="BodyText"/>
        <w:numPr>
          <w:ilvl w:val="0"/>
          <w:numId w:val="42"/>
        </w:numPr>
        <w:rPr>
          <w:sz w:val="32"/>
          <w:szCs w:val="32"/>
          <w:lang w:val="en-IN"/>
        </w:rPr>
      </w:pPr>
      <w:r w:rsidRPr="00181284">
        <w:rPr>
          <w:sz w:val="32"/>
          <w:szCs w:val="32"/>
          <w:lang w:val="en-IN"/>
        </w:rPr>
        <w:t>Argus Holdings Ltd, 1995. Argus ONE Open Numerical Environments. http://www.argusone.com/index.html, Accessed date: 3 September 2017.</w:t>
      </w:r>
    </w:p>
    <w:p w:rsidR="00CB6706" w:rsidRPr="00181284" w:rsidRDefault="002B0D0F" w:rsidP="00181284">
      <w:pPr>
        <w:pStyle w:val="BodyText"/>
        <w:numPr>
          <w:ilvl w:val="0"/>
          <w:numId w:val="42"/>
        </w:numPr>
        <w:rPr>
          <w:sz w:val="32"/>
          <w:szCs w:val="32"/>
          <w:lang w:val="en-IN"/>
        </w:rPr>
      </w:pPr>
      <w:r w:rsidRPr="00181284">
        <w:rPr>
          <w:sz w:val="32"/>
          <w:szCs w:val="32"/>
        </w:rPr>
        <w:t>Bakker, M., Post, V., Langevin, C.D., Hughes, J.D., White, J.T., Starn, J.J., Fienen, M.N.,2016. Scripting MODFLOW model development using Python and FloPy.Groundwater. http://dx.doi.org/10.1111/gwat.12413.</w:t>
      </w:r>
    </w:p>
    <w:p w:rsidR="00CB6706" w:rsidRPr="00181284" w:rsidRDefault="002B0D0F" w:rsidP="00181284">
      <w:pPr>
        <w:pStyle w:val="BodyText"/>
        <w:numPr>
          <w:ilvl w:val="0"/>
          <w:numId w:val="42"/>
        </w:numPr>
        <w:rPr>
          <w:sz w:val="32"/>
          <w:szCs w:val="32"/>
          <w:lang w:val="en-IN"/>
        </w:rPr>
      </w:pPr>
      <w:r w:rsidRPr="00181284">
        <w:rPr>
          <w:sz w:val="32"/>
          <w:szCs w:val="32"/>
        </w:rPr>
        <w:t xml:space="preserve">Bakker, M., Post, V., Langevin, C.D., Hughes, J.D., White, J.T., Starn, J.J., Fienen, M.N.,2017. FloPy v3.2.8. U.S. Geological Survey Software Release, 18 December 2017 </w:t>
      </w:r>
    </w:p>
    <w:p w:rsidR="00CB6706" w:rsidRPr="00181284" w:rsidRDefault="002B0D0F" w:rsidP="00181284">
      <w:pPr>
        <w:pStyle w:val="BodyText"/>
        <w:numPr>
          <w:ilvl w:val="0"/>
          <w:numId w:val="42"/>
        </w:numPr>
        <w:rPr>
          <w:sz w:val="32"/>
          <w:szCs w:val="32"/>
          <w:lang w:val="en-IN"/>
        </w:rPr>
      </w:pPr>
      <w:r w:rsidRPr="00181284">
        <w:rPr>
          <w:sz w:val="32"/>
          <w:szCs w:val="32"/>
          <w:lang w:val="en-IN"/>
        </w:rPr>
        <w:t>Pullar, D., Springer, D., 2000. Towards integrating GIS and catchment models. Environ.Model. Software 15 (5), 451–459.</w:t>
      </w:r>
    </w:p>
    <w:p w:rsidR="00CB6706" w:rsidRPr="00181284" w:rsidRDefault="002B0D0F" w:rsidP="00181284">
      <w:pPr>
        <w:pStyle w:val="BodyText"/>
        <w:numPr>
          <w:ilvl w:val="0"/>
          <w:numId w:val="42"/>
        </w:numPr>
        <w:rPr>
          <w:sz w:val="32"/>
          <w:szCs w:val="32"/>
          <w:lang w:val="en-IN"/>
        </w:rPr>
      </w:pPr>
      <w:r w:rsidRPr="00181284">
        <w:rPr>
          <w:sz w:val="32"/>
          <w:szCs w:val="32"/>
          <w:lang w:val="en-IN"/>
        </w:rPr>
        <w:t>QGIS Development Team, 2009. QGIS Geographic Information System. Open SourceGeospatial Foundation Project.</w:t>
      </w:r>
    </w:p>
    <w:p w:rsidR="00CB6706" w:rsidRPr="00181284" w:rsidRDefault="002B0D0F" w:rsidP="00181284">
      <w:pPr>
        <w:pStyle w:val="BodyText"/>
        <w:numPr>
          <w:ilvl w:val="0"/>
          <w:numId w:val="42"/>
        </w:numPr>
        <w:rPr>
          <w:sz w:val="32"/>
          <w:szCs w:val="32"/>
          <w:lang w:val="en-IN"/>
        </w:rPr>
      </w:pPr>
      <w:r w:rsidRPr="00181284">
        <w:rPr>
          <w:sz w:val="32"/>
          <w:szCs w:val="32"/>
          <w:lang w:val="en-IN"/>
        </w:rPr>
        <w:lastRenderedPageBreak/>
        <w:t>Refsgaard, J.C., Storm, B., Clausen, T., 2010. Système Hydrologique Europeén (SHE):review and perspectives after 30 years development in distributed physically-basedhydrological modelling. Nord. Hydrol 41 (5), 355–377.</w:t>
      </w:r>
    </w:p>
    <w:p w:rsidR="00CB6706" w:rsidRPr="00181284" w:rsidRDefault="002B0D0F" w:rsidP="00181284">
      <w:pPr>
        <w:pStyle w:val="BodyText"/>
        <w:numPr>
          <w:ilvl w:val="0"/>
          <w:numId w:val="42"/>
        </w:numPr>
        <w:rPr>
          <w:sz w:val="32"/>
          <w:szCs w:val="32"/>
          <w:lang w:val="en-IN"/>
        </w:rPr>
      </w:pPr>
      <w:r w:rsidRPr="00181284">
        <w:rPr>
          <w:sz w:val="32"/>
          <w:szCs w:val="32"/>
          <w:lang w:val="en-IN"/>
        </w:rPr>
        <w:t>Regione Toscana, 2017. GEOscopio. http://www.regione.toscana.it/-/geoscopio,Accessed date: 4 September 2017.</w:t>
      </w:r>
    </w:p>
    <w:p w:rsidR="00CB6706" w:rsidRPr="00181284" w:rsidRDefault="002B0D0F" w:rsidP="00181284">
      <w:pPr>
        <w:pStyle w:val="BodyText"/>
        <w:numPr>
          <w:ilvl w:val="0"/>
          <w:numId w:val="42"/>
        </w:numPr>
        <w:rPr>
          <w:sz w:val="32"/>
          <w:szCs w:val="32"/>
          <w:lang w:val="en-IN"/>
        </w:rPr>
      </w:pPr>
      <w:r w:rsidRPr="00181284">
        <w:rPr>
          <w:sz w:val="32"/>
          <w:szCs w:val="32"/>
          <w:lang w:val="en-IN"/>
        </w:rPr>
        <w:t xml:space="preserve">Trenberth, K.E., Smith, L., Qian, T., Dai, A., Fasullo, J., 2006. Estimates of the globalwater budget and its annual cycle using observational and model data. J.Hydrometeorol. 8, 758–769.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491" w:rsidRDefault="00A12491" w:rsidP="003654DF">
      <w:pPr>
        <w:spacing w:after="0" w:line="240" w:lineRule="auto"/>
      </w:pPr>
      <w:r>
        <w:separator/>
      </w:r>
    </w:p>
  </w:endnote>
  <w:endnote w:type="continuationSeparator" w:id="1">
    <w:p w:rsidR="00A12491" w:rsidRDefault="00A1249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491" w:rsidRDefault="00A12491" w:rsidP="003654DF">
      <w:pPr>
        <w:spacing w:after="0" w:line="240" w:lineRule="auto"/>
      </w:pPr>
      <w:r>
        <w:separator/>
      </w:r>
    </w:p>
  </w:footnote>
  <w:footnote w:type="continuationSeparator" w:id="1">
    <w:p w:rsidR="00A12491" w:rsidRDefault="00A1249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B6706">
        <w:pPr>
          <w:pStyle w:val="Header"/>
          <w:jc w:val="right"/>
        </w:pPr>
        <w:fldSimple w:instr=" PAGE   \* MERGEFORMAT ">
          <w:r w:rsidR="00DD2509">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77C5D"/>
    <w:multiLevelType w:val="hybridMultilevel"/>
    <w:tmpl w:val="83D62604"/>
    <w:lvl w:ilvl="0" w:tplc="C4A8DD64">
      <w:start w:val="1"/>
      <w:numFmt w:val="bullet"/>
      <w:lvlText w:val=""/>
      <w:lvlJc w:val="left"/>
      <w:pPr>
        <w:tabs>
          <w:tab w:val="num" w:pos="720"/>
        </w:tabs>
        <w:ind w:left="720" w:hanging="360"/>
      </w:pPr>
      <w:rPr>
        <w:rFonts w:ascii="Wingdings 2" w:hAnsi="Wingdings 2" w:hint="default"/>
      </w:rPr>
    </w:lvl>
    <w:lvl w:ilvl="1" w:tplc="CC080568" w:tentative="1">
      <w:start w:val="1"/>
      <w:numFmt w:val="bullet"/>
      <w:lvlText w:val=""/>
      <w:lvlJc w:val="left"/>
      <w:pPr>
        <w:tabs>
          <w:tab w:val="num" w:pos="1440"/>
        </w:tabs>
        <w:ind w:left="1440" w:hanging="360"/>
      </w:pPr>
      <w:rPr>
        <w:rFonts w:ascii="Wingdings 2" w:hAnsi="Wingdings 2" w:hint="default"/>
      </w:rPr>
    </w:lvl>
    <w:lvl w:ilvl="2" w:tplc="EA08E924" w:tentative="1">
      <w:start w:val="1"/>
      <w:numFmt w:val="bullet"/>
      <w:lvlText w:val=""/>
      <w:lvlJc w:val="left"/>
      <w:pPr>
        <w:tabs>
          <w:tab w:val="num" w:pos="2160"/>
        </w:tabs>
        <w:ind w:left="2160" w:hanging="360"/>
      </w:pPr>
      <w:rPr>
        <w:rFonts w:ascii="Wingdings 2" w:hAnsi="Wingdings 2" w:hint="default"/>
      </w:rPr>
    </w:lvl>
    <w:lvl w:ilvl="3" w:tplc="C256D30A" w:tentative="1">
      <w:start w:val="1"/>
      <w:numFmt w:val="bullet"/>
      <w:lvlText w:val=""/>
      <w:lvlJc w:val="left"/>
      <w:pPr>
        <w:tabs>
          <w:tab w:val="num" w:pos="2880"/>
        </w:tabs>
        <w:ind w:left="2880" w:hanging="360"/>
      </w:pPr>
      <w:rPr>
        <w:rFonts w:ascii="Wingdings 2" w:hAnsi="Wingdings 2" w:hint="default"/>
      </w:rPr>
    </w:lvl>
    <w:lvl w:ilvl="4" w:tplc="D756BF94" w:tentative="1">
      <w:start w:val="1"/>
      <w:numFmt w:val="bullet"/>
      <w:lvlText w:val=""/>
      <w:lvlJc w:val="left"/>
      <w:pPr>
        <w:tabs>
          <w:tab w:val="num" w:pos="3600"/>
        </w:tabs>
        <w:ind w:left="3600" w:hanging="360"/>
      </w:pPr>
      <w:rPr>
        <w:rFonts w:ascii="Wingdings 2" w:hAnsi="Wingdings 2" w:hint="default"/>
      </w:rPr>
    </w:lvl>
    <w:lvl w:ilvl="5" w:tplc="1846AC38" w:tentative="1">
      <w:start w:val="1"/>
      <w:numFmt w:val="bullet"/>
      <w:lvlText w:val=""/>
      <w:lvlJc w:val="left"/>
      <w:pPr>
        <w:tabs>
          <w:tab w:val="num" w:pos="4320"/>
        </w:tabs>
        <w:ind w:left="4320" w:hanging="360"/>
      </w:pPr>
      <w:rPr>
        <w:rFonts w:ascii="Wingdings 2" w:hAnsi="Wingdings 2" w:hint="default"/>
      </w:rPr>
    </w:lvl>
    <w:lvl w:ilvl="6" w:tplc="8C503CD2" w:tentative="1">
      <w:start w:val="1"/>
      <w:numFmt w:val="bullet"/>
      <w:lvlText w:val=""/>
      <w:lvlJc w:val="left"/>
      <w:pPr>
        <w:tabs>
          <w:tab w:val="num" w:pos="5040"/>
        </w:tabs>
        <w:ind w:left="5040" w:hanging="360"/>
      </w:pPr>
      <w:rPr>
        <w:rFonts w:ascii="Wingdings 2" w:hAnsi="Wingdings 2" w:hint="default"/>
      </w:rPr>
    </w:lvl>
    <w:lvl w:ilvl="7" w:tplc="A052D320" w:tentative="1">
      <w:start w:val="1"/>
      <w:numFmt w:val="bullet"/>
      <w:lvlText w:val=""/>
      <w:lvlJc w:val="left"/>
      <w:pPr>
        <w:tabs>
          <w:tab w:val="num" w:pos="5760"/>
        </w:tabs>
        <w:ind w:left="5760" w:hanging="360"/>
      </w:pPr>
      <w:rPr>
        <w:rFonts w:ascii="Wingdings 2" w:hAnsi="Wingdings 2" w:hint="default"/>
      </w:rPr>
    </w:lvl>
    <w:lvl w:ilvl="8" w:tplc="1C08AD4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BD1E23"/>
    <w:multiLevelType w:val="hybridMultilevel"/>
    <w:tmpl w:val="BA781C4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597076"/>
    <w:multiLevelType w:val="hybridMultilevel"/>
    <w:tmpl w:val="6874B44C"/>
    <w:lvl w:ilvl="0" w:tplc="4D82D722">
      <w:start w:val="1"/>
      <w:numFmt w:val="bullet"/>
      <w:lvlText w:val=""/>
      <w:lvlJc w:val="left"/>
      <w:pPr>
        <w:tabs>
          <w:tab w:val="num" w:pos="720"/>
        </w:tabs>
        <w:ind w:left="720" w:hanging="360"/>
      </w:pPr>
      <w:rPr>
        <w:rFonts w:ascii="Wingdings 2" w:hAnsi="Wingdings 2" w:hint="default"/>
      </w:rPr>
    </w:lvl>
    <w:lvl w:ilvl="1" w:tplc="E914599C" w:tentative="1">
      <w:start w:val="1"/>
      <w:numFmt w:val="bullet"/>
      <w:lvlText w:val=""/>
      <w:lvlJc w:val="left"/>
      <w:pPr>
        <w:tabs>
          <w:tab w:val="num" w:pos="1440"/>
        </w:tabs>
        <w:ind w:left="1440" w:hanging="360"/>
      </w:pPr>
      <w:rPr>
        <w:rFonts w:ascii="Wingdings 2" w:hAnsi="Wingdings 2" w:hint="default"/>
      </w:rPr>
    </w:lvl>
    <w:lvl w:ilvl="2" w:tplc="39C2298C" w:tentative="1">
      <w:start w:val="1"/>
      <w:numFmt w:val="bullet"/>
      <w:lvlText w:val=""/>
      <w:lvlJc w:val="left"/>
      <w:pPr>
        <w:tabs>
          <w:tab w:val="num" w:pos="2160"/>
        </w:tabs>
        <w:ind w:left="2160" w:hanging="360"/>
      </w:pPr>
      <w:rPr>
        <w:rFonts w:ascii="Wingdings 2" w:hAnsi="Wingdings 2" w:hint="default"/>
      </w:rPr>
    </w:lvl>
    <w:lvl w:ilvl="3" w:tplc="2842C2A6" w:tentative="1">
      <w:start w:val="1"/>
      <w:numFmt w:val="bullet"/>
      <w:lvlText w:val=""/>
      <w:lvlJc w:val="left"/>
      <w:pPr>
        <w:tabs>
          <w:tab w:val="num" w:pos="2880"/>
        </w:tabs>
        <w:ind w:left="2880" w:hanging="360"/>
      </w:pPr>
      <w:rPr>
        <w:rFonts w:ascii="Wingdings 2" w:hAnsi="Wingdings 2" w:hint="default"/>
      </w:rPr>
    </w:lvl>
    <w:lvl w:ilvl="4" w:tplc="D18A38A8" w:tentative="1">
      <w:start w:val="1"/>
      <w:numFmt w:val="bullet"/>
      <w:lvlText w:val=""/>
      <w:lvlJc w:val="left"/>
      <w:pPr>
        <w:tabs>
          <w:tab w:val="num" w:pos="3600"/>
        </w:tabs>
        <w:ind w:left="3600" w:hanging="360"/>
      </w:pPr>
      <w:rPr>
        <w:rFonts w:ascii="Wingdings 2" w:hAnsi="Wingdings 2" w:hint="default"/>
      </w:rPr>
    </w:lvl>
    <w:lvl w:ilvl="5" w:tplc="EE04AE6E" w:tentative="1">
      <w:start w:val="1"/>
      <w:numFmt w:val="bullet"/>
      <w:lvlText w:val=""/>
      <w:lvlJc w:val="left"/>
      <w:pPr>
        <w:tabs>
          <w:tab w:val="num" w:pos="4320"/>
        </w:tabs>
        <w:ind w:left="4320" w:hanging="360"/>
      </w:pPr>
      <w:rPr>
        <w:rFonts w:ascii="Wingdings 2" w:hAnsi="Wingdings 2" w:hint="default"/>
      </w:rPr>
    </w:lvl>
    <w:lvl w:ilvl="6" w:tplc="62826F8E" w:tentative="1">
      <w:start w:val="1"/>
      <w:numFmt w:val="bullet"/>
      <w:lvlText w:val=""/>
      <w:lvlJc w:val="left"/>
      <w:pPr>
        <w:tabs>
          <w:tab w:val="num" w:pos="5040"/>
        </w:tabs>
        <w:ind w:left="5040" w:hanging="360"/>
      </w:pPr>
      <w:rPr>
        <w:rFonts w:ascii="Wingdings 2" w:hAnsi="Wingdings 2" w:hint="default"/>
      </w:rPr>
    </w:lvl>
    <w:lvl w:ilvl="7" w:tplc="0C0228B6" w:tentative="1">
      <w:start w:val="1"/>
      <w:numFmt w:val="bullet"/>
      <w:lvlText w:val=""/>
      <w:lvlJc w:val="left"/>
      <w:pPr>
        <w:tabs>
          <w:tab w:val="num" w:pos="5760"/>
        </w:tabs>
        <w:ind w:left="5760" w:hanging="360"/>
      </w:pPr>
      <w:rPr>
        <w:rFonts w:ascii="Wingdings 2" w:hAnsi="Wingdings 2" w:hint="default"/>
      </w:rPr>
    </w:lvl>
    <w:lvl w:ilvl="8" w:tplc="3B5462C6"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BF3C2A"/>
    <w:multiLevelType w:val="hybridMultilevel"/>
    <w:tmpl w:val="D0587026"/>
    <w:lvl w:ilvl="0" w:tplc="ED9AF55A">
      <w:start w:val="1"/>
      <w:numFmt w:val="bullet"/>
      <w:lvlText w:val=""/>
      <w:lvlJc w:val="left"/>
      <w:pPr>
        <w:tabs>
          <w:tab w:val="num" w:pos="720"/>
        </w:tabs>
        <w:ind w:left="720" w:hanging="360"/>
      </w:pPr>
      <w:rPr>
        <w:rFonts w:ascii="Wingdings 2" w:hAnsi="Wingdings 2" w:hint="default"/>
      </w:rPr>
    </w:lvl>
    <w:lvl w:ilvl="1" w:tplc="30C428C6" w:tentative="1">
      <w:start w:val="1"/>
      <w:numFmt w:val="bullet"/>
      <w:lvlText w:val=""/>
      <w:lvlJc w:val="left"/>
      <w:pPr>
        <w:tabs>
          <w:tab w:val="num" w:pos="1440"/>
        </w:tabs>
        <w:ind w:left="1440" w:hanging="360"/>
      </w:pPr>
      <w:rPr>
        <w:rFonts w:ascii="Wingdings 2" w:hAnsi="Wingdings 2" w:hint="default"/>
      </w:rPr>
    </w:lvl>
    <w:lvl w:ilvl="2" w:tplc="8098D0AA" w:tentative="1">
      <w:start w:val="1"/>
      <w:numFmt w:val="bullet"/>
      <w:lvlText w:val=""/>
      <w:lvlJc w:val="left"/>
      <w:pPr>
        <w:tabs>
          <w:tab w:val="num" w:pos="2160"/>
        </w:tabs>
        <w:ind w:left="2160" w:hanging="360"/>
      </w:pPr>
      <w:rPr>
        <w:rFonts w:ascii="Wingdings 2" w:hAnsi="Wingdings 2" w:hint="default"/>
      </w:rPr>
    </w:lvl>
    <w:lvl w:ilvl="3" w:tplc="C1627828" w:tentative="1">
      <w:start w:val="1"/>
      <w:numFmt w:val="bullet"/>
      <w:lvlText w:val=""/>
      <w:lvlJc w:val="left"/>
      <w:pPr>
        <w:tabs>
          <w:tab w:val="num" w:pos="2880"/>
        </w:tabs>
        <w:ind w:left="2880" w:hanging="360"/>
      </w:pPr>
      <w:rPr>
        <w:rFonts w:ascii="Wingdings 2" w:hAnsi="Wingdings 2" w:hint="default"/>
      </w:rPr>
    </w:lvl>
    <w:lvl w:ilvl="4" w:tplc="1EAAC804" w:tentative="1">
      <w:start w:val="1"/>
      <w:numFmt w:val="bullet"/>
      <w:lvlText w:val=""/>
      <w:lvlJc w:val="left"/>
      <w:pPr>
        <w:tabs>
          <w:tab w:val="num" w:pos="3600"/>
        </w:tabs>
        <w:ind w:left="3600" w:hanging="360"/>
      </w:pPr>
      <w:rPr>
        <w:rFonts w:ascii="Wingdings 2" w:hAnsi="Wingdings 2" w:hint="default"/>
      </w:rPr>
    </w:lvl>
    <w:lvl w:ilvl="5" w:tplc="F6CC7B66" w:tentative="1">
      <w:start w:val="1"/>
      <w:numFmt w:val="bullet"/>
      <w:lvlText w:val=""/>
      <w:lvlJc w:val="left"/>
      <w:pPr>
        <w:tabs>
          <w:tab w:val="num" w:pos="4320"/>
        </w:tabs>
        <w:ind w:left="4320" w:hanging="360"/>
      </w:pPr>
      <w:rPr>
        <w:rFonts w:ascii="Wingdings 2" w:hAnsi="Wingdings 2" w:hint="default"/>
      </w:rPr>
    </w:lvl>
    <w:lvl w:ilvl="6" w:tplc="90CA230C" w:tentative="1">
      <w:start w:val="1"/>
      <w:numFmt w:val="bullet"/>
      <w:lvlText w:val=""/>
      <w:lvlJc w:val="left"/>
      <w:pPr>
        <w:tabs>
          <w:tab w:val="num" w:pos="5040"/>
        </w:tabs>
        <w:ind w:left="5040" w:hanging="360"/>
      </w:pPr>
      <w:rPr>
        <w:rFonts w:ascii="Wingdings 2" w:hAnsi="Wingdings 2" w:hint="default"/>
      </w:rPr>
    </w:lvl>
    <w:lvl w:ilvl="7" w:tplc="DC2620C6" w:tentative="1">
      <w:start w:val="1"/>
      <w:numFmt w:val="bullet"/>
      <w:lvlText w:val=""/>
      <w:lvlJc w:val="left"/>
      <w:pPr>
        <w:tabs>
          <w:tab w:val="num" w:pos="5760"/>
        </w:tabs>
        <w:ind w:left="5760" w:hanging="360"/>
      </w:pPr>
      <w:rPr>
        <w:rFonts w:ascii="Wingdings 2" w:hAnsi="Wingdings 2" w:hint="default"/>
      </w:rPr>
    </w:lvl>
    <w:lvl w:ilvl="8" w:tplc="B8D67AE8" w:tentative="1">
      <w:start w:val="1"/>
      <w:numFmt w:val="bullet"/>
      <w:lvlText w:val=""/>
      <w:lvlJc w:val="left"/>
      <w:pPr>
        <w:tabs>
          <w:tab w:val="num" w:pos="6480"/>
        </w:tabs>
        <w:ind w:left="6480" w:hanging="360"/>
      </w:pPr>
      <w:rPr>
        <w:rFonts w:ascii="Wingdings 2" w:hAnsi="Wingdings 2" w:hint="default"/>
      </w:rPr>
    </w:lvl>
  </w:abstractNum>
  <w:abstractNum w:abstractNumId="41">
    <w:nsid w:val="6F4C0566"/>
    <w:multiLevelType w:val="hybridMultilevel"/>
    <w:tmpl w:val="98A0A29C"/>
    <w:lvl w:ilvl="0" w:tplc="A380FA3C">
      <w:start w:val="1"/>
      <w:numFmt w:val="bullet"/>
      <w:lvlText w:val=""/>
      <w:lvlJc w:val="left"/>
      <w:pPr>
        <w:tabs>
          <w:tab w:val="num" w:pos="720"/>
        </w:tabs>
        <w:ind w:left="720" w:hanging="360"/>
      </w:pPr>
      <w:rPr>
        <w:rFonts w:ascii="Wingdings 2" w:hAnsi="Wingdings 2" w:hint="default"/>
      </w:rPr>
    </w:lvl>
    <w:lvl w:ilvl="1" w:tplc="938AB084" w:tentative="1">
      <w:start w:val="1"/>
      <w:numFmt w:val="bullet"/>
      <w:lvlText w:val=""/>
      <w:lvlJc w:val="left"/>
      <w:pPr>
        <w:tabs>
          <w:tab w:val="num" w:pos="1440"/>
        </w:tabs>
        <w:ind w:left="1440" w:hanging="360"/>
      </w:pPr>
      <w:rPr>
        <w:rFonts w:ascii="Wingdings 2" w:hAnsi="Wingdings 2" w:hint="default"/>
      </w:rPr>
    </w:lvl>
    <w:lvl w:ilvl="2" w:tplc="3DD0B232" w:tentative="1">
      <w:start w:val="1"/>
      <w:numFmt w:val="bullet"/>
      <w:lvlText w:val=""/>
      <w:lvlJc w:val="left"/>
      <w:pPr>
        <w:tabs>
          <w:tab w:val="num" w:pos="2160"/>
        </w:tabs>
        <w:ind w:left="2160" w:hanging="360"/>
      </w:pPr>
      <w:rPr>
        <w:rFonts w:ascii="Wingdings 2" w:hAnsi="Wingdings 2" w:hint="default"/>
      </w:rPr>
    </w:lvl>
    <w:lvl w:ilvl="3" w:tplc="B76E9260" w:tentative="1">
      <w:start w:val="1"/>
      <w:numFmt w:val="bullet"/>
      <w:lvlText w:val=""/>
      <w:lvlJc w:val="left"/>
      <w:pPr>
        <w:tabs>
          <w:tab w:val="num" w:pos="2880"/>
        </w:tabs>
        <w:ind w:left="2880" w:hanging="360"/>
      </w:pPr>
      <w:rPr>
        <w:rFonts w:ascii="Wingdings 2" w:hAnsi="Wingdings 2" w:hint="default"/>
      </w:rPr>
    </w:lvl>
    <w:lvl w:ilvl="4" w:tplc="103C2640" w:tentative="1">
      <w:start w:val="1"/>
      <w:numFmt w:val="bullet"/>
      <w:lvlText w:val=""/>
      <w:lvlJc w:val="left"/>
      <w:pPr>
        <w:tabs>
          <w:tab w:val="num" w:pos="3600"/>
        </w:tabs>
        <w:ind w:left="3600" w:hanging="360"/>
      </w:pPr>
      <w:rPr>
        <w:rFonts w:ascii="Wingdings 2" w:hAnsi="Wingdings 2" w:hint="default"/>
      </w:rPr>
    </w:lvl>
    <w:lvl w:ilvl="5" w:tplc="BB9CF3E8" w:tentative="1">
      <w:start w:val="1"/>
      <w:numFmt w:val="bullet"/>
      <w:lvlText w:val=""/>
      <w:lvlJc w:val="left"/>
      <w:pPr>
        <w:tabs>
          <w:tab w:val="num" w:pos="4320"/>
        </w:tabs>
        <w:ind w:left="4320" w:hanging="360"/>
      </w:pPr>
      <w:rPr>
        <w:rFonts w:ascii="Wingdings 2" w:hAnsi="Wingdings 2" w:hint="default"/>
      </w:rPr>
    </w:lvl>
    <w:lvl w:ilvl="6" w:tplc="D144C86A" w:tentative="1">
      <w:start w:val="1"/>
      <w:numFmt w:val="bullet"/>
      <w:lvlText w:val=""/>
      <w:lvlJc w:val="left"/>
      <w:pPr>
        <w:tabs>
          <w:tab w:val="num" w:pos="5040"/>
        </w:tabs>
        <w:ind w:left="5040" w:hanging="360"/>
      </w:pPr>
      <w:rPr>
        <w:rFonts w:ascii="Wingdings 2" w:hAnsi="Wingdings 2" w:hint="default"/>
      </w:rPr>
    </w:lvl>
    <w:lvl w:ilvl="7" w:tplc="3092CB44" w:tentative="1">
      <w:start w:val="1"/>
      <w:numFmt w:val="bullet"/>
      <w:lvlText w:val=""/>
      <w:lvlJc w:val="left"/>
      <w:pPr>
        <w:tabs>
          <w:tab w:val="num" w:pos="5760"/>
        </w:tabs>
        <w:ind w:left="5760" w:hanging="360"/>
      </w:pPr>
      <w:rPr>
        <w:rFonts w:ascii="Wingdings 2" w:hAnsi="Wingdings 2" w:hint="default"/>
      </w:rPr>
    </w:lvl>
    <w:lvl w:ilvl="8" w:tplc="964C702A"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9E70D1"/>
    <w:multiLevelType w:val="hybridMultilevel"/>
    <w:tmpl w:val="AE8A5EDA"/>
    <w:lvl w:ilvl="0" w:tplc="30D6CBE6">
      <w:start w:val="1"/>
      <w:numFmt w:val="bullet"/>
      <w:lvlText w:val=""/>
      <w:lvlJc w:val="left"/>
      <w:pPr>
        <w:tabs>
          <w:tab w:val="num" w:pos="720"/>
        </w:tabs>
        <w:ind w:left="720" w:hanging="360"/>
      </w:pPr>
      <w:rPr>
        <w:rFonts w:ascii="Wingdings 2" w:hAnsi="Wingdings 2" w:hint="default"/>
      </w:rPr>
    </w:lvl>
    <w:lvl w:ilvl="1" w:tplc="ECBA5FBC" w:tentative="1">
      <w:start w:val="1"/>
      <w:numFmt w:val="bullet"/>
      <w:lvlText w:val=""/>
      <w:lvlJc w:val="left"/>
      <w:pPr>
        <w:tabs>
          <w:tab w:val="num" w:pos="1440"/>
        </w:tabs>
        <w:ind w:left="1440" w:hanging="360"/>
      </w:pPr>
      <w:rPr>
        <w:rFonts w:ascii="Wingdings 2" w:hAnsi="Wingdings 2" w:hint="default"/>
      </w:rPr>
    </w:lvl>
    <w:lvl w:ilvl="2" w:tplc="0FA8090C" w:tentative="1">
      <w:start w:val="1"/>
      <w:numFmt w:val="bullet"/>
      <w:lvlText w:val=""/>
      <w:lvlJc w:val="left"/>
      <w:pPr>
        <w:tabs>
          <w:tab w:val="num" w:pos="2160"/>
        </w:tabs>
        <w:ind w:left="2160" w:hanging="360"/>
      </w:pPr>
      <w:rPr>
        <w:rFonts w:ascii="Wingdings 2" w:hAnsi="Wingdings 2" w:hint="default"/>
      </w:rPr>
    </w:lvl>
    <w:lvl w:ilvl="3" w:tplc="7254806A" w:tentative="1">
      <w:start w:val="1"/>
      <w:numFmt w:val="bullet"/>
      <w:lvlText w:val=""/>
      <w:lvlJc w:val="left"/>
      <w:pPr>
        <w:tabs>
          <w:tab w:val="num" w:pos="2880"/>
        </w:tabs>
        <w:ind w:left="2880" w:hanging="360"/>
      </w:pPr>
      <w:rPr>
        <w:rFonts w:ascii="Wingdings 2" w:hAnsi="Wingdings 2" w:hint="default"/>
      </w:rPr>
    </w:lvl>
    <w:lvl w:ilvl="4" w:tplc="F216C9EE" w:tentative="1">
      <w:start w:val="1"/>
      <w:numFmt w:val="bullet"/>
      <w:lvlText w:val=""/>
      <w:lvlJc w:val="left"/>
      <w:pPr>
        <w:tabs>
          <w:tab w:val="num" w:pos="3600"/>
        </w:tabs>
        <w:ind w:left="3600" w:hanging="360"/>
      </w:pPr>
      <w:rPr>
        <w:rFonts w:ascii="Wingdings 2" w:hAnsi="Wingdings 2" w:hint="default"/>
      </w:rPr>
    </w:lvl>
    <w:lvl w:ilvl="5" w:tplc="3FE6CC38" w:tentative="1">
      <w:start w:val="1"/>
      <w:numFmt w:val="bullet"/>
      <w:lvlText w:val=""/>
      <w:lvlJc w:val="left"/>
      <w:pPr>
        <w:tabs>
          <w:tab w:val="num" w:pos="4320"/>
        </w:tabs>
        <w:ind w:left="4320" w:hanging="360"/>
      </w:pPr>
      <w:rPr>
        <w:rFonts w:ascii="Wingdings 2" w:hAnsi="Wingdings 2" w:hint="default"/>
      </w:rPr>
    </w:lvl>
    <w:lvl w:ilvl="6" w:tplc="305A49B4" w:tentative="1">
      <w:start w:val="1"/>
      <w:numFmt w:val="bullet"/>
      <w:lvlText w:val=""/>
      <w:lvlJc w:val="left"/>
      <w:pPr>
        <w:tabs>
          <w:tab w:val="num" w:pos="5040"/>
        </w:tabs>
        <w:ind w:left="5040" w:hanging="360"/>
      </w:pPr>
      <w:rPr>
        <w:rFonts w:ascii="Wingdings 2" w:hAnsi="Wingdings 2" w:hint="default"/>
      </w:rPr>
    </w:lvl>
    <w:lvl w:ilvl="7" w:tplc="058E84F8" w:tentative="1">
      <w:start w:val="1"/>
      <w:numFmt w:val="bullet"/>
      <w:lvlText w:val=""/>
      <w:lvlJc w:val="left"/>
      <w:pPr>
        <w:tabs>
          <w:tab w:val="num" w:pos="5760"/>
        </w:tabs>
        <w:ind w:left="5760" w:hanging="360"/>
      </w:pPr>
      <w:rPr>
        <w:rFonts w:ascii="Wingdings 2" w:hAnsi="Wingdings 2" w:hint="default"/>
      </w:rPr>
    </w:lvl>
    <w:lvl w:ilvl="8" w:tplc="9E2C75E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39"/>
  </w:num>
  <w:num w:numId="14">
    <w:abstractNumId w:val="45"/>
  </w:num>
  <w:num w:numId="15">
    <w:abstractNumId w:val="34"/>
  </w:num>
  <w:num w:numId="16">
    <w:abstractNumId w:val="31"/>
  </w:num>
  <w:num w:numId="17">
    <w:abstractNumId w:val="8"/>
  </w:num>
  <w:num w:numId="18">
    <w:abstractNumId w:val="33"/>
  </w:num>
  <w:num w:numId="19">
    <w:abstractNumId w:val="23"/>
  </w:num>
  <w:num w:numId="20">
    <w:abstractNumId w:val="7"/>
  </w:num>
  <w:num w:numId="21">
    <w:abstractNumId w:val="46"/>
  </w:num>
  <w:num w:numId="22">
    <w:abstractNumId w:val="18"/>
  </w:num>
  <w:num w:numId="23">
    <w:abstractNumId w:val="42"/>
  </w:num>
  <w:num w:numId="24">
    <w:abstractNumId w:val="43"/>
  </w:num>
  <w:num w:numId="25">
    <w:abstractNumId w:val="29"/>
  </w:num>
  <w:num w:numId="26">
    <w:abstractNumId w:val="17"/>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35"/>
  </w:num>
  <w:num w:numId="43">
    <w:abstractNumId w:val="44"/>
  </w:num>
  <w:num w:numId="44">
    <w:abstractNumId w:val="1"/>
  </w:num>
  <w:num w:numId="45">
    <w:abstractNumId w:val="41"/>
  </w:num>
  <w:num w:numId="46">
    <w:abstractNumId w:val="26"/>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7652"/>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2137"/>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284"/>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0D0F"/>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6F"/>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49E"/>
    <w:rsid w:val="005E0D72"/>
    <w:rsid w:val="005E581E"/>
    <w:rsid w:val="005E6AC7"/>
    <w:rsid w:val="005E7F3A"/>
    <w:rsid w:val="005F13FB"/>
    <w:rsid w:val="005F199E"/>
    <w:rsid w:val="005F19B0"/>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31E"/>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5B9"/>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958"/>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4E1D"/>
    <w:rsid w:val="00A05787"/>
    <w:rsid w:val="00A061CB"/>
    <w:rsid w:val="00A10A08"/>
    <w:rsid w:val="00A12491"/>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244"/>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6706"/>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567"/>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509"/>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3724062">
      <w:bodyDiv w:val="1"/>
      <w:marLeft w:val="0"/>
      <w:marRight w:val="0"/>
      <w:marTop w:val="0"/>
      <w:marBottom w:val="0"/>
      <w:divBdr>
        <w:top w:val="none" w:sz="0" w:space="0" w:color="auto"/>
        <w:left w:val="none" w:sz="0" w:space="0" w:color="auto"/>
        <w:bottom w:val="none" w:sz="0" w:space="0" w:color="auto"/>
        <w:right w:val="none" w:sz="0" w:space="0" w:color="auto"/>
      </w:divBdr>
      <w:divsChild>
        <w:div w:id="1880052086">
          <w:marLeft w:val="576"/>
          <w:marRight w:val="0"/>
          <w:marTop w:val="120"/>
          <w:marBottom w:val="0"/>
          <w:divBdr>
            <w:top w:val="none" w:sz="0" w:space="0" w:color="auto"/>
            <w:left w:val="none" w:sz="0" w:space="0" w:color="auto"/>
            <w:bottom w:val="none" w:sz="0" w:space="0" w:color="auto"/>
            <w:right w:val="none" w:sz="0" w:space="0" w:color="auto"/>
          </w:divBdr>
        </w:div>
        <w:div w:id="760955336">
          <w:marLeft w:val="576"/>
          <w:marRight w:val="0"/>
          <w:marTop w:val="120"/>
          <w:marBottom w:val="0"/>
          <w:divBdr>
            <w:top w:val="none" w:sz="0" w:space="0" w:color="auto"/>
            <w:left w:val="none" w:sz="0" w:space="0" w:color="auto"/>
            <w:bottom w:val="none" w:sz="0" w:space="0" w:color="auto"/>
            <w:right w:val="none" w:sz="0" w:space="0" w:color="auto"/>
          </w:divBdr>
        </w:div>
        <w:div w:id="771821035">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5010709">
      <w:bodyDiv w:val="1"/>
      <w:marLeft w:val="0"/>
      <w:marRight w:val="0"/>
      <w:marTop w:val="0"/>
      <w:marBottom w:val="0"/>
      <w:divBdr>
        <w:top w:val="none" w:sz="0" w:space="0" w:color="auto"/>
        <w:left w:val="none" w:sz="0" w:space="0" w:color="auto"/>
        <w:bottom w:val="none" w:sz="0" w:space="0" w:color="auto"/>
        <w:right w:val="none" w:sz="0" w:space="0" w:color="auto"/>
      </w:divBdr>
      <w:divsChild>
        <w:div w:id="1401446429">
          <w:marLeft w:val="576"/>
          <w:marRight w:val="0"/>
          <w:marTop w:val="120"/>
          <w:marBottom w:val="0"/>
          <w:divBdr>
            <w:top w:val="none" w:sz="0" w:space="0" w:color="auto"/>
            <w:left w:val="none" w:sz="0" w:space="0" w:color="auto"/>
            <w:bottom w:val="none" w:sz="0" w:space="0" w:color="auto"/>
            <w:right w:val="none" w:sz="0" w:space="0" w:color="auto"/>
          </w:divBdr>
        </w:div>
        <w:div w:id="1306856235">
          <w:marLeft w:val="576"/>
          <w:marRight w:val="0"/>
          <w:marTop w:val="120"/>
          <w:marBottom w:val="0"/>
          <w:divBdr>
            <w:top w:val="none" w:sz="0" w:space="0" w:color="auto"/>
            <w:left w:val="none" w:sz="0" w:space="0" w:color="auto"/>
            <w:bottom w:val="none" w:sz="0" w:space="0" w:color="auto"/>
            <w:right w:val="none" w:sz="0" w:space="0" w:color="auto"/>
          </w:divBdr>
        </w:div>
        <w:div w:id="1816680773">
          <w:marLeft w:val="576"/>
          <w:marRight w:val="0"/>
          <w:marTop w:val="120"/>
          <w:marBottom w:val="0"/>
          <w:divBdr>
            <w:top w:val="none" w:sz="0" w:space="0" w:color="auto"/>
            <w:left w:val="none" w:sz="0" w:space="0" w:color="auto"/>
            <w:bottom w:val="none" w:sz="0" w:space="0" w:color="auto"/>
            <w:right w:val="none" w:sz="0" w:space="0" w:color="auto"/>
          </w:divBdr>
        </w:div>
        <w:div w:id="1475563549">
          <w:marLeft w:val="576"/>
          <w:marRight w:val="0"/>
          <w:marTop w:val="120"/>
          <w:marBottom w:val="0"/>
          <w:divBdr>
            <w:top w:val="none" w:sz="0" w:space="0" w:color="auto"/>
            <w:left w:val="none" w:sz="0" w:space="0" w:color="auto"/>
            <w:bottom w:val="none" w:sz="0" w:space="0" w:color="auto"/>
            <w:right w:val="none" w:sz="0" w:space="0" w:color="auto"/>
          </w:divBdr>
        </w:div>
        <w:div w:id="15611958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0263455">
      <w:bodyDiv w:val="1"/>
      <w:marLeft w:val="0"/>
      <w:marRight w:val="0"/>
      <w:marTop w:val="0"/>
      <w:marBottom w:val="0"/>
      <w:divBdr>
        <w:top w:val="none" w:sz="0" w:space="0" w:color="auto"/>
        <w:left w:val="none" w:sz="0" w:space="0" w:color="auto"/>
        <w:bottom w:val="none" w:sz="0" w:space="0" w:color="auto"/>
        <w:right w:val="none" w:sz="0" w:space="0" w:color="auto"/>
      </w:divBdr>
      <w:divsChild>
        <w:div w:id="1992833242">
          <w:marLeft w:val="576"/>
          <w:marRight w:val="0"/>
          <w:marTop w:val="120"/>
          <w:marBottom w:val="0"/>
          <w:divBdr>
            <w:top w:val="none" w:sz="0" w:space="0" w:color="auto"/>
            <w:left w:val="none" w:sz="0" w:space="0" w:color="auto"/>
            <w:bottom w:val="none" w:sz="0" w:space="0" w:color="auto"/>
            <w:right w:val="none" w:sz="0" w:space="0" w:color="auto"/>
          </w:divBdr>
        </w:div>
        <w:div w:id="755596806">
          <w:marLeft w:val="576"/>
          <w:marRight w:val="0"/>
          <w:marTop w:val="120"/>
          <w:marBottom w:val="0"/>
          <w:divBdr>
            <w:top w:val="none" w:sz="0" w:space="0" w:color="auto"/>
            <w:left w:val="none" w:sz="0" w:space="0" w:color="auto"/>
            <w:bottom w:val="none" w:sz="0" w:space="0" w:color="auto"/>
            <w:right w:val="none" w:sz="0" w:space="0" w:color="auto"/>
          </w:divBdr>
        </w:div>
        <w:div w:id="171202837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484956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7464026">
      <w:bodyDiv w:val="1"/>
      <w:marLeft w:val="0"/>
      <w:marRight w:val="0"/>
      <w:marTop w:val="0"/>
      <w:marBottom w:val="0"/>
      <w:divBdr>
        <w:top w:val="none" w:sz="0" w:space="0" w:color="auto"/>
        <w:left w:val="none" w:sz="0" w:space="0" w:color="auto"/>
        <w:bottom w:val="none" w:sz="0" w:space="0" w:color="auto"/>
        <w:right w:val="none" w:sz="0" w:space="0" w:color="auto"/>
      </w:divBdr>
      <w:divsChild>
        <w:div w:id="1095858887">
          <w:marLeft w:val="576"/>
          <w:marRight w:val="0"/>
          <w:marTop w:val="120"/>
          <w:marBottom w:val="0"/>
          <w:divBdr>
            <w:top w:val="none" w:sz="0" w:space="0" w:color="auto"/>
            <w:left w:val="none" w:sz="0" w:space="0" w:color="auto"/>
            <w:bottom w:val="none" w:sz="0" w:space="0" w:color="auto"/>
            <w:right w:val="none" w:sz="0" w:space="0" w:color="auto"/>
          </w:divBdr>
        </w:div>
        <w:div w:id="1476532342">
          <w:marLeft w:val="576"/>
          <w:marRight w:val="0"/>
          <w:marTop w:val="120"/>
          <w:marBottom w:val="0"/>
          <w:divBdr>
            <w:top w:val="none" w:sz="0" w:space="0" w:color="auto"/>
            <w:left w:val="none" w:sz="0" w:space="0" w:color="auto"/>
            <w:bottom w:val="none" w:sz="0" w:space="0" w:color="auto"/>
            <w:right w:val="none" w:sz="0" w:space="0" w:color="auto"/>
          </w:divBdr>
        </w:div>
        <w:div w:id="194052481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4387386">
      <w:bodyDiv w:val="1"/>
      <w:marLeft w:val="0"/>
      <w:marRight w:val="0"/>
      <w:marTop w:val="0"/>
      <w:marBottom w:val="0"/>
      <w:divBdr>
        <w:top w:val="none" w:sz="0" w:space="0" w:color="auto"/>
        <w:left w:val="none" w:sz="0" w:space="0" w:color="auto"/>
        <w:bottom w:val="none" w:sz="0" w:space="0" w:color="auto"/>
        <w:right w:val="none" w:sz="0" w:space="0" w:color="auto"/>
      </w:divBdr>
      <w:divsChild>
        <w:div w:id="832457380">
          <w:marLeft w:val="576"/>
          <w:marRight w:val="0"/>
          <w:marTop w:val="120"/>
          <w:marBottom w:val="0"/>
          <w:divBdr>
            <w:top w:val="none" w:sz="0" w:space="0" w:color="auto"/>
            <w:left w:val="none" w:sz="0" w:space="0" w:color="auto"/>
            <w:bottom w:val="none" w:sz="0" w:space="0" w:color="auto"/>
            <w:right w:val="none" w:sz="0" w:space="0" w:color="auto"/>
          </w:divBdr>
        </w:div>
        <w:div w:id="267204897">
          <w:marLeft w:val="576"/>
          <w:marRight w:val="0"/>
          <w:marTop w:val="120"/>
          <w:marBottom w:val="0"/>
          <w:divBdr>
            <w:top w:val="none" w:sz="0" w:space="0" w:color="auto"/>
            <w:left w:val="none" w:sz="0" w:space="0" w:color="auto"/>
            <w:bottom w:val="none" w:sz="0" w:space="0" w:color="auto"/>
            <w:right w:val="none" w:sz="0" w:space="0" w:color="auto"/>
          </w:divBdr>
        </w:div>
        <w:div w:id="1373846083">
          <w:marLeft w:val="576"/>
          <w:marRight w:val="0"/>
          <w:marTop w:val="120"/>
          <w:marBottom w:val="0"/>
          <w:divBdr>
            <w:top w:val="none" w:sz="0" w:space="0" w:color="auto"/>
            <w:left w:val="none" w:sz="0" w:space="0" w:color="auto"/>
            <w:bottom w:val="none" w:sz="0" w:space="0" w:color="auto"/>
            <w:right w:val="none" w:sz="0" w:space="0" w:color="auto"/>
          </w:divBdr>
        </w:div>
        <w:div w:id="811362687">
          <w:marLeft w:val="576"/>
          <w:marRight w:val="0"/>
          <w:marTop w:val="120"/>
          <w:marBottom w:val="0"/>
          <w:divBdr>
            <w:top w:val="none" w:sz="0" w:space="0" w:color="auto"/>
            <w:left w:val="none" w:sz="0" w:space="0" w:color="auto"/>
            <w:bottom w:val="none" w:sz="0" w:space="0" w:color="auto"/>
            <w:right w:val="none" w:sz="0" w:space="0" w:color="auto"/>
          </w:divBdr>
        </w:div>
        <w:div w:id="110396069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7632267">
      <w:bodyDiv w:val="1"/>
      <w:marLeft w:val="0"/>
      <w:marRight w:val="0"/>
      <w:marTop w:val="0"/>
      <w:marBottom w:val="0"/>
      <w:divBdr>
        <w:top w:val="none" w:sz="0" w:space="0" w:color="auto"/>
        <w:left w:val="none" w:sz="0" w:space="0" w:color="auto"/>
        <w:bottom w:val="none" w:sz="0" w:space="0" w:color="auto"/>
        <w:right w:val="none" w:sz="0" w:space="0" w:color="auto"/>
      </w:divBdr>
      <w:divsChild>
        <w:div w:id="1309477338">
          <w:marLeft w:val="576"/>
          <w:marRight w:val="0"/>
          <w:marTop w:val="120"/>
          <w:marBottom w:val="0"/>
          <w:divBdr>
            <w:top w:val="none" w:sz="0" w:space="0" w:color="auto"/>
            <w:left w:val="none" w:sz="0" w:space="0" w:color="auto"/>
            <w:bottom w:val="none" w:sz="0" w:space="0" w:color="auto"/>
            <w:right w:val="none" w:sz="0" w:space="0" w:color="auto"/>
          </w:divBdr>
        </w:div>
        <w:div w:id="28261575">
          <w:marLeft w:val="576"/>
          <w:marRight w:val="0"/>
          <w:marTop w:val="120"/>
          <w:marBottom w:val="0"/>
          <w:divBdr>
            <w:top w:val="none" w:sz="0" w:space="0" w:color="auto"/>
            <w:left w:val="none" w:sz="0" w:space="0" w:color="auto"/>
            <w:bottom w:val="none" w:sz="0" w:space="0" w:color="auto"/>
            <w:right w:val="none" w:sz="0" w:space="0" w:color="auto"/>
          </w:divBdr>
        </w:div>
        <w:div w:id="1105275340">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1690</Words>
  <Characters>9637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2022-03-14T06:12:00Z</dcterms:modified>
</cp:coreProperties>
</file>