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BB470C" w:rsidP="00BB470C">
      <w:pPr>
        <w:spacing w:line="360" w:lineRule="auto"/>
        <w:jc w:val="center"/>
        <w:rPr>
          <w:rFonts w:ascii="Times New Roman" w:hAnsi="Times New Roman" w:cs="Times New Roman"/>
          <w:b/>
          <w:sz w:val="40"/>
          <w:szCs w:val="40"/>
        </w:rPr>
      </w:pPr>
      <w:r w:rsidRPr="00BB470C">
        <w:rPr>
          <w:rFonts w:ascii="Times New Roman" w:hAnsi="Times New Roman" w:cs="Times New Roman"/>
          <w:b/>
          <w:sz w:val="40"/>
          <w:szCs w:val="40"/>
        </w:rPr>
        <w:t>Need to develop digitally the dynamic model to integrate the impact of climate change (CC) indicators with assessment of vulnerability and adaptation at localized scale for agriculture sector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B470C" w:rsidRDefault="00BB470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6A3ACF" w:rsidRDefault="006A3ACF" w:rsidP="00E53AA4">
      <w:pPr>
        <w:spacing w:line="360" w:lineRule="auto"/>
        <w:jc w:val="both"/>
        <w:rPr>
          <w:rFonts w:ascii="Times New Roman" w:hAnsi="Times New Roman" w:cs="Times New Roman"/>
          <w:b/>
          <w:sz w:val="32"/>
          <w:szCs w:val="32"/>
        </w:rPr>
      </w:pPr>
      <w:r w:rsidRPr="006A3ACF">
        <w:rPr>
          <w:rFonts w:ascii="Times New Roman" w:hAnsi="Times New Roman" w:cs="Times New Roman"/>
          <w:color w:val="000000"/>
          <w:sz w:val="32"/>
          <w:szCs w:val="32"/>
          <w:shd w:val="clear" w:color="auto" w:fill="FFFFFF"/>
        </w:rPr>
        <w:t>Agriculture and climate change are internally correlated with each other in various aspects, as climate change is the main cause of biotic and abiotic stresses, which have adverse effects on the agriculture of a region. The land and its agriculture are being affected by climate changes in different ways, e.g., variations in annual rainfall, average temperature, heat waves, modifications in weeds, pests or microbes, global change of atmospheric CO</w:t>
      </w:r>
      <w:r w:rsidRPr="006A3ACF">
        <w:rPr>
          <w:rFonts w:ascii="Times New Roman" w:hAnsi="Times New Roman" w:cs="Times New Roman"/>
          <w:color w:val="000000"/>
          <w:sz w:val="32"/>
          <w:szCs w:val="32"/>
          <w:shd w:val="clear" w:color="auto" w:fill="FFFFFF"/>
          <w:vertAlign w:val="subscript"/>
        </w:rPr>
        <w:t>2</w:t>
      </w:r>
      <w:r w:rsidRPr="006A3ACF">
        <w:rPr>
          <w:rFonts w:ascii="Times New Roman" w:hAnsi="Times New Roman" w:cs="Times New Roman"/>
          <w:color w:val="000000"/>
          <w:sz w:val="32"/>
          <w:szCs w:val="32"/>
          <w:shd w:val="clear" w:color="auto" w:fill="FFFFFF"/>
        </w:rPr>
        <w:t> or ozone level, and fluctuations in sea level. The threat of varying global climate has greatly driven the attention of scientists, as these variations are imparting negative impact on global crop production and compromising food security worldwide. According to some predicted reports, agriculture is considered the most endangered activity adversely affected by climate changes. To date, food security and ecosystem resilience are the most concerning subjects worldwide. Climate-smart agriculture is the only way to lower the negative impact of climate variations on crop adaptation, before it might affect global crop production drastically. In this review paper, we summarize the causes of climate change, stresses produced due to climate change, impacts on crops, modern breeding technologies, and biotechnological strategies to cope with climate change, in order to develop climate resilient crops. Revolutions in genetic engineering techniques can also aid in overcoming food security issues against extreme environmental conditions, by producing transgenic plants.</w:t>
      </w:r>
      <w:r w:rsidR="001C4FD2">
        <w:rPr>
          <w:rFonts w:ascii="Times New Roman" w:hAnsi="Times New Roman" w:cs="Times New Roman"/>
          <w:sz w:val="40"/>
          <w:szCs w:val="40"/>
        </w:rPr>
        <w:t xml:space="preserve">                            </w:t>
      </w:r>
    </w:p>
    <w:p w:rsidR="006A300A" w:rsidRPr="003D03F4" w:rsidRDefault="006A300A" w:rsidP="006A3AC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C5781" w:rsidRDefault="003F0A59" w:rsidP="001C57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5781">
        <w:rPr>
          <w:rFonts w:ascii="Times New Roman" w:hAnsi="Times New Roman" w:cs="Times New Roman"/>
          <w:sz w:val="32"/>
          <w:szCs w:val="32"/>
          <w:lang w:val="en-IN"/>
        </w:rPr>
        <w:t xml:space="preserve">Therefore the paper reviews existing interpretations, concepts and frameworks of vulnerability approaches in the climate change context. </w:t>
      </w:r>
    </w:p>
    <w:p w:rsidR="00000000" w:rsidRPr="001C5781" w:rsidRDefault="003F0A59" w:rsidP="001C57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5781">
        <w:rPr>
          <w:rFonts w:ascii="Times New Roman" w:hAnsi="Times New Roman" w:cs="Times New Roman"/>
          <w:sz w:val="32"/>
          <w:szCs w:val="32"/>
          <w:lang w:val="en-IN"/>
        </w:rPr>
        <w:t>However, while there are agreed i</w:t>
      </w:r>
      <w:r w:rsidRPr="001C5781">
        <w:rPr>
          <w:rFonts w:ascii="Times New Roman" w:hAnsi="Times New Roman" w:cs="Times New Roman"/>
          <w:sz w:val="32"/>
          <w:szCs w:val="32"/>
          <w:lang w:val="en-IN"/>
        </w:rPr>
        <w:t>ndicators to measure the impact of climate change, there seem to exist no agreed metrics to describe vulnerability (e.g. of crop yields or agricultural income).</w:t>
      </w:r>
    </w:p>
    <w:p w:rsidR="00000000" w:rsidRPr="001C5781" w:rsidRDefault="003F0A59" w:rsidP="001C57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5781">
        <w:rPr>
          <w:rFonts w:ascii="Times New Roman" w:hAnsi="Times New Roman" w:cs="Times New Roman"/>
          <w:sz w:val="32"/>
          <w:szCs w:val="32"/>
          <w:lang w:val="en-IN"/>
        </w:rPr>
        <w:t>As climate change brings new uncertainties, risks and changes to already existing risks, one o</w:t>
      </w:r>
      <w:r w:rsidRPr="001C5781">
        <w:rPr>
          <w:rFonts w:ascii="Times New Roman" w:hAnsi="Times New Roman" w:cs="Times New Roman"/>
          <w:sz w:val="32"/>
          <w:szCs w:val="32"/>
          <w:lang w:val="en-IN"/>
        </w:rPr>
        <w:t>f the most efficient ways for agriculture to adapt is increasing its resilience.</w:t>
      </w:r>
      <w:r w:rsidRPr="001C578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A51C5" w:rsidRDefault="003F0A59" w:rsidP="008A51C5">
      <w:pPr>
        <w:numPr>
          <w:ilvl w:val="0"/>
          <w:numId w:val="45"/>
        </w:numPr>
        <w:spacing w:line="360" w:lineRule="auto"/>
        <w:jc w:val="both"/>
        <w:rPr>
          <w:rFonts w:ascii="Times New Roman" w:hAnsi="Times New Roman" w:cs="Times New Roman"/>
          <w:bCs/>
          <w:sz w:val="32"/>
          <w:szCs w:val="32"/>
          <w:lang w:val="en-IN"/>
        </w:rPr>
      </w:pPr>
      <w:r w:rsidRPr="008A51C5">
        <w:rPr>
          <w:rFonts w:ascii="Times New Roman" w:hAnsi="Times New Roman" w:cs="Times New Roman"/>
          <w:bCs/>
          <w:sz w:val="32"/>
          <w:szCs w:val="32"/>
          <w:lang w:val="en-IN"/>
        </w:rPr>
        <w:t xml:space="preserve">These climatic problems severely distress plant development and yield, produce enormous responses, comprising molecular, biochemical, physiological, and morphological </w:t>
      </w:r>
      <w:r w:rsidRPr="008A51C5">
        <w:rPr>
          <w:rFonts w:ascii="Times New Roman" w:hAnsi="Times New Roman" w:cs="Times New Roman"/>
          <w:bCs/>
          <w:sz w:val="32"/>
          <w:szCs w:val="32"/>
          <w:lang w:val="en-IN"/>
        </w:rPr>
        <w:t>modifications.</w:t>
      </w:r>
    </w:p>
    <w:p w:rsidR="00000000" w:rsidRPr="008A51C5" w:rsidRDefault="003F0A59" w:rsidP="008A51C5">
      <w:pPr>
        <w:numPr>
          <w:ilvl w:val="0"/>
          <w:numId w:val="45"/>
        </w:numPr>
        <w:spacing w:line="360" w:lineRule="auto"/>
        <w:jc w:val="both"/>
        <w:rPr>
          <w:rFonts w:ascii="Times New Roman" w:hAnsi="Times New Roman" w:cs="Times New Roman"/>
          <w:bCs/>
          <w:sz w:val="32"/>
          <w:szCs w:val="32"/>
          <w:lang w:val="en-IN"/>
        </w:rPr>
      </w:pPr>
      <w:r w:rsidRPr="008A51C5">
        <w:rPr>
          <w:rFonts w:ascii="Times New Roman" w:hAnsi="Times New Roman" w:cs="Times New Roman"/>
          <w:bCs/>
          <w:sz w:val="32"/>
          <w:szCs w:val="32"/>
          <w:lang w:val="en-IN"/>
        </w:rPr>
        <w:t>Food security and safety are threatened by the severe weather conditions and it is not a recent problem. But formerly, no consideration was adopted to tackle this problem.</w:t>
      </w:r>
    </w:p>
    <w:p w:rsidR="00F94960" w:rsidRPr="008A51C5" w:rsidRDefault="003F0A59" w:rsidP="00E53AA4">
      <w:pPr>
        <w:numPr>
          <w:ilvl w:val="0"/>
          <w:numId w:val="45"/>
        </w:numPr>
        <w:spacing w:line="360" w:lineRule="auto"/>
        <w:jc w:val="both"/>
        <w:rPr>
          <w:rFonts w:ascii="Times New Roman" w:hAnsi="Times New Roman" w:cs="Times New Roman"/>
          <w:bCs/>
          <w:sz w:val="32"/>
          <w:szCs w:val="32"/>
          <w:lang w:val="en-IN"/>
        </w:rPr>
      </w:pPr>
      <w:r w:rsidRPr="008A51C5">
        <w:rPr>
          <w:rFonts w:ascii="Times New Roman" w:hAnsi="Times New Roman" w:cs="Times New Roman"/>
          <w:bCs/>
          <w:sz w:val="32"/>
          <w:szCs w:val="32"/>
          <w:lang w:val="en-IN"/>
        </w:rPr>
        <w:t>Because of climate change, food quality, supply, and safety are sti</w:t>
      </w:r>
      <w:r w:rsidRPr="008A51C5">
        <w:rPr>
          <w:rFonts w:ascii="Times New Roman" w:hAnsi="Times New Roman" w:cs="Times New Roman"/>
          <w:bCs/>
          <w:sz w:val="32"/>
          <w:szCs w:val="32"/>
          <w:lang w:val="en-IN"/>
        </w:rPr>
        <w:t>ll the biggest problems for research</w:t>
      </w:r>
      <w:r w:rsidRPr="008A51C5">
        <w:rPr>
          <w:rFonts w:ascii="Times New Roman" w:hAnsi="Times New Roman" w:cs="Times New Roman"/>
          <w:bCs/>
          <w:sz w:val="32"/>
          <w:szCs w:val="32"/>
          <w:lang w:val="en-IN"/>
        </w:rPr>
        <w:t>e</w:t>
      </w:r>
      <w:r w:rsidRPr="008A51C5">
        <w:rPr>
          <w:rFonts w:ascii="Times New Roman" w:hAnsi="Times New Roman" w:cs="Times New Roman"/>
          <w:bCs/>
          <w:sz w:val="32"/>
          <w:szCs w:val="32"/>
          <w:lang w:val="en-IN"/>
        </w:rPr>
        <w:t>r</w:t>
      </w:r>
      <w:r w:rsidRPr="008A51C5">
        <w:rPr>
          <w:rFonts w:ascii="Times New Roman" w:hAnsi="Times New Roman" w:cs="Times New Roman"/>
          <w:bCs/>
          <w:sz w:val="32"/>
          <w:szCs w:val="32"/>
          <w:lang w:val="en-IN"/>
        </w:rPr>
        <w:t>s</w:t>
      </w:r>
      <w:r w:rsidRPr="008A51C5">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F300D2" w:rsidRPr="00F300D2" w:rsidRDefault="00F300D2" w:rsidP="00F300D2">
      <w:pPr>
        <w:pStyle w:val="NormalWeb"/>
        <w:numPr>
          <w:ilvl w:val="0"/>
          <w:numId w:val="46"/>
        </w:numPr>
        <w:spacing w:before="0" w:beforeAutospacing="0" w:after="0" w:afterAutospacing="0" w:line="360" w:lineRule="auto"/>
        <w:ind w:left="426"/>
        <w:jc w:val="both"/>
        <w:rPr>
          <w:sz w:val="32"/>
          <w:szCs w:val="32"/>
        </w:rPr>
      </w:pPr>
      <w:r w:rsidRPr="00F300D2">
        <w:rPr>
          <w:sz w:val="32"/>
          <w:szCs w:val="32"/>
        </w:rPr>
        <w:t>One objective of climate change research is not to propose testable long-range hypotheses rather to provide indicative forecasts to guide pre-emptive policy-making.</w:t>
      </w:r>
    </w:p>
    <w:p w:rsidR="00F300D2" w:rsidRPr="00F300D2" w:rsidRDefault="00F300D2" w:rsidP="00F300D2">
      <w:pPr>
        <w:pStyle w:val="NormalWeb"/>
        <w:numPr>
          <w:ilvl w:val="0"/>
          <w:numId w:val="46"/>
        </w:numPr>
        <w:spacing w:before="0" w:beforeAutospacing="0" w:after="0" w:afterAutospacing="0" w:line="360" w:lineRule="auto"/>
        <w:ind w:left="426"/>
        <w:jc w:val="both"/>
        <w:rPr>
          <w:sz w:val="32"/>
          <w:szCs w:val="32"/>
        </w:rPr>
      </w:pPr>
      <w:r w:rsidRPr="00F300D2">
        <w:rPr>
          <w:sz w:val="32"/>
          <w:szCs w:val="32"/>
        </w:rPr>
        <w:t>It is important to assess in advance any risks to health from proposed technological adaptations.</w:t>
      </w:r>
    </w:p>
    <w:p w:rsidR="003A5D44" w:rsidRPr="00F300D2" w:rsidRDefault="00F300D2" w:rsidP="00E53AA4">
      <w:pPr>
        <w:pStyle w:val="NormalWeb"/>
        <w:numPr>
          <w:ilvl w:val="0"/>
          <w:numId w:val="46"/>
        </w:numPr>
        <w:spacing w:before="0" w:beforeAutospacing="0" w:after="0" w:afterAutospacing="0" w:line="360" w:lineRule="auto"/>
        <w:ind w:left="426"/>
        <w:jc w:val="both"/>
        <w:rPr>
          <w:sz w:val="32"/>
          <w:szCs w:val="32"/>
        </w:rPr>
      </w:pPr>
      <w:r w:rsidRPr="00F300D2">
        <w:rPr>
          <w:sz w:val="32"/>
          <w:szCs w:val="32"/>
        </w:rPr>
        <w:t>The benefit-cost criterion is straightforward: if the winners under a proposed policy value the change more highly than do the losers, it is said that the policy has positive net benefits and enhances efficiency.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57C25" w:rsidRDefault="003F0A59" w:rsidP="00E57C25">
      <w:pPr>
        <w:numPr>
          <w:ilvl w:val="0"/>
          <w:numId w:val="47"/>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E57C25">
        <w:rPr>
          <w:rFonts w:ascii="Times New Roman" w:eastAsia="AdvGulliv-R" w:hAnsi="Times New Roman" w:cs="Times New Roman"/>
          <w:bCs/>
          <w:sz w:val="32"/>
          <w:szCs w:val="32"/>
          <w:lang w:val="en-IN"/>
        </w:rPr>
        <w:t xml:space="preserve">Genetic </w:t>
      </w:r>
      <w:r w:rsidRPr="00E57C25">
        <w:rPr>
          <w:rFonts w:ascii="Times New Roman" w:eastAsia="AdvGulliv-R" w:hAnsi="Times New Roman" w:cs="Times New Roman"/>
          <w:bCs/>
          <w:sz w:val="32"/>
          <w:szCs w:val="32"/>
          <w:lang w:val="en-IN"/>
        </w:rPr>
        <w:t>divergence analysis is used for polymorphism, inbreeding, assessment, assortment, and recombination to attain plant perfection, and is amongst the main aspects for defining accomplished inbreeding.</w:t>
      </w:r>
    </w:p>
    <w:p w:rsidR="00000000" w:rsidRPr="00E57C25" w:rsidRDefault="003F0A59" w:rsidP="00E57C25">
      <w:pPr>
        <w:numPr>
          <w:ilvl w:val="0"/>
          <w:numId w:val="47"/>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E57C25">
        <w:rPr>
          <w:rFonts w:ascii="Times New Roman" w:eastAsia="AdvGulliv-R" w:hAnsi="Times New Roman" w:cs="Times New Roman"/>
          <w:bCs/>
          <w:sz w:val="32"/>
          <w:szCs w:val="32"/>
          <w:lang w:val="en-IN"/>
        </w:rPr>
        <w:t xml:space="preserve">In genome editing technology site specific endonucleases </w:t>
      </w:r>
      <w:r w:rsidRPr="00E57C25">
        <w:rPr>
          <w:rFonts w:ascii="Times New Roman" w:eastAsia="AdvGulliv-R" w:hAnsi="Times New Roman" w:cs="Times New Roman"/>
          <w:bCs/>
          <w:sz w:val="32"/>
          <w:szCs w:val="32"/>
          <w:lang w:val="en-IN"/>
        </w:rPr>
        <w:t>are used comprising of zinc-finger nucleases (ZFNs), transcription activator like effector nucleases (TALENs), and CRISPR-Cas9.</w:t>
      </w:r>
    </w:p>
    <w:p w:rsidR="00B31569" w:rsidRPr="00E57C25" w:rsidRDefault="003F0A59" w:rsidP="00E53AA4">
      <w:pPr>
        <w:numPr>
          <w:ilvl w:val="0"/>
          <w:numId w:val="47"/>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E57C25">
        <w:rPr>
          <w:rFonts w:ascii="Times New Roman" w:eastAsia="AdvGulliv-R" w:hAnsi="Times New Roman" w:cs="Times New Roman"/>
          <w:bCs/>
          <w:sz w:val="32"/>
          <w:szCs w:val="32"/>
          <w:lang w:val="en-IN"/>
        </w:rPr>
        <w:t>The CRISPR/Cas9 strategy was used to develop tomato mutant lines which showed a considerably enhanced concentration of proline,</w:t>
      </w:r>
      <w:r w:rsidRPr="00E57C25">
        <w:rPr>
          <w:rFonts w:ascii="Times New Roman" w:eastAsia="AdvGulliv-R" w:hAnsi="Times New Roman" w:cs="Times New Roman"/>
          <w:bCs/>
          <w:sz w:val="32"/>
          <w:szCs w:val="32"/>
          <w:lang w:val="en-IN"/>
        </w:rPr>
        <w:t xml:space="preserve"> malondialdehyde, and H</w:t>
      </w:r>
      <w:r w:rsidRPr="00E57C25">
        <w:rPr>
          <w:rFonts w:ascii="Times New Roman" w:eastAsia="AdvGulliv-R" w:hAnsi="Times New Roman" w:cs="Times New Roman"/>
          <w:bCs/>
          <w:sz w:val="32"/>
          <w:szCs w:val="32"/>
          <w:vertAlign w:val="subscript"/>
          <w:lang w:val="en-IN"/>
        </w:rPr>
        <w:t>2</w:t>
      </w:r>
      <w:r w:rsidRPr="00E57C25">
        <w:rPr>
          <w:rFonts w:ascii="Times New Roman" w:eastAsia="AdvGulliv-R" w:hAnsi="Times New Roman" w:cs="Times New Roman"/>
          <w:bCs/>
          <w:sz w:val="32"/>
          <w:szCs w:val="32"/>
          <w:lang w:val="en-IN"/>
        </w:rPr>
        <w:t>O</w:t>
      </w:r>
      <w:r w:rsidRPr="00E57C25">
        <w:rPr>
          <w:rFonts w:ascii="Times New Roman" w:eastAsia="AdvGulliv-R" w:hAnsi="Times New Roman" w:cs="Times New Roman"/>
          <w:bCs/>
          <w:sz w:val="32"/>
          <w:szCs w:val="32"/>
          <w:vertAlign w:val="subscript"/>
          <w:lang w:val="en-IN"/>
        </w:rPr>
        <w:t>2</w:t>
      </w:r>
      <w:r w:rsidRPr="00E57C25">
        <w:rPr>
          <w:rFonts w:ascii="Times New Roman" w:eastAsia="AdvGulliv-R" w:hAnsi="Times New Roman" w:cs="Times New Roman"/>
          <w:bCs/>
          <w:sz w:val="32"/>
          <w:szCs w:val="32"/>
          <w:lang w:val="en-IN"/>
        </w:rPr>
        <w:t>.</w:t>
      </w:r>
      <w:r w:rsidRPr="00E57C25">
        <w:rPr>
          <w:rFonts w:ascii="Times New Roman" w:eastAsia="AdvGulliv-R" w:hAnsi="Times New Roman" w:cs="Times New Roman"/>
          <w:bCs/>
          <w:sz w:val="32"/>
          <w:szCs w:val="32"/>
        </w:rPr>
        <w:t xml:space="preserve"> </w:t>
      </w:r>
    </w:p>
    <w:p w:rsidR="00E57C25" w:rsidRDefault="00E57C2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E57C25" w:rsidRDefault="00E57C2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E57C25" w:rsidRDefault="00E57C2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E57C25" w:rsidRDefault="00E57C2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586"/>
        <w:gridCol w:w="3798"/>
      </w:tblGrid>
      <w:tr w:rsidR="000C407B" w:rsidTr="00181C33">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58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79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181C33">
        <w:trPr>
          <w:trHeight w:val="2780"/>
        </w:trPr>
        <w:tc>
          <w:tcPr>
            <w:tcW w:w="3192" w:type="dxa"/>
          </w:tcPr>
          <w:p w:rsidR="000C407B" w:rsidRPr="00181C33" w:rsidRDefault="00CF7249" w:rsidP="00E53AA4">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rPr>
              <w:t>The Routledge Handbook of Agricultural Economics</w:t>
            </w:r>
          </w:p>
        </w:tc>
        <w:tc>
          <w:tcPr>
            <w:tcW w:w="2586" w:type="dxa"/>
          </w:tcPr>
          <w:p w:rsidR="000C407B" w:rsidRPr="00181C33" w:rsidRDefault="00CF7249" w:rsidP="00CF7249">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rPr>
              <w:t>Arunanondchai P., Fei C., Fisher A., McCarl B.A., Wang W., Yang Y. </w:t>
            </w:r>
          </w:p>
        </w:tc>
        <w:tc>
          <w:tcPr>
            <w:tcW w:w="3798" w:type="dxa"/>
          </w:tcPr>
          <w:p w:rsidR="000C407B" w:rsidRPr="00181C33" w:rsidRDefault="00CF7249" w:rsidP="00E53AA4">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rPr>
              <w:t>The Routledge Handbook of Agricultural Economics explores a broad variety of topics including welfare economics, econometrics, agribusiness, and consumer economics.</w:t>
            </w:r>
          </w:p>
        </w:tc>
      </w:tr>
      <w:tr w:rsidR="000C407B" w:rsidTr="00181C33">
        <w:trPr>
          <w:trHeight w:val="2942"/>
        </w:trPr>
        <w:tc>
          <w:tcPr>
            <w:tcW w:w="3192" w:type="dxa"/>
          </w:tcPr>
          <w:p w:rsidR="000C407B" w:rsidRPr="00181C33" w:rsidRDefault="00CF7249" w:rsidP="00E53AA4">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rPr>
              <w:t>Environmental impacts of the cultivation-phase associated with agricultural crops for feed production</w:t>
            </w:r>
          </w:p>
        </w:tc>
        <w:tc>
          <w:tcPr>
            <w:tcW w:w="2586" w:type="dxa"/>
          </w:tcPr>
          <w:p w:rsidR="000C407B" w:rsidRPr="00181C33" w:rsidRDefault="00CF7249" w:rsidP="00CF7249">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rPr>
              <w:t xml:space="preserve">Noya I., González-García S., Bacenetti J., Fiala M., Moreira M.T. </w:t>
            </w:r>
          </w:p>
        </w:tc>
        <w:tc>
          <w:tcPr>
            <w:tcW w:w="3798" w:type="dxa"/>
          </w:tcPr>
          <w:p w:rsidR="000C407B" w:rsidRPr="00181C33" w:rsidRDefault="00CF7249" w:rsidP="00E53AA4">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shd w:val="clear" w:color="auto" w:fill="FFFFFF"/>
              </w:rPr>
              <w:t>The crop variety (out of 3 and 4 varieties of barley and rye, respectively) and cultivation regime (single vs. double cropping of sorghum) with the lowest impacts per kg of crude protein (mass-based functional unit) were identified. </w:t>
            </w:r>
          </w:p>
        </w:tc>
      </w:tr>
      <w:tr w:rsidR="000C407B" w:rsidTr="00181C33">
        <w:tc>
          <w:tcPr>
            <w:tcW w:w="3192" w:type="dxa"/>
          </w:tcPr>
          <w:p w:rsidR="000C407B" w:rsidRPr="00181C33" w:rsidRDefault="00CF7249" w:rsidP="00E53AA4">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rPr>
              <w:t>The effects of climate change associated abiotic stresses on maize phytochemical defenses</w:t>
            </w:r>
          </w:p>
        </w:tc>
        <w:tc>
          <w:tcPr>
            <w:tcW w:w="2586" w:type="dxa"/>
          </w:tcPr>
          <w:p w:rsidR="000C407B" w:rsidRPr="00181C33" w:rsidRDefault="00CF7249" w:rsidP="00CF7249">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rPr>
              <w:t xml:space="preserve">Vaughan M.M., Block A., Christensen S.A., Allen L.H., Schmelz E.A. </w:t>
            </w:r>
          </w:p>
        </w:tc>
        <w:tc>
          <w:tcPr>
            <w:tcW w:w="3798" w:type="dxa"/>
          </w:tcPr>
          <w:p w:rsidR="000C407B" w:rsidRPr="00181C33" w:rsidRDefault="00CF7249" w:rsidP="00E53AA4">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shd w:val="clear" w:color="auto" w:fill="FFFFFF"/>
              </w:rPr>
              <w:t>Climate changes are expected to increase the frequency and intensity of both abiotic and biotic stress.</w:t>
            </w:r>
          </w:p>
        </w:tc>
      </w:tr>
      <w:tr w:rsidR="000C407B" w:rsidTr="00181C33">
        <w:tc>
          <w:tcPr>
            <w:tcW w:w="3192" w:type="dxa"/>
          </w:tcPr>
          <w:p w:rsidR="000C407B" w:rsidRPr="00181C33" w:rsidRDefault="00CF7249" w:rsidP="00E53AA4">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rPr>
              <w:t>Climate change impacts on global food security</w:t>
            </w:r>
          </w:p>
        </w:tc>
        <w:tc>
          <w:tcPr>
            <w:tcW w:w="2586" w:type="dxa"/>
          </w:tcPr>
          <w:p w:rsidR="000C407B" w:rsidRPr="00181C33" w:rsidRDefault="00CF7249" w:rsidP="00CF7249">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rPr>
              <w:t xml:space="preserve">Wheeler T., Von Braun J. </w:t>
            </w:r>
          </w:p>
        </w:tc>
        <w:tc>
          <w:tcPr>
            <w:tcW w:w="3798" w:type="dxa"/>
          </w:tcPr>
          <w:p w:rsidR="000C407B" w:rsidRPr="00181C33" w:rsidRDefault="00CF7249" w:rsidP="00E53AA4">
            <w:pPr>
              <w:tabs>
                <w:tab w:val="left" w:pos="720"/>
              </w:tabs>
              <w:spacing w:after="100" w:line="360" w:lineRule="auto"/>
              <w:jc w:val="both"/>
              <w:rPr>
                <w:rFonts w:ascii="Times New Roman" w:hAnsi="Times New Roman" w:cs="Times New Roman"/>
                <w:sz w:val="26"/>
                <w:szCs w:val="26"/>
              </w:rPr>
            </w:pPr>
            <w:r w:rsidRPr="00181C33">
              <w:rPr>
                <w:rFonts w:ascii="Times New Roman" w:hAnsi="Times New Roman" w:cs="Times New Roman"/>
                <w:sz w:val="26"/>
                <w:szCs w:val="26"/>
                <w:shd w:val="clear" w:color="auto" w:fill="FFFFFF"/>
              </w:rPr>
              <w:t> A robust and coherent global pattern is discernible of the impacts of climate change on crop productivity that could have consequences for food availability.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220AFC" w:rsidRDefault="00220AF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20AFC" w:rsidRDefault="00220AF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20AFC" w:rsidRDefault="00220AF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20AFC" w:rsidP="00E53AA4">
      <w:pPr>
        <w:spacing w:after="0" w:line="360" w:lineRule="auto"/>
        <w:jc w:val="both"/>
        <w:rPr>
          <w:rFonts w:ascii="Times New Roman" w:hAnsi="Times New Roman" w:cs="Times New Roman"/>
        </w:rPr>
      </w:pPr>
      <w:r w:rsidRPr="00220AFC">
        <w:rPr>
          <w:rFonts w:ascii="Times New Roman" w:hAnsi="Times New Roman" w:cs="Times New Roman"/>
        </w:rPr>
        <w:drawing>
          <wp:inline distT="0" distB="0" distL="0" distR="0">
            <wp:extent cx="5943600" cy="403669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3669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20AFC" w:rsidRDefault="00220AF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17968" w:rsidRPr="00017968" w:rsidRDefault="00017968" w:rsidP="00017968">
      <w:pPr>
        <w:pStyle w:val="BodyText"/>
        <w:rPr>
          <w:bCs/>
          <w:sz w:val="36"/>
          <w:szCs w:val="36"/>
          <w:lang w:val="en-IN"/>
        </w:rPr>
      </w:pPr>
      <w:r w:rsidRPr="00017968">
        <w:rPr>
          <w:b/>
          <w:sz w:val="36"/>
          <w:szCs w:val="36"/>
          <w:lang w:val="en-IN"/>
        </w:rPr>
        <w:t xml:space="preserve">    </w:t>
      </w:r>
      <w:r w:rsidRPr="00017968">
        <w:rPr>
          <w:bCs/>
          <w:sz w:val="32"/>
          <w:szCs w:val="32"/>
          <w:lang w:val="en-IN"/>
        </w:rPr>
        <w:t>Climate changes are alarming the world by hampering agriculture and its products. Industrialization and poisonous gases cause global warming, which ultimately disturbs the world’s environment. Climate change has devastating effects on plant growth and yield. Abiotic stresses are the major type of stresses that plants suffer. To understand the plant responses under different abiotic conditions the most pressing current need is to explore the genetic basis underlying these mechanisms. Some bottleneck molecular and physiological challenges present in plants need to be resolved for better plant adaptation under abiotic conditions. Temperature fluctuations and variations in rainfall spells are a very crucial indicators of environmental stresses. Weather variations collectively have positive and negative outcomes but the negative effects are more thought-provoking. It is very difficult to overcome the imbalance in agriculture by climate change. How to tackle this problem and what strategies we should apply are still ambiguous.</w:t>
      </w:r>
      <w:r w:rsidRPr="00017968">
        <w:rPr>
          <w:bCs/>
          <w:sz w:val="36"/>
          <w:szCs w:val="36"/>
          <w:lang w:val="en-IN"/>
        </w:rPr>
        <w:t> </w:t>
      </w:r>
      <w:r w:rsidRPr="00017968">
        <w:rPr>
          <w:bCs/>
          <w:sz w:val="36"/>
          <w:szCs w:val="36"/>
        </w:rPr>
        <w:t xml:space="preserve"> </w:t>
      </w:r>
    </w:p>
    <w:p w:rsidR="006A3ACF" w:rsidRDefault="006A3ACF"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017968" w:rsidRDefault="00017968" w:rsidP="009E62B1">
      <w:pPr>
        <w:pStyle w:val="BodyText"/>
        <w:jc w:val="center"/>
        <w:rPr>
          <w:b/>
          <w:iCs/>
          <w:sz w:val="28"/>
          <w:szCs w:val="28"/>
        </w:rPr>
      </w:pPr>
    </w:p>
    <w:p w:rsidR="00017968" w:rsidRDefault="00017968" w:rsidP="009E62B1">
      <w:pPr>
        <w:pStyle w:val="BodyText"/>
        <w:jc w:val="center"/>
        <w:rPr>
          <w:b/>
          <w:iCs/>
          <w:sz w:val="28"/>
          <w:szCs w:val="28"/>
        </w:rPr>
      </w:pPr>
    </w:p>
    <w:p w:rsidR="00017968" w:rsidRDefault="00017968" w:rsidP="009E62B1">
      <w:pPr>
        <w:pStyle w:val="BodyText"/>
        <w:jc w:val="center"/>
        <w:rPr>
          <w:b/>
          <w:iCs/>
          <w:sz w:val="28"/>
          <w:szCs w:val="28"/>
        </w:rPr>
      </w:pPr>
    </w:p>
    <w:p w:rsidR="00017968" w:rsidRDefault="00017968"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E42131" w:rsidRDefault="003F0A59" w:rsidP="00E42131">
      <w:pPr>
        <w:pStyle w:val="BodyText"/>
        <w:numPr>
          <w:ilvl w:val="0"/>
          <w:numId w:val="42"/>
        </w:numPr>
        <w:rPr>
          <w:sz w:val="32"/>
          <w:szCs w:val="32"/>
          <w:lang w:val="en-IN"/>
        </w:rPr>
      </w:pPr>
      <w:r w:rsidRPr="00E42131">
        <w:rPr>
          <w:sz w:val="32"/>
          <w:szCs w:val="32"/>
          <w:lang w:val="en-IN"/>
        </w:rPr>
        <w:t xml:space="preserve">1. Arunanondchai P., Fei C., Fisher A., McCarl B.A., Wang W., Yang Y. The Routledge Handbook of Agricultural Economics. Routledge; Abingdon-on-Thames, UK: 2018. How does climate change affect agriculture. </w:t>
      </w:r>
    </w:p>
    <w:p w:rsidR="00000000" w:rsidRPr="00E42131" w:rsidRDefault="003F0A59" w:rsidP="00E42131">
      <w:pPr>
        <w:pStyle w:val="BodyText"/>
        <w:numPr>
          <w:ilvl w:val="0"/>
          <w:numId w:val="42"/>
        </w:numPr>
        <w:rPr>
          <w:sz w:val="32"/>
          <w:szCs w:val="32"/>
          <w:lang w:val="en-IN"/>
        </w:rPr>
      </w:pPr>
      <w:r w:rsidRPr="00E42131">
        <w:rPr>
          <w:sz w:val="32"/>
          <w:szCs w:val="32"/>
          <w:lang w:val="en-IN"/>
        </w:rPr>
        <w:t>2. Noya I., González-García S., B</w:t>
      </w:r>
      <w:r w:rsidRPr="00E42131">
        <w:rPr>
          <w:sz w:val="32"/>
          <w:szCs w:val="32"/>
          <w:lang w:val="en-IN"/>
        </w:rPr>
        <w:t>acenetti J., Fiala M., Moreira M.T. Environmental impacts of the cultivation-phase associated with agricultural crops for feed production. J. Clean. Prod. 2018;172:3721–3733. doi: 10.1016/j.jclepro.2017.07.132. </w:t>
      </w:r>
    </w:p>
    <w:p w:rsidR="00000000" w:rsidRPr="00E42131" w:rsidRDefault="003F0A59" w:rsidP="00E42131">
      <w:pPr>
        <w:pStyle w:val="BodyText"/>
        <w:numPr>
          <w:ilvl w:val="0"/>
          <w:numId w:val="42"/>
        </w:numPr>
        <w:rPr>
          <w:sz w:val="32"/>
          <w:szCs w:val="32"/>
          <w:lang w:val="en-IN"/>
        </w:rPr>
      </w:pPr>
      <w:r w:rsidRPr="00E42131">
        <w:rPr>
          <w:sz w:val="32"/>
          <w:szCs w:val="32"/>
          <w:lang w:val="en-IN"/>
        </w:rPr>
        <w:t>3. Vaughan M.M., Block A., Christensen S.A.</w:t>
      </w:r>
      <w:r w:rsidRPr="00E42131">
        <w:rPr>
          <w:sz w:val="32"/>
          <w:szCs w:val="32"/>
          <w:lang w:val="en-IN"/>
        </w:rPr>
        <w:t>, Allen L.H., Schmelz E.A. The effects of climate change associated abiotic stresses on maize phytochemical defenses. Phytochem. Rev. 2018;17:37–49. doi: 10.1007/s11101-017-9508-2. </w:t>
      </w:r>
    </w:p>
    <w:p w:rsidR="00000000" w:rsidRPr="00E42131" w:rsidRDefault="003F0A59" w:rsidP="00E42131">
      <w:pPr>
        <w:pStyle w:val="BodyText"/>
        <w:numPr>
          <w:ilvl w:val="0"/>
          <w:numId w:val="42"/>
        </w:numPr>
        <w:rPr>
          <w:sz w:val="32"/>
          <w:szCs w:val="32"/>
          <w:lang w:val="en-IN"/>
        </w:rPr>
      </w:pPr>
      <w:r w:rsidRPr="00E42131">
        <w:rPr>
          <w:sz w:val="32"/>
          <w:szCs w:val="32"/>
          <w:lang w:val="en-IN"/>
        </w:rPr>
        <w:t>4. FAO. UNICEF. WFP. WHO . The State of Food Security and Nutrition in th</w:t>
      </w:r>
      <w:r w:rsidRPr="00E42131">
        <w:rPr>
          <w:sz w:val="32"/>
          <w:szCs w:val="32"/>
          <w:lang w:val="en-IN"/>
        </w:rPr>
        <w:t>e World 2017: Building Resilience for Peace and Food Security. Food and Agriculture Organization of the United Nations (FAO); Rome, Italy: 2018. </w:t>
      </w:r>
    </w:p>
    <w:p w:rsidR="00000000" w:rsidRPr="00E42131" w:rsidRDefault="003F0A59" w:rsidP="00E42131">
      <w:pPr>
        <w:pStyle w:val="BodyText"/>
        <w:numPr>
          <w:ilvl w:val="0"/>
          <w:numId w:val="42"/>
        </w:numPr>
        <w:rPr>
          <w:sz w:val="32"/>
          <w:szCs w:val="32"/>
          <w:lang w:val="en-IN"/>
        </w:rPr>
      </w:pPr>
      <w:r w:rsidRPr="00E42131">
        <w:rPr>
          <w:sz w:val="32"/>
          <w:szCs w:val="32"/>
          <w:lang w:val="en-IN"/>
        </w:rPr>
        <w:t>5. Rosenzweig C., Elliott J., Deryng D., Ruane A.C., Müller C., Arneth A., Boote K.J., Folberth C., Glotter M</w:t>
      </w:r>
      <w:r w:rsidRPr="00E42131">
        <w:rPr>
          <w:sz w:val="32"/>
          <w:szCs w:val="32"/>
          <w:lang w:val="en-IN"/>
        </w:rPr>
        <w:t>., Khabarov N. Assessing agricultural risks of climate change in the 21st century in a global gridded crop model intercomparison. Proc. Natl. Acad. Sci. USA. 2014;111:3268–3273. doi: 10.1073/pnas.1222463110.</w:t>
      </w:r>
    </w:p>
    <w:p w:rsidR="00000000" w:rsidRPr="00E42131" w:rsidRDefault="003F0A59" w:rsidP="00E42131">
      <w:pPr>
        <w:pStyle w:val="BodyText"/>
        <w:numPr>
          <w:ilvl w:val="0"/>
          <w:numId w:val="42"/>
        </w:numPr>
        <w:rPr>
          <w:sz w:val="32"/>
          <w:szCs w:val="32"/>
          <w:lang w:val="en-IN"/>
        </w:rPr>
      </w:pPr>
      <w:r w:rsidRPr="00E42131">
        <w:rPr>
          <w:sz w:val="32"/>
          <w:szCs w:val="32"/>
          <w:lang w:val="en-IN"/>
        </w:rPr>
        <w:lastRenderedPageBreak/>
        <w:t>6. Wheeler T., Von Braun J. Climate change impa</w:t>
      </w:r>
      <w:r w:rsidRPr="00E42131">
        <w:rPr>
          <w:sz w:val="32"/>
          <w:szCs w:val="32"/>
          <w:lang w:val="en-IN"/>
        </w:rPr>
        <w:t xml:space="preserve">cts on global food security. Science. 2013;341:508–513. doi: 10.1126/science.1239402. </w:t>
      </w:r>
    </w:p>
    <w:p w:rsidR="00000000" w:rsidRPr="00E42131" w:rsidRDefault="003F0A59" w:rsidP="00E42131">
      <w:pPr>
        <w:pStyle w:val="BodyText"/>
        <w:numPr>
          <w:ilvl w:val="0"/>
          <w:numId w:val="42"/>
        </w:numPr>
        <w:rPr>
          <w:sz w:val="32"/>
          <w:szCs w:val="32"/>
          <w:lang w:val="en-IN"/>
        </w:rPr>
      </w:pPr>
      <w:r w:rsidRPr="00E42131">
        <w:rPr>
          <w:sz w:val="32"/>
          <w:szCs w:val="32"/>
          <w:lang w:val="en-IN"/>
        </w:rPr>
        <w:t>7. Ashraf M.A., Akbar A., Askari S.H., Iqbal M., Rasheed R., Hussain I. Advances in Seed Priming. Springer; Berlin/Heidelberg, Germany: 2018. Recent Advances in Abiotic</w:t>
      </w:r>
      <w:r w:rsidRPr="00E42131">
        <w:rPr>
          <w:sz w:val="32"/>
          <w:szCs w:val="32"/>
          <w:lang w:val="en-IN"/>
        </w:rPr>
        <w:t xml:space="preserve"> Stress Tolerance of Plants Through Chemical Priming: An Overview; pp. 51–79.  </w:t>
      </w:r>
    </w:p>
    <w:p w:rsidR="00000000" w:rsidRPr="00E42131" w:rsidRDefault="003F0A59" w:rsidP="00E42131">
      <w:pPr>
        <w:pStyle w:val="BodyText"/>
        <w:numPr>
          <w:ilvl w:val="0"/>
          <w:numId w:val="42"/>
        </w:numPr>
        <w:rPr>
          <w:sz w:val="32"/>
          <w:szCs w:val="32"/>
          <w:lang w:val="en-IN"/>
        </w:rPr>
      </w:pPr>
      <w:r w:rsidRPr="00E42131">
        <w:rPr>
          <w:sz w:val="32"/>
          <w:szCs w:val="32"/>
          <w:lang w:val="en-IN"/>
        </w:rPr>
        <w:t>8. Benevenuto R.F., Agapito-Tenfen S.Z., Vilperte V., Wikmark O.-G., Van Rensburg P.J., Nodari R.O. Molecular responses of genetically modified maize to abiotic stresses as de</w:t>
      </w:r>
      <w:r w:rsidRPr="00E42131">
        <w:rPr>
          <w:sz w:val="32"/>
          <w:szCs w:val="32"/>
          <w:lang w:val="en-IN"/>
        </w:rPr>
        <w:t>termined through proteomic and metabolomic analyses. PLoS ONE. 2017;12:e0173069. doi: 10.1371/journal.pone.0173069. </w:t>
      </w:r>
    </w:p>
    <w:p w:rsidR="00000000" w:rsidRPr="00E42131" w:rsidRDefault="003F0A59" w:rsidP="00E42131">
      <w:pPr>
        <w:pStyle w:val="BodyText"/>
        <w:numPr>
          <w:ilvl w:val="0"/>
          <w:numId w:val="42"/>
        </w:numPr>
        <w:rPr>
          <w:sz w:val="32"/>
          <w:szCs w:val="32"/>
          <w:lang w:val="en-IN"/>
        </w:rPr>
      </w:pPr>
      <w:r w:rsidRPr="00E42131">
        <w:rPr>
          <w:sz w:val="32"/>
          <w:szCs w:val="32"/>
          <w:lang w:val="en-IN"/>
        </w:rPr>
        <w:t>9. Suzuki N., Rivero R.M., Shulaev V., Blumwald E., Mittler R. Abiotic and biotic stress combinations. New Phytol. 2014;203:32–43. doi: 10</w:t>
      </w:r>
      <w:r w:rsidRPr="00E42131">
        <w:rPr>
          <w:sz w:val="32"/>
          <w:szCs w:val="32"/>
          <w:lang w:val="en-IN"/>
        </w:rPr>
        <w:t>.1111/nph.12797. </w:t>
      </w:r>
    </w:p>
    <w:p w:rsidR="00000000" w:rsidRPr="00E42131" w:rsidRDefault="003F0A59" w:rsidP="00E42131">
      <w:pPr>
        <w:pStyle w:val="BodyText"/>
        <w:numPr>
          <w:ilvl w:val="0"/>
          <w:numId w:val="42"/>
        </w:numPr>
        <w:rPr>
          <w:sz w:val="32"/>
          <w:szCs w:val="32"/>
          <w:lang w:val="en-IN"/>
        </w:rPr>
      </w:pPr>
      <w:r w:rsidRPr="00E42131">
        <w:rPr>
          <w:sz w:val="32"/>
          <w:szCs w:val="32"/>
          <w:lang w:val="en-IN"/>
        </w:rPr>
        <w:t>10. Pachauri R.K., Allen M.R., Barros V.R., Broome J., Cramer W., Christ R., Church J.A., Clarke L., Dahe Q., Dasgupta P. Climate Change 2014: Synthesis Report. IPCC; Geneva, Switzerland: 2014. Contribution of Working Groups I, II and II</w:t>
      </w:r>
      <w:r w:rsidRPr="00E42131">
        <w:rPr>
          <w:sz w:val="32"/>
          <w:szCs w:val="32"/>
          <w:lang w:val="en-IN"/>
        </w:rPr>
        <w:t>I to the Fifth Assessment Report of the Intergovernmental Panel on Climate Change.</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A59" w:rsidRDefault="003F0A59" w:rsidP="003654DF">
      <w:pPr>
        <w:spacing w:after="0" w:line="240" w:lineRule="auto"/>
      </w:pPr>
      <w:r>
        <w:separator/>
      </w:r>
    </w:p>
  </w:endnote>
  <w:endnote w:type="continuationSeparator" w:id="1">
    <w:p w:rsidR="003F0A59" w:rsidRDefault="003F0A5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A59" w:rsidRDefault="003F0A59" w:rsidP="003654DF">
      <w:pPr>
        <w:spacing w:after="0" w:line="240" w:lineRule="auto"/>
      </w:pPr>
      <w:r>
        <w:separator/>
      </w:r>
    </w:p>
  </w:footnote>
  <w:footnote w:type="continuationSeparator" w:id="1">
    <w:p w:rsidR="003F0A59" w:rsidRDefault="003F0A5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32FED">
        <w:pPr>
          <w:pStyle w:val="Header"/>
          <w:jc w:val="right"/>
        </w:pPr>
        <w:fldSimple w:instr=" PAGE   \* MERGEFORMAT ">
          <w:r w:rsidR="00220AF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FB26A7"/>
    <w:multiLevelType w:val="hybridMultilevel"/>
    <w:tmpl w:val="2D300604"/>
    <w:lvl w:ilvl="0" w:tplc="32D69930">
      <w:start w:val="1"/>
      <w:numFmt w:val="bullet"/>
      <w:lvlText w:val=""/>
      <w:lvlJc w:val="left"/>
      <w:pPr>
        <w:tabs>
          <w:tab w:val="num" w:pos="720"/>
        </w:tabs>
        <w:ind w:left="720" w:hanging="360"/>
      </w:pPr>
      <w:rPr>
        <w:rFonts w:ascii="Wingdings 2" w:hAnsi="Wingdings 2" w:hint="default"/>
      </w:rPr>
    </w:lvl>
    <w:lvl w:ilvl="1" w:tplc="44A03820" w:tentative="1">
      <w:start w:val="1"/>
      <w:numFmt w:val="bullet"/>
      <w:lvlText w:val=""/>
      <w:lvlJc w:val="left"/>
      <w:pPr>
        <w:tabs>
          <w:tab w:val="num" w:pos="1440"/>
        </w:tabs>
        <w:ind w:left="1440" w:hanging="360"/>
      </w:pPr>
      <w:rPr>
        <w:rFonts w:ascii="Wingdings 2" w:hAnsi="Wingdings 2" w:hint="default"/>
      </w:rPr>
    </w:lvl>
    <w:lvl w:ilvl="2" w:tplc="9A4CC124" w:tentative="1">
      <w:start w:val="1"/>
      <w:numFmt w:val="bullet"/>
      <w:lvlText w:val=""/>
      <w:lvlJc w:val="left"/>
      <w:pPr>
        <w:tabs>
          <w:tab w:val="num" w:pos="2160"/>
        </w:tabs>
        <w:ind w:left="2160" w:hanging="360"/>
      </w:pPr>
      <w:rPr>
        <w:rFonts w:ascii="Wingdings 2" w:hAnsi="Wingdings 2" w:hint="default"/>
      </w:rPr>
    </w:lvl>
    <w:lvl w:ilvl="3" w:tplc="396AEA46" w:tentative="1">
      <w:start w:val="1"/>
      <w:numFmt w:val="bullet"/>
      <w:lvlText w:val=""/>
      <w:lvlJc w:val="left"/>
      <w:pPr>
        <w:tabs>
          <w:tab w:val="num" w:pos="2880"/>
        </w:tabs>
        <w:ind w:left="2880" w:hanging="360"/>
      </w:pPr>
      <w:rPr>
        <w:rFonts w:ascii="Wingdings 2" w:hAnsi="Wingdings 2" w:hint="default"/>
      </w:rPr>
    </w:lvl>
    <w:lvl w:ilvl="4" w:tplc="FCC0148A" w:tentative="1">
      <w:start w:val="1"/>
      <w:numFmt w:val="bullet"/>
      <w:lvlText w:val=""/>
      <w:lvlJc w:val="left"/>
      <w:pPr>
        <w:tabs>
          <w:tab w:val="num" w:pos="3600"/>
        </w:tabs>
        <w:ind w:left="3600" w:hanging="360"/>
      </w:pPr>
      <w:rPr>
        <w:rFonts w:ascii="Wingdings 2" w:hAnsi="Wingdings 2" w:hint="default"/>
      </w:rPr>
    </w:lvl>
    <w:lvl w:ilvl="5" w:tplc="46F0F73E" w:tentative="1">
      <w:start w:val="1"/>
      <w:numFmt w:val="bullet"/>
      <w:lvlText w:val=""/>
      <w:lvlJc w:val="left"/>
      <w:pPr>
        <w:tabs>
          <w:tab w:val="num" w:pos="4320"/>
        </w:tabs>
        <w:ind w:left="4320" w:hanging="360"/>
      </w:pPr>
      <w:rPr>
        <w:rFonts w:ascii="Wingdings 2" w:hAnsi="Wingdings 2" w:hint="default"/>
      </w:rPr>
    </w:lvl>
    <w:lvl w:ilvl="6" w:tplc="CC0C9360" w:tentative="1">
      <w:start w:val="1"/>
      <w:numFmt w:val="bullet"/>
      <w:lvlText w:val=""/>
      <w:lvlJc w:val="left"/>
      <w:pPr>
        <w:tabs>
          <w:tab w:val="num" w:pos="5040"/>
        </w:tabs>
        <w:ind w:left="5040" w:hanging="360"/>
      </w:pPr>
      <w:rPr>
        <w:rFonts w:ascii="Wingdings 2" w:hAnsi="Wingdings 2" w:hint="default"/>
      </w:rPr>
    </w:lvl>
    <w:lvl w:ilvl="7" w:tplc="71CAEAE0" w:tentative="1">
      <w:start w:val="1"/>
      <w:numFmt w:val="bullet"/>
      <w:lvlText w:val=""/>
      <w:lvlJc w:val="left"/>
      <w:pPr>
        <w:tabs>
          <w:tab w:val="num" w:pos="5760"/>
        </w:tabs>
        <w:ind w:left="5760" w:hanging="360"/>
      </w:pPr>
      <w:rPr>
        <w:rFonts w:ascii="Wingdings 2" w:hAnsi="Wingdings 2" w:hint="default"/>
      </w:rPr>
    </w:lvl>
    <w:lvl w:ilvl="8" w:tplc="3A9CC624"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5C1C20"/>
    <w:multiLevelType w:val="hybridMultilevel"/>
    <w:tmpl w:val="5E262E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9D71A0"/>
    <w:multiLevelType w:val="hybridMultilevel"/>
    <w:tmpl w:val="A49C6576"/>
    <w:lvl w:ilvl="0" w:tplc="FA0C2F58">
      <w:start w:val="1"/>
      <w:numFmt w:val="bullet"/>
      <w:lvlText w:val=""/>
      <w:lvlJc w:val="left"/>
      <w:pPr>
        <w:tabs>
          <w:tab w:val="num" w:pos="720"/>
        </w:tabs>
        <w:ind w:left="720" w:hanging="360"/>
      </w:pPr>
      <w:rPr>
        <w:rFonts w:ascii="Wingdings 2" w:hAnsi="Wingdings 2" w:hint="default"/>
      </w:rPr>
    </w:lvl>
    <w:lvl w:ilvl="1" w:tplc="AE42A94E" w:tentative="1">
      <w:start w:val="1"/>
      <w:numFmt w:val="bullet"/>
      <w:lvlText w:val=""/>
      <w:lvlJc w:val="left"/>
      <w:pPr>
        <w:tabs>
          <w:tab w:val="num" w:pos="1440"/>
        </w:tabs>
        <w:ind w:left="1440" w:hanging="360"/>
      </w:pPr>
      <w:rPr>
        <w:rFonts w:ascii="Wingdings 2" w:hAnsi="Wingdings 2" w:hint="default"/>
      </w:rPr>
    </w:lvl>
    <w:lvl w:ilvl="2" w:tplc="873C8F74" w:tentative="1">
      <w:start w:val="1"/>
      <w:numFmt w:val="bullet"/>
      <w:lvlText w:val=""/>
      <w:lvlJc w:val="left"/>
      <w:pPr>
        <w:tabs>
          <w:tab w:val="num" w:pos="2160"/>
        </w:tabs>
        <w:ind w:left="2160" w:hanging="360"/>
      </w:pPr>
      <w:rPr>
        <w:rFonts w:ascii="Wingdings 2" w:hAnsi="Wingdings 2" w:hint="default"/>
      </w:rPr>
    </w:lvl>
    <w:lvl w:ilvl="3" w:tplc="00D07CEC" w:tentative="1">
      <w:start w:val="1"/>
      <w:numFmt w:val="bullet"/>
      <w:lvlText w:val=""/>
      <w:lvlJc w:val="left"/>
      <w:pPr>
        <w:tabs>
          <w:tab w:val="num" w:pos="2880"/>
        </w:tabs>
        <w:ind w:left="2880" w:hanging="360"/>
      </w:pPr>
      <w:rPr>
        <w:rFonts w:ascii="Wingdings 2" w:hAnsi="Wingdings 2" w:hint="default"/>
      </w:rPr>
    </w:lvl>
    <w:lvl w:ilvl="4" w:tplc="D91219E6" w:tentative="1">
      <w:start w:val="1"/>
      <w:numFmt w:val="bullet"/>
      <w:lvlText w:val=""/>
      <w:lvlJc w:val="left"/>
      <w:pPr>
        <w:tabs>
          <w:tab w:val="num" w:pos="3600"/>
        </w:tabs>
        <w:ind w:left="3600" w:hanging="360"/>
      </w:pPr>
      <w:rPr>
        <w:rFonts w:ascii="Wingdings 2" w:hAnsi="Wingdings 2" w:hint="default"/>
      </w:rPr>
    </w:lvl>
    <w:lvl w:ilvl="5" w:tplc="0BB0AD58" w:tentative="1">
      <w:start w:val="1"/>
      <w:numFmt w:val="bullet"/>
      <w:lvlText w:val=""/>
      <w:lvlJc w:val="left"/>
      <w:pPr>
        <w:tabs>
          <w:tab w:val="num" w:pos="4320"/>
        </w:tabs>
        <w:ind w:left="4320" w:hanging="360"/>
      </w:pPr>
      <w:rPr>
        <w:rFonts w:ascii="Wingdings 2" w:hAnsi="Wingdings 2" w:hint="default"/>
      </w:rPr>
    </w:lvl>
    <w:lvl w:ilvl="6" w:tplc="88DABCE0" w:tentative="1">
      <w:start w:val="1"/>
      <w:numFmt w:val="bullet"/>
      <w:lvlText w:val=""/>
      <w:lvlJc w:val="left"/>
      <w:pPr>
        <w:tabs>
          <w:tab w:val="num" w:pos="5040"/>
        </w:tabs>
        <w:ind w:left="5040" w:hanging="360"/>
      </w:pPr>
      <w:rPr>
        <w:rFonts w:ascii="Wingdings 2" w:hAnsi="Wingdings 2" w:hint="default"/>
      </w:rPr>
    </w:lvl>
    <w:lvl w:ilvl="7" w:tplc="5D5CEB20" w:tentative="1">
      <w:start w:val="1"/>
      <w:numFmt w:val="bullet"/>
      <w:lvlText w:val=""/>
      <w:lvlJc w:val="left"/>
      <w:pPr>
        <w:tabs>
          <w:tab w:val="num" w:pos="5760"/>
        </w:tabs>
        <w:ind w:left="5760" w:hanging="360"/>
      </w:pPr>
      <w:rPr>
        <w:rFonts w:ascii="Wingdings 2" w:hAnsi="Wingdings 2" w:hint="default"/>
      </w:rPr>
    </w:lvl>
    <w:lvl w:ilvl="8" w:tplc="B4DCD7FA"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F72797"/>
    <w:multiLevelType w:val="hybridMultilevel"/>
    <w:tmpl w:val="04BCF470"/>
    <w:lvl w:ilvl="0" w:tplc="24702F20">
      <w:start w:val="1"/>
      <w:numFmt w:val="bullet"/>
      <w:lvlText w:val=""/>
      <w:lvlJc w:val="left"/>
      <w:pPr>
        <w:tabs>
          <w:tab w:val="num" w:pos="720"/>
        </w:tabs>
        <w:ind w:left="720" w:hanging="360"/>
      </w:pPr>
      <w:rPr>
        <w:rFonts w:ascii="Wingdings 2" w:hAnsi="Wingdings 2" w:hint="default"/>
      </w:rPr>
    </w:lvl>
    <w:lvl w:ilvl="1" w:tplc="352C6AFC" w:tentative="1">
      <w:start w:val="1"/>
      <w:numFmt w:val="bullet"/>
      <w:lvlText w:val=""/>
      <w:lvlJc w:val="left"/>
      <w:pPr>
        <w:tabs>
          <w:tab w:val="num" w:pos="1440"/>
        </w:tabs>
        <w:ind w:left="1440" w:hanging="360"/>
      </w:pPr>
      <w:rPr>
        <w:rFonts w:ascii="Wingdings 2" w:hAnsi="Wingdings 2" w:hint="default"/>
      </w:rPr>
    </w:lvl>
    <w:lvl w:ilvl="2" w:tplc="AA980632" w:tentative="1">
      <w:start w:val="1"/>
      <w:numFmt w:val="bullet"/>
      <w:lvlText w:val=""/>
      <w:lvlJc w:val="left"/>
      <w:pPr>
        <w:tabs>
          <w:tab w:val="num" w:pos="2160"/>
        </w:tabs>
        <w:ind w:left="2160" w:hanging="360"/>
      </w:pPr>
      <w:rPr>
        <w:rFonts w:ascii="Wingdings 2" w:hAnsi="Wingdings 2" w:hint="default"/>
      </w:rPr>
    </w:lvl>
    <w:lvl w:ilvl="3" w:tplc="00006CE8" w:tentative="1">
      <w:start w:val="1"/>
      <w:numFmt w:val="bullet"/>
      <w:lvlText w:val=""/>
      <w:lvlJc w:val="left"/>
      <w:pPr>
        <w:tabs>
          <w:tab w:val="num" w:pos="2880"/>
        </w:tabs>
        <w:ind w:left="2880" w:hanging="360"/>
      </w:pPr>
      <w:rPr>
        <w:rFonts w:ascii="Wingdings 2" w:hAnsi="Wingdings 2" w:hint="default"/>
      </w:rPr>
    </w:lvl>
    <w:lvl w:ilvl="4" w:tplc="78E0B3D6" w:tentative="1">
      <w:start w:val="1"/>
      <w:numFmt w:val="bullet"/>
      <w:lvlText w:val=""/>
      <w:lvlJc w:val="left"/>
      <w:pPr>
        <w:tabs>
          <w:tab w:val="num" w:pos="3600"/>
        </w:tabs>
        <w:ind w:left="3600" w:hanging="360"/>
      </w:pPr>
      <w:rPr>
        <w:rFonts w:ascii="Wingdings 2" w:hAnsi="Wingdings 2" w:hint="default"/>
      </w:rPr>
    </w:lvl>
    <w:lvl w:ilvl="5" w:tplc="C5FE41A2" w:tentative="1">
      <w:start w:val="1"/>
      <w:numFmt w:val="bullet"/>
      <w:lvlText w:val=""/>
      <w:lvlJc w:val="left"/>
      <w:pPr>
        <w:tabs>
          <w:tab w:val="num" w:pos="4320"/>
        </w:tabs>
        <w:ind w:left="4320" w:hanging="360"/>
      </w:pPr>
      <w:rPr>
        <w:rFonts w:ascii="Wingdings 2" w:hAnsi="Wingdings 2" w:hint="default"/>
      </w:rPr>
    </w:lvl>
    <w:lvl w:ilvl="6" w:tplc="3BEEA2E2" w:tentative="1">
      <w:start w:val="1"/>
      <w:numFmt w:val="bullet"/>
      <w:lvlText w:val=""/>
      <w:lvlJc w:val="left"/>
      <w:pPr>
        <w:tabs>
          <w:tab w:val="num" w:pos="5040"/>
        </w:tabs>
        <w:ind w:left="5040" w:hanging="360"/>
      </w:pPr>
      <w:rPr>
        <w:rFonts w:ascii="Wingdings 2" w:hAnsi="Wingdings 2" w:hint="default"/>
      </w:rPr>
    </w:lvl>
    <w:lvl w:ilvl="7" w:tplc="62082AAE" w:tentative="1">
      <w:start w:val="1"/>
      <w:numFmt w:val="bullet"/>
      <w:lvlText w:val=""/>
      <w:lvlJc w:val="left"/>
      <w:pPr>
        <w:tabs>
          <w:tab w:val="num" w:pos="5760"/>
        </w:tabs>
        <w:ind w:left="5760" w:hanging="360"/>
      </w:pPr>
      <w:rPr>
        <w:rFonts w:ascii="Wingdings 2" w:hAnsi="Wingdings 2" w:hint="default"/>
      </w:rPr>
    </w:lvl>
    <w:lvl w:ilvl="8" w:tplc="D72A0044"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6B5A0A"/>
    <w:multiLevelType w:val="hybridMultilevel"/>
    <w:tmpl w:val="13669AE8"/>
    <w:lvl w:ilvl="0" w:tplc="2FD8BE92">
      <w:start w:val="1"/>
      <w:numFmt w:val="bullet"/>
      <w:lvlText w:val=""/>
      <w:lvlJc w:val="left"/>
      <w:pPr>
        <w:tabs>
          <w:tab w:val="num" w:pos="720"/>
        </w:tabs>
        <w:ind w:left="720" w:hanging="360"/>
      </w:pPr>
      <w:rPr>
        <w:rFonts w:ascii="Wingdings 2" w:hAnsi="Wingdings 2" w:hint="default"/>
      </w:rPr>
    </w:lvl>
    <w:lvl w:ilvl="1" w:tplc="86B08020" w:tentative="1">
      <w:start w:val="1"/>
      <w:numFmt w:val="bullet"/>
      <w:lvlText w:val=""/>
      <w:lvlJc w:val="left"/>
      <w:pPr>
        <w:tabs>
          <w:tab w:val="num" w:pos="1440"/>
        </w:tabs>
        <w:ind w:left="1440" w:hanging="360"/>
      </w:pPr>
      <w:rPr>
        <w:rFonts w:ascii="Wingdings 2" w:hAnsi="Wingdings 2" w:hint="default"/>
      </w:rPr>
    </w:lvl>
    <w:lvl w:ilvl="2" w:tplc="D360C7D8" w:tentative="1">
      <w:start w:val="1"/>
      <w:numFmt w:val="bullet"/>
      <w:lvlText w:val=""/>
      <w:lvlJc w:val="left"/>
      <w:pPr>
        <w:tabs>
          <w:tab w:val="num" w:pos="2160"/>
        </w:tabs>
        <w:ind w:left="2160" w:hanging="360"/>
      </w:pPr>
      <w:rPr>
        <w:rFonts w:ascii="Wingdings 2" w:hAnsi="Wingdings 2" w:hint="default"/>
      </w:rPr>
    </w:lvl>
    <w:lvl w:ilvl="3" w:tplc="26DE76BC" w:tentative="1">
      <w:start w:val="1"/>
      <w:numFmt w:val="bullet"/>
      <w:lvlText w:val=""/>
      <w:lvlJc w:val="left"/>
      <w:pPr>
        <w:tabs>
          <w:tab w:val="num" w:pos="2880"/>
        </w:tabs>
        <w:ind w:left="2880" w:hanging="360"/>
      </w:pPr>
      <w:rPr>
        <w:rFonts w:ascii="Wingdings 2" w:hAnsi="Wingdings 2" w:hint="default"/>
      </w:rPr>
    </w:lvl>
    <w:lvl w:ilvl="4" w:tplc="71E28DD8" w:tentative="1">
      <w:start w:val="1"/>
      <w:numFmt w:val="bullet"/>
      <w:lvlText w:val=""/>
      <w:lvlJc w:val="left"/>
      <w:pPr>
        <w:tabs>
          <w:tab w:val="num" w:pos="3600"/>
        </w:tabs>
        <w:ind w:left="3600" w:hanging="360"/>
      </w:pPr>
      <w:rPr>
        <w:rFonts w:ascii="Wingdings 2" w:hAnsi="Wingdings 2" w:hint="default"/>
      </w:rPr>
    </w:lvl>
    <w:lvl w:ilvl="5" w:tplc="17927C4A" w:tentative="1">
      <w:start w:val="1"/>
      <w:numFmt w:val="bullet"/>
      <w:lvlText w:val=""/>
      <w:lvlJc w:val="left"/>
      <w:pPr>
        <w:tabs>
          <w:tab w:val="num" w:pos="4320"/>
        </w:tabs>
        <w:ind w:left="4320" w:hanging="360"/>
      </w:pPr>
      <w:rPr>
        <w:rFonts w:ascii="Wingdings 2" w:hAnsi="Wingdings 2" w:hint="default"/>
      </w:rPr>
    </w:lvl>
    <w:lvl w:ilvl="6" w:tplc="930CABB8" w:tentative="1">
      <w:start w:val="1"/>
      <w:numFmt w:val="bullet"/>
      <w:lvlText w:val=""/>
      <w:lvlJc w:val="left"/>
      <w:pPr>
        <w:tabs>
          <w:tab w:val="num" w:pos="5040"/>
        </w:tabs>
        <w:ind w:left="5040" w:hanging="360"/>
      </w:pPr>
      <w:rPr>
        <w:rFonts w:ascii="Wingdings 2" w:hAnsi="Wingdings 2" w:hint="default"/>
      </w:rPr>
    </w:lvl>
    <w:lvl w:ilvl="7" w:tplc="49C449F2" w:tentative="1">
      <w:start w:val="1"/>
      <w:numFmt w:val="bullet"/>
      <w:lvlText w:val=""/>
      <w:lvlJc w:val="left"/>
      <w:pPr>
        <w:tabs>
          <w:tab w:val="num" w:pos="5760"/>
        </w:tabs>
        <w:ind w:left="5760" w:hanging="360"/>
      </w:pPr>
      <w:rPr>
        <w:rFonts w:ascii="Wingdings 2" w:hAnsi="Wingdings 2" w:hint="default"/>
      </w:rPr>
    </w:lvl>
    <w:lvl w:ilvl="8" w:tplc="4082492C"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38007B"/>
    <w:multiLevelType w:val="hybridMultilevel"/>
    <w:tmpl w:val="5128E802"/>
    <w:lvl w:ilvl="0" w:tplc="435214C2">
      <w:start w:val="1"/>
      <w:numFmt w:val="bullet"/>
      <w:lvlText w:val=""/>
      <w:lvlJc w:val="left"/>
      <w:pPr>
        <w:tabs>
          <w:tab w:val="num" w:pos="720"/>
        </w:tabs>
        <w:ind w:left="720" w:hanging="360"/>
      </w:pPr>
      <w:rPr>
        <w:rFonts w:ascii="Wingdings 2" w:hAnsi="Wingdings 2" w:hint="default"/>
      </w:rPr>
    </w:lvl>
    <w:lvl w:ilvl="1" w:tplc="A0648CC0" w:tentative="1">
      <w:start w:val="1"/>
      <w:numFmt w:val="bullet"/>
      <w:lvlText w:val=""/>
      <w:lvlJc w:val="left"/>
      <w:pPr>
        <w:tabs>
          <w:tab w:val="num" w:pos="1440"/>
        </w:tabs>
        <w:ind w:left="1440" w:hanging="360"/>
      </w:pPr>
      <w:rPr>
        <w:rFonts w:ascii="Wingdings 2" w:hAnsi="Wingdings 2" w:hint="default"/>
      </w:rPr>
    </w:lvl>
    <w:lvl w:ilvl="2" w:tplc="022E0346" w:tentative="1">
      <w:start w:val="1"/>
      <w:numFmt w:val="bullet"/>
      <w:lvlText w:val=""/>
      <w:lvlJc w:val="left"/>
      <w:pPr>
        <w:tabs>
          <w:tab w:val="num" w:pos="2160"/>
        </w:tabs>
        <w:ind w:left="2160" w:hanging="360"/>
      </w:pPr>
      <w:rPr>
        <w:rFonts w:ascii="Wingdings 2" w:hAnsi="Wingdings 2" w:hint="default"/>
      </w:rPr>
    </w:lvl>
    <w:lvl w:ilvl="3" w:tplc="DDB60D1E" w:tentative="1">
      <w:start w:val="1"/>
      <w:numFmt w:val="bullet"/>
      <w:lvlText w:val=""/>
      <w:lvlJc w:val="left"/>
      <w:pPr>
        <w:tabs>
          <w:tab w:val="num" w:pos="2880"/>
        </w:tabs>
        <w:ind w:left="2880" w:hanging="360"/>
      </w:pPr>
      <w:rPr>
        <w:rFonts w:ascii="Wingdings 2" w:hAnsi="Wingdings 2" w:hint="default"/>
      </w:rPr>
    </w:lvl>
    <w:lvl w:ilvl="4" w:tplc="9BC8EE96" w:tentative="1">
      <w:start w:val="1"/>
      <w:numFmt w:val="bullet"/>
      <w:lvlText w:val=""/>
      <w:lvlJc w:val="left"/>
      <w:pPr>
        <w:tabs>
          <w:tab w:val="num" w:pos="3600"/>
        </w:tabs>
        <w:ind w:left="3600" w:hanging="360"/>
      </w:pPr>
      <w:rPr>
        <w:rFonts w:ascii="Wingdings 2" w:hAnsi="Wingdings 2" w:hint="default"/>
      </w:rPr>
    </w:lvl>
    <w:lvl w:ilvl="5" w:tplc="85E2A042" w:tentative="1">
      <w:start w:val="1"/>
      <w:numFmt w:val="bullet"/>
      <w:lvlText w:val=""/>
      <w:lvlJc w:val="left"/>
      <w:pPr>
        <w:tabs>
          <w:tab w:val="num" w:pos="4320"/>
        </w:tabs>
        <w:ind w:left="4320" w:hanging="360"/>
      </w:pPr>
      <w:rPr>
        <w:rFonts w:ascii="Wingdings 2" w:hAnsi="Wingdings 2" w:hint="default"/>
      </w:rPr>
    </w:lvl>
    <w:lvl w:ilvl="6" w:tplc="B2805036" w:tentative="1">
      <w:start w:val="1"/>
      <w:numFmt w:val="bullet"/>
      <w:lvlText w:val=""/>
      <w:lvlJc w:val="left"/>
      <w:pPr>
        <w:tabs>
          <w:tab w:val="num" w:pos="5040"/>
        </w:tabs>
        <w:ind w:left="5040" w:hanging="360"/>
      </w:pPr>
      <w:rPr>
        <w:rFonts w:ascii="Wingdings 2" w:hAnsi="Wingdings 2" w:hint="default"/>
      </w:rPr>
    </w:lvl>
    <w:lvl w:ilvl="7" w:tplc="ABF8EDF4" w:tentative="1">
      <w:start w:val="1"/>
      <w:numFmt w:val="bullet"/>
      <w:lvlText w:val=""/>
      <w:lvlJc w:val="left"/>
      <w:pPr>
        <w:tabs>
          <w:tab w:val="num" w:pos="5760"/>
        </w:tabs>
        <w:ind w:left="5760" w:hanging="360"/>
      </w:pPr>
      <w:rPr>
        <w:rFonts w:ascii="Wingdings 2" w:hAnsi="Wingdings 2" w:hint="default"/>
      </w:rPr>
    </w:lvl>
    <w:lvl w:ilvl="8" w:tplc="6068D4C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5"/>
  </w:num>
  <w:num w:numId="20">
    <w:abstractNumId w:val="6"/>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43"/>
  </w:num>
  <w:num w:numId="43">
    <w:abstractNumId w:val="7"/>
  </w:num>
  <w:num w:numId="44">
    <w:abstractNumId w:val="17"/>
  </w:num>
  <w:num w:numId="45">
    <w:abstractNumId w:val="34"/>
  </w:num>
  <w:num w:numId="46">
    <w:abstractNumId w:val="10"/>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7968"/>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1C33"/>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5781"/>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0AFC"/>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458"/>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0A59"/>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3ACF"/>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1E82"/>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51C5"/>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2FED"/>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0C"/>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249"/>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131"/>
    <w:rsid w:val="00E425E8"/>
    <w:rsid w:val="00E433AC"/>
    <w:rsid w:val="00E4432A"/>
    <w:rsid w:val="00E470A4"/>
    <w:rsid w:val="00E50773"/>
    <w:rsid w:val="00E50FC6"/>
    <w:rsid w:val="00E52EAD"/>
    <w:rsid w:val="00E5343E"/>
    <w:rsid w:val="00E53AA4"/>
    <w:rsid w:val="00E562CD"/>
    <w:rsid w:val="00E56EE3"/>
    <w:rsid w:val="00E57C25"/>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0D2"/>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6080772">
      <w:bodyDiv w:val="1"/>
      <w:marLeft w:val="0"/>
      <w:marRight w:val="0"/>
      <w:marTop w:val="0"/>
      <w:marBottom w:val="0"/>
      <w:divBdr>
        <w:top w:val="none" w:sz="0" w:space="0" w:color="auto"/>
        <w:left w:val="none" w:sz="0" w:space="0" w:color="auto"/>
        <w:bottom w:val="none" w:sz="0" w:space="0" w:color="auto"/>
        <w:right w:val="none" w:sz="0" w:space="0" w:color="auto"/>
      </w:divBdr>
      <w:divsChild>
        <w:div w:id="1255551300">
          <w:marLeft w:val="576"/>
          <w:marRight w:val="0"/>
          <w:marTop w:val="120"/>
          <w:marBottom w:val="0"/>
          <w:divBdr>
            <w:top w:val="none" w:sz="0" w:space="0" w:color="auto"/>
            <w:left w:val="none" w:sz="0" w:space="0" w:color="auto"/>
            <w:bottom w:val="none" w:sz="0" w:space="0" w:color="auto"/>
            <w:right w:val="none" w:sz="0" w:space="0" w:color="auto"/>
          </w:divBdr>
        </w:div>
        <w:div w:id="31656512">
          <w:marLeft w:val="576"/>
          <w:marRight w:val="0"/>
          <w:marTop w:val="120"/>
          <w:marBottom w:val="0"/>
          <w:divBdr>
            <w:top w:val="none" w:sz="0" w:space="0" w:color="auto"/>
            <w:left w:val="none" w:sz="0" w:space="0" w:color="auto"/>
            <w:bottom w:val="none" w:sz="0" w:space="0" w:color="auto"/>
            <w:right w:val="none" w:sz="0" w:space="0" w:color="auto"/>
          </w:divBdr>
        </w:div>
        <w:div w:id="1235119816">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5109990">
      <w:bodyDiv w:val="1"/>
      <w:marLeft w:val="0"/>
      <w:marRight w:val="0"/>
      <w:marTop w:val="0"/>
      <w:marBottom w:val="0"/>
      <w:divBdr>
        <w:top w:val="none" w:sz="0" w:space="0" w:color="auto"/>
        <w:left w:val="none" w:sz="0" w:space="0" w:color="auto"/>
        <w:bottom w:val="none" w:sz="0" w:space="0" w:color="auto"/>
        <w:right w:val="none" w:sz="0" w:space="0" w:color="auto"/>
      </w:divBdr>
      <w:divsChild>
        <w:div w:id="556016226">
          <w:marLeft w:val="576"/>
          <w:marRight w:val="0"/>
          <w:marTop w:val="120"/>
          <w:marBottom w:val="0"/>
          <w:divBdr>
            <w:top w:val="none" w:sz="0" w:space="0" w:color="auto"/>
            <w:left w:val="none" w:sz="0" w:space="0" w:color="auto"/>
            <w:bottom w:val="none" w:sz="0" w:space="0" w:color="auto"/>
            <w:right w:val="none" w:sz="0" w:space="0" w:color="auto"/>
          </w:divBdr>
        </w:div>
        <w:div w:id="536164065">
          <w:marLeft w:val="576"/>
          <w:marRight w:val="0"/>
          <w:marTop w:val="120"/>
          <w:marBottom w:val="0"/>
          <w:divBdr>
            <w:top w:val="none" w:sz="0" w:space="0" w:color="auto"/>
            <w:left w:val="none" w:sz="0" w:space="0" w:color="auto"/>
            <w:bottom w:val="none" w:sz="0" w:space="0" w:color="auto"/>
            <w:right w:val="none" w:sz="0" w:space="0" w:color="auto"/>
          </w:divBdr>
        </w:div>
        <w:div w:id="172328737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2954912">
      <w:bodyDiv w:val="1"/>
      <w:marLeft w:val="0"/>
      <w:marRight w:val="0"/>
      <w:marTop w:val="0"/>
      <w:marBottom w:val="0"/>
      <w:divBdr>
        <w:top w:val="none" w:sz="0" w:space="0" w:color="auto"/>
        <w:left w:val="none" w:sz="0" w:space="0" w:color="auto"/>
        <w:bottom w:val="none" w:sz="0" w:space="0" w:color="auto"/>
        <w:right w:val="none" w:sz="0" w:space="0" w:color="auto"/>
      </w:divBdr>
      <w:divsChild>
        <w:div w:id="1755392241">
          <w:marLeft w:val="576"/>
          <w:marRight w:val="0"/>
          <w:marTop w:val="120"/>
          <w:marBottom w:val="0"/>
          <w:divBdr>
            <w:top w:val="none" w:sz="0" w:space="0" w:color="auto"/>
            <w:left w:val="none" w:sz="0" w:space="0" w:color="auto"/>
            <w:bottom w:val="none" w:sz="0" w:space="0" w:color="auto"/>
            <w:right w:val="none" w:sz="0" w:space="0" w:color="auto"/>
          </w:divBdr>
        </w:div>
        <w:div w:id="776409817">
          <w:marLeft w:val="576"/>
          <w:marRight w:val="0"/>
          <w:marTop w:val="120"/>
          <w:marBottom w:val="0"/>
          <w:divBdr>
            <w:top w:val="none" w:sz="0" w:space="0" w:color="auto"/>
            <w:left w:val="none" w:sz="0" w:space="0" w:color="auto"/>
            <w:bottom w:val="none" w:sz="0" w:space="0" w:color="auto"/>
            <w:right w:val="none" w:sz="0" w:space="0" w:color="auto"/>
          </w:divBdr>
        </w:div>
        <w:div w:id="240607315">
          <w:marLeft w:val="576"/>
          <w:marRight w:val="0"/>
          <w:marTop w:val="120"/>
          <w:marBottom w:val="0"/>
          <w:divBdr>
            <w:top w:val="none" w:sz="0" w:space="0" w:color="auto"/>
            <w:left w:val="none" w:sz="0" w:space="0" w:color="auto"/>
            <w:bottom w:val="none" w:sz="0" w:space="0" w:color="auto"/>
            <w:right w:val="none" w:sz="0" w:space="0" w:color="auto"/>
          </w:divBdr>
        </w:div>
        <w:div w:id="1821800695">
          <w:marLeft w:val="576"/>
          <w:marRight w:val="0"/>
          <w:marTop w:val="120"/>
          <w:marBottom w:val="0"/>
          <w:divBdr>
            <w:top w:val="none" w:sz="0" w:space="0" w:color="auto"/>
            <w:left w:val="none" w:sz="0" w:space="0" w:color="auto"/>
            <w:bottom w:val="none" w:sz="0" w:space="0" w:color="auto"/>
            <w:right w:val="none" w:sz="0" w:space="0" w:color="auto"/>
          </w:divBdr>
        </w:div>
        <w:div w:id="137712680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3412922">
      <w:bodyDiv w:val="1"/>
      <w:marLeft w:val="0"/>
      <w:marRight w:val="0"/>
      <w:marTop w:val="0"/>
      <w:marBottom w:val="0"/>
      <w:divBdr>
        <w:top w:val="none" w:sz="0" w:space="0" w:color="auto"/>
        <w:left w:val="none" w:sz="0" w:space="0" w:color="auto"/>
        <w:bottom w:val="none" w:sz="0" w:space="0" w:color="auto"/>
        <w:right w:val="none" w:sz="0" w:space="0" w:color="auto"/>
      </w:divBdr>
      <w:divsChild>
        <w:div w:id="1056660854">
          <w:marLeft w:val="576"/>
          <w:marRight w:val="0"/>
          <w:marTop w:val="120"/>
          <w:marBottom w:val="0"/>
          <w:divBdr>
            <w:top w:val="none" w:sz="0" w:space="0" w:color="auto"/>
            <w:left w:val="none" w:sz="0" w:space="0" w:color="auto"/>
            <w:bottom w:val="none" w:sz="0" w:space="0" w:color="auto"/>
            <w:right w:val="none" w:sz="0" w:space="0" w:color="auto"/>
          </w:divBdr>
        </w:div>
        <w:div w:id="708531858">
          <w:marLeft w:val="576"/>
          <w:marRight w:val="0"/>
          <w:marTop w:val="120"/>
          <w:marBottom w:val="0"/>
          <w:divBdr>
            <w:top w:val="none" w:sz="0" w:space="0" w:color="auto"/>
            <w:left w:val="none" w:sz="0" w:space="0" w:color="auto"/>
            <w:bottom w:val="none" w:sz="0" w:space="0" w:color="auto"/>
            <w:right w:val="none" w:sz="0" w:space="0" w:color="auto"/>
          </w:divBdr>
        </w:div>
        <w:div w:id="119291166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1426091">
      <w:bodyDiv w:val="1"/>
      <w:marLeft w:val="0"/>
      <w:marRight w:val="0"/>
      <w:marTop w:val="0"/>
      <w:marBottom w:val="0"/>
      <w:divBdr>
        <w:top w:val="none" w:sz="0" w:space="0" w:color="auto"/>
        <w:left w:val="none" w:sz="0" w:space="0" w:color="auto"/>
        <w:bottom w:val="none" w:sz="0" w:space="0" w:color="auto"/>
        <w:right w:val="none" w:sz="0" w:space="0" w:color="auto"/>
      </w:divBdr>
      <w:divsChild>
        <w:div w:id="1383364077">
          <w:marLeft w:val="576"/>
          <w:marRight w:val="0"/>
          <w:marTop w:val="120"/>
          <w:marBottom w:val="0"/>
          <w:divBdr>
            <w:top w:val="none" w:sz="0" w:space="0" w:color="auto"/>
            <w:left w:val="none" w:sz="0" w:space="0" w:color="auto"/>
            <w:bottom w:val="none" w:sz="0" w:space="0" w:color="auto"/>
            <w:right w:val="none" w:sz="0" w:space="0" w:color="auto"/>
          </w:divBdr>
        </w:div>
        <w:div w:id="560093903">
          <w:marLeft w:val="576"/>
          <w:marRight w:val="0"/>
          <w:marTop w:val="120"/>
          <w:marBottom w:val="0"/>
          <w:divBdr>
            <w:top w:val="none" w:sz="0" w:space="0" w:color="auto"/>
            <w:left w:val="none" w:sz="0" w:space="0" w:color="auto"/>
            <w:bottom w:val="none" w:sz="0" w:space="0" w:color="auto"/>
            <w:right w:val="none" w:sz="0" w:space="0" w:color="auto"/>
          </w:divBdr>
        </w:div>
        <w:div w:id="1194229189">
          <w:marLeft w:val="576"/>
          <w:marRight w:val="0"/>
          <w:marTop w:val="120"/>
          <w:marBottom w:val="0"/>
          <w:divBdr>
            <w:top w:val="none" w:sz="0" w:space="0" w:color="auto"/>
            <w:left w:val="none" w:sz="0" w:space="0" w:color="auto"/>
            <w:bottom w:val="none" w:sz="0" w:space="0" w:color="auto"/>
            <w:right w:val="none" w:sz="0" w:space="0" w:color="auto"/>
          </w:divBdr>
        </w:div>
        <w:div w:id="749279741">
          <w:marLeft w:val="576"/>
          <w:marRight w:val="0"/>
          <w:marTop w:val="120"/>
          <w:marBottom w:val="0"/>
          <w:divBdr>
            <w:top w:val="none" w:sz="0" w:space="0" w:color="auto"/>
            <w:left w:val="none" w:sz="0" w:space="0" w:color="auto"/>
            <w:bottom w:val="none" w:sz="0" w:space="0" w:color="auto"/>
            <w:right w:val="none" w:sz="0" w:space="0" w:color="auto"/>
          </w:divBdr>
        </w:div>
        <w:div w:id="7833232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622904">
      <w:bodyDiv w:val="1"/>
      <w:marLeft w:val="0"/>
      <w:marRight w:val="0"/>
      <w:marTop w:val="0"/>
      <w:marBottom w:val="0"/>
      <w:divBdr>
        <w:top w:val="none" w:sz="0" w:space="0" w:color="auto"/>
        <w:left w:val="none" w:sz="0" w:space="0" w:color="auto"/>
        <w:bottom w:val="none" w:sz="0" w:space="0" w:color="auto"/>
        <w:right w:val="none" w:sz="0" w:space="0" w:color="auto"/>
      </w:divBdr>
      <w:divsChild>
        <w:div w:id="524442191">
          <w:marLeft w:val="576"/>
          <w:marRight w:val="0"/>
          <w:marTop w:val="120"/>
          <w:marBottom w:val="0"/>
          <w:divBdr>
            <w:top w:val="none" w:sz="0" w:space="0" w:color="auto"/>
            <w:left w:val="none" w:sz="0" w:space="0" w:color="auto"/>
            <w:bottom w:val="none" w:sz="0" w:space="0" w:color="auto"/>
            <w:right w:val="none" w:sz="0" w:space="0" w:color="auto"/>
          </w:divBdr>
        </w:div>
        <w:div w:id="462357970">
          <w:marLeft w:val="576"/>
          <w:marRight w:val="0"/>
          <w:marTop w:val="120"/>
          <w:marBottom w:val="0"/>
          <w:divBdr>
            <w:top w:val="none" w:sz="0" w:space="0" w:color="auto"/>
            <w:left w:val="none" w:sz="0" w:space="0" w:color="auto"/>
            <w:bottom w:val="none" w:sz="0" w:space="0" w:color="auto"/>
            <w:right w:val="none" w:sz="0" w:space="0" w:color="auto"/>
          </w:divBdr>
        </w:div>
        <w:div w:id="141859703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495708">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14</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893</cp:revision>
  <dcterms:created xsi:type="dcterms:W3CDTF">2021-01-06T11:34:00Z</dcterms:created>
  <dcterms:modified xsi:type="dcterms:W3CDTF">2022-03-14T08:08:00Z</dcterms:modified>
</cp:coreProperties>
</file>