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72F7D" w:rsidRDefault="00572F7D" w:rsidP="00572F7D">
      <w:pPr>
        <w:spacing w:line="360" w:lineRule="auto"/>
        <w:jc w:val="center"/>
        <w:rPr>
          <w:rFonts w:ascii="Times New Roman" w:hAnsi="Times New Roman" w:cs="Times New Roman"/>
          <w:b/>
          <w:sz w:val="56"/>
          <w:szCs w:val="56"/>
        </w:rPr>
      </w:pPr>
      <w:r w:rsidRPr="00572F7D">
        <w:rPr>
          <w:rFonts w:ascii="Times New Roman" w:hAnsi="Times New Roman" w:cs="Times New Roman"/>
          <w:b/>
          <w:sz w:val="56"/>
          <w:szCs w:val="56"/>
        </w:rPr>
        <w:t>Identification of Flood Prone Roads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72F7D" w:rsidRDefault="00572F7D" w:rsidP="00E53AA4">
      <w:pPr>
        <w:spacing w:line="360" w:lineRule="auto"/>
        <w:jc w:val="both"/>
        <w:rPr>
          <w:rFonts w:ascii="Times New Roman" w:hAnsi="Times New Roman" w:cs="Times New Roman"/>
          <w:b/>
          <w:sz w:val="44"/>
          <w:szCs w:val="44"/>
        </w:rPr>
      </w:pPr>
    </w:p>
    <w:p w:rsidR="00572F7D" w:rsidRDefault="00572F7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E165E" w:rsidRDefault="003E165E" w:rsidP="00E53AA4">
      <w:pPr>
        <w:spacing w:line="360" w:lineRule="auto"/>
        <w:jc w:val="both"/>
        <w:rPr>
          <w:rFonts w:ascii="Times New Roman" w:hAnsi="Times New Roman" w:cs="Times New Roman"/>
          <w:b/>
          <w:sz w:val="52"/>
          <w:szCs w:val="52"/>
        </w:rPr>
      </w:pPr>
      <w:r w:rsidRPr="003E165E">
        <w:rPr>
          <w:rFonts w:ascii="Times New Roman" w:hAnsi="Times New Roman" w:cs="Times New Roman"/>
          <w:sz w:val="32"/>
          <w:szCs w:val="32"/>
        </w:rPr>
        <w:t xml:space="preserve">The availability of new technologies far the measurement of surface elevation has addressed the lack of high-resolution elevation data, which has led to an increase in the attraction of automated procedures based on digital elevation models (DEMs) far hydrological applications, including the delineation of floodplains. In particular, the exposure to flooding may be delineated quite well by adopting a modified topographic index (TIm) computed from a DEM. The comparison of TI", and flood inundation maps (obtained from hydraulic simulations) shows that the portion of a basin exposed to flood inundation is generally characterized by a TIm higher than a given threshold, T (e.g., equal to 2.89 far DEMs with cell size of 20 m). This allows the development of a simple procedure far the identification of flood-prone areas that requires only two parameters far the calibration: the threshold T and the exponent of TIm' Because the modified topographic index is sensitive to the spatial resolution of the DEM, the optimal scale of representation for the performance of the method is investigated. The procedure is tested on the Arno River Basin by using the existing documentation of flood inundations produced by the Arno River Basin Authority for calibration and validation. This approach is applied on Il subcatchments with areas ranging from 489-6,929 km2 utilizing DEMs of different resolutions with cell sizes ranging from 20-720 m. Results show that the proposed procedure may help in the delineation of flood-prone areas, especially in basins with marked topography. The method is sensitive to the DEM </w:t>
      </w:r>
      <w:r w:rsidRPr="003E165E">
        <w:rPr>
          <w:rFonts w:ascii="Times New Roman" w:hAnsi="Times New Roman" w:cs="Times New Roman"/>
          <w:sz w:val="32"/>
          <w:szCs w:val="32"/>
        </w:rPr>
        <w:lastRenderedPageBreak/>
        <w:t xml:space="preserve">resolution, but a cell size of -100 m is sufficient for good performance for the catchments investigated here. The procedure is also tested by adopting DEMs from different sources, such as the shuttle radar topography mission (SRTM) DEM, ASTER global DEM (GDEM), and national elevation data. This experiment highlights the reliability of the SRTM DEM for the delineation of flood-prone areas. A useful relationship between model parameters and the reference scale of the DEM was also obtained, providing a strategy for the application of this method in different contexts. The use of the modified topographic index should not be considered as an alternative to standard hydrological-hydraulic simulations for flood mapping, but it may represent a useful and rapid tool for a preliminary delineation offlooding areas in ungauged basins and in areas where expensive and time-consuming hydrological-hydraulic simulations are not affardable or economically convenient.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3E165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3E165E" w:rsidRDefault="003E165E" w:rsidP="003E165E">
      <w:pPr>
        <w:tabs>
          <w:tab w:val="left" w:pos="6210"/>
        </w:tabs>
        <w:spacing w:line="360" w:lineRule="auto"/>
        <w:jc w:val="both"/>
        <w:rPr>
          <w:rFonts w:ascii="Times New Roman" w:hAnsi="Times New Roman" w:cs="Times New Roman"/>
          <w:sz w:val="40"/>
          <w:szCs w:val="40"/>
        </w:rPr>
      </w:pPr>
    </w:p>
    <w:p w:rsidR="003E165E" w:rsidRDefault="003E165E" w:rsidP="003E165E">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3E165E">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D0165" w:rsidRDefault="00D63E33" w:rsidP="00BD016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D0165">
        <w:rPr>
          <w:rFonts w:ascii="Times New Roman" w:hAnsi="Times New Roman" w:cs="Times New Roman"/>
          <w:sz w:val="32"/>
          <w:szCs w:val="32"/>
          <w:lang w:val="en-IN"/>
        </w:rPr>
        <w:t>As long-term inundation by floodwater is not a very common phenomenon in these countries, research in this regard is almost non-existent.</w:t>
      </w:r>
    </w:p>
    <w:p w:rsidR="00000000" w:rsidRPr="00BD0165" w:rsidRDefault="00D63E33" w:rsidP="00BD016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D0165">
        <w:rPr>
          <w:rFonts w:ascii="Times New Roman" w:hAnsi="Times New Roman" w:cs="Times New Roman"/>
          <w:sz w:val="32"/>
          <w:szCs w:val="32"/>
          <w:lang w:val="en-IN"/>
        </w:rPr>
        <w:t xml:space="preserve">The importance of developing new infrastructure in a climate-resilient way and </w:t>
      </w:r>
      <w:r w:rsidRPr="00BD0165">
        <w:rPr>
          <w:rFonts w:ascii="Times New Roman" w:hAnsi="Times New Roman" w:cs="Times New Roman"/>
          <w:sz w:val="32"/>
          <w:szCs w:val="32"/>
          <w:lang w:val="en-IN"/>
        </w:rPr>
        <w:t>adapting existing infrastructure to changing environmental conditions is thus evident.</w:t>
      </w:r>
    </w:p>
    <w:p w:rsidR="00000000" w:rsidRPr="00BD0165" w:rsidRDefault="00D63E33" w:rsidP="00BD016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D0165">
        <w:rPr>
          <w:rFonts w:ascii="Times New Roman" w:hAnsi="Times New Roman" w:cs="Times New Roman"/>
          <w:sz w:val="32"/>
          <w:szCs w:val="32"/>
          <w:lang w:val="en-IN"/>
        </w:rPr>
        <w:t>The probability of flooding has been assessed, maintenance of culverts (e.g., regular unclogging of flood-prone intersections) and the adaptation of existing infrastruc</w:t>
      </w:r>
      <w:r w:rsidRPr="00BD0165">
        <w:rPr>
          <w:rFonts w:ascii="Times New Roman" w:hAnsi="Times New Roman" w:cs="Times New Roman"/>
          <w:sz w:val="32"/>
          <w:szCs w:val="32"/>
          <w:lang w:val="en-IN"/>
        </w:rPr>
        <w:t xml:space="preserve">ture to the predicted changes in climate conditions can be prioritized accordingly.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D7C14" w:rsidRDefault="00D63E33" w:rsidP="00FD7C14">
      <w:pPr>
        <w:numPr>
          <w:ilvl w:val="0"/>
          <w:numId w:val="45"/>
        </w:numPr>
        <w:spacing w:line="360" w:lineRule="auto"/>
        <w:jc w:val="both"/>
        <w:rPr>
          <w:rFonts w:ascii="Times New Roman" w:hAnsi="Times New Roman" w:cs="Times New Roman"/>
          <w:bCs/>
          <w:sz w:val="32"/>
          <w:szCs w:val="32"/>
          <w:lang w:val="en-IN"/>
        </w:rPr>
      </w:pPr>
      <w:r w:rsidRPr="00FD7C14">
        <w:rPr>
          <w:rFonts w:ascii="Times New Roman" w:hAnsi="Times New Roman" w:cs="Times New Roman"/>
          <w:bCs/>
          <w:sz w:val="32"/>
          <w:szCs w:val="32"/>
          <w:lang w:val="en-IN"/>
        </w:rPr>
        <w:t>The delineation of these areas raises complex problems regarding the definition of flood events and the parameterization of models far flood wave propagation in river bed</w:t>
      </w:r>
      <w:r w:rsidRPr="00FD7C14">
        <w:rPr>
          <w:rFonts w:ascii="Times New Roman" w:hAnsi="Times New Roman" w:cs="Times New Roman"/>
          <w:bCs/>
          <w:sz w:val="32"/>
          <w:szCs w:val="32"/>
          <w:lang w:val="en-IN"/>
        </w:rPr>
        <w:t>s and in surrounding areas.</w:t>
      </w:r>
    </w:p>
    <w:p w:rsidR="00000000" w:rsidRPr="00FD7C14" w:rsidRDefault="00D63E33" w:rsidP="00FD7C14">
      <w:pPr>
        <w:numPr>
          <w:ilvl w:val="0"/>
          <w:numId w:val="45"/>
        </w:numPr>
        <w:spacing w:line="360" w:lineRule="auto"/>
        <w:jc w:val="both"/>
        <w:rPr>
          <w:rFonts w:ascii="Times New Roman" w:hAnsi="Times New Roman" w:cs="Times New Roman"/>
          <w:bCs/>
          <w:sz w:val="32"/>
          <w:szCs w:val="32"/>
          <w:lang w:val="en-IN"/>
        </w:rPr>
      </w:pPr>
      <w:r w:rsidRPr="00FD7C14">
        <w:rPr>
          <w:rFonts w:ascii="Times New Roman" w:hAnsi="Times New Roman" w:cs="Times New Roman"/>
          <w:bCs/>
          <w:sz w:val="32"/>
          <w:szCs w:val="32"/>
          <w:lang w:val="en-IN"/>
        </w:rPr>
        <w:t>The problem is selecting the right threshold and identifying the correct exponent that optirnizes this method.</w:t>
      </w:r>
    </w:p>
    <w:p w:rsidR="00F94960" w:rsidRPr="00FD7C14" w:rsidRDefault="00D63E33" w:rsidP="00E53AA4">
      <w:pPr>
        <w:numPr>
          <w:ilvl w:val="0"/>
          <w:numId w:val="45"/>
        </w:numPr>
        <w:spacing w:line="360" w:lineRule="auto"/>
        <w:jc w:val="both"/>
        <w:rPr>
          <w:rFonts w:ascii="Times New Roman" w:hAnsi="Times New Roman" w:cs="Times New Roman"/>
          <w:bCs/>
          <w:sz w:val="32"/>
          <w:szCs w:val="32"/>
          <w:lang w:val="en-IN"/>
        </w:rPr>
      </w:pPr>
      <w:r w:rsidRPr="00FD7C14">
        <w:rPr>
          <w:rFonts w:ascii="Times New Roman" w:hAnsi="Times New Roman" w:cs="Times New Roman"/>
          <w:bCs/>
          <w:sz w:val="32"/>
          <w:szCs w:val="32"/>
          <w:lang w:val="en-IN"/>
        </w:rPr>
        <w:lastRenderedPageBreak/>
        <w:t>The effect of depressions and obstac1es were treated using the AT search algorithm, which is a least-cost path algo</w:t>
      </w:r>
      <w:r w:rsidRPr="00FD7C14">
        <w:rPr>
          <w:rFonts w:ascii="Times New Roman" w:hAnsi="Times New Roman" w:cs="Times New Roman"/>
          <w:bCs/>
          <w:sz w:val="32"/>
          <w:szCs w:val="32"/>
          <w:lang w:val="en-IN"/>
        </w:rPr>
        <w:t>rithm designed to minimize the impact of areas of low slope and DEM data errors.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579EF" w:rsidRPr="000579EF" w:rsidRDefault="000579EF" w:rsidP="000579EF">
      <w:pPr>
        <w:pStyle w:val="NormalWeb"/>
        <w:numPr>
          <w:ilvl w:val="0"/>
          <w:numId w:val="46"/>
        </w:numPr>
        <w:spacing w:before="0" w:beforeAutospacing="0" w:after="0" w:afterAutospacing="0" w:line="360" w:lineRule="auto"/>
        <w:ind w:left="426"/>
        <w:jc w:val="both"/>
        <w:rPr>
          <w:sz w:val="32"/>
          <w:szCs w:val="32"/>
        </w:rPr>
      </w:pPr>
      <w:r w:rsidRPr="000579EF">
        <w:rPr>
          <w:sz w:val="32"/>
          <w:szCs w:val="32"/>
        </w:rPr>
        <w:t>This provides justification for the use of SMCE in order to identify flood-prone areas that are needed for mapping purposes.</w:t>
      </w:r>
    </w:p>
    <w:p w:rsidR="000579EF" w:rsidRPr="000579EF" w:rsidRDefault="000579EF" w:rsidP="000579EF">
      <w:pPr>
        <w:pStyle w:val="NormalWeb"/>
        <w:numPr>
          <w:ilvl w:val="0"/>
          <w:numId w:val="46"/>
        </w:numPr>
        <w:spacing w:before="0" w:beforeAutospacing="0" w:after="0" w:afterAutospacing="0" w:line="360" w:lineRule="auto"/>
        <w:ind w:left="426"/>
        <w:jc w:val="both"/>
        <w:rPr>
          <w:sz w:val="32"/>
          <w:szCs w:val="32"/>
        </w:rPr>
      </w:pPr>
      <w:r w:rsidRPr="000579EF">
        <w:rPr>
          <w:sz w:val="32"/>
          <w:szCs w:val="32"/>
        </w:rPr>
        <w:t>The approach used in this study was for screening purposes, other studies should be conducted based on a quantitative approach at other scales in order to obtain the direct and indirect losses for elements at risk (assets).</w:t>
      </w:r>
    </w:p>
    <w:p w:rsidR="003A5D44" w:rsidRPr="000579EF" w:rsidRDefault="000579EF" w:rsidP="00E53AA4">
      <w:pPr>
        <w:pStyle w:val="NormalWeb"/>
        <w:numPr>
          <w:ilvl w:val="0"/>
          <w:numId w:val="46"/>
        </w:numPr>
        <w:spacing w:before="0" w:beforeAutospacing="0" w:after="0" w:afterAutospacing="0" w:line="360" w:lineRule="auto"/>
        <w:ind w:left="426"/>
        <w:jc w:val="both"/>
        <w:rPr>
          <w:sz w:val="32"/>
          <w:szCs w:val="32"/>
        </w:rPr>
      </w:pPr>
      <w:r w:rsidRPr="000579EF">
        <w:rPr>
          <w:sz w:val="32"/>
          <w:szCs w:val="32"/>
        </w:rPr>
        <w:t>The prioritization based on the exposure analysis was conducted by intersecting the flood-prone areas with roads that were ranked similar to the method proposed in France for analyzing potential flood damage to transportation networks at the meso-scale.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B127C" w:rsidRDefault="00D63E33" w:rsidP="00EB127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B127C">
        <w:rPr>
          <w:rFonts w:ascii="Times New Roman" w:eastAsia="AdvGulliv-R" w:hAnsi="Times New Roman" w:cs="Times New Roman"/>
          <w:bCs/>
          <w:sz w:val="32"/>
          <w:szCs w:val="32"/>
          <w:lang w:val="en-IN"/>
        </w:rPr>
        <w:t>The performance of the method tended to increase for basins with a higher slope ratio.</w:t>
      </w:r>
    </w:p>
    <w:p w:rsidR="00000000" w:rsidRPr="00EB127C" w:rsidRDefault="00D63E33" w:rsidP="00EB127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B127C">
        <w:rPr>
          <w:rFonts w:ascii="Times New Roman" w:eastAsia="AdvGulliv-R" w:hAnsi="Times New Roman" w:cs="Times New Roman"/>
          <w:bCs/>
          <w:sz w:val="32"/>
          <w:szCs w:val="32"/>
          <w:lang w:val="en-IN"/>
        </w:rPr>
        <w:t>The preliminary results of the flood prone area determination, as a basis to perform more comprehensive synthesis such as flood risk and flood hazard miti</w:t>
      </w:r>
      <w:r w:rsidRPr="00EB127C">
        <w:rPr>
          <w:rFonts w:ascii="Times New Roman" w:eastAsia="AdvGulliv-R" w:hAnsi="Times New Roman" w:cs="Times New Roman"/>
          <w:bCs/>
          <w:sz w:val="32"/>
          <w:szCs w:val="32"/>
          <w:lang w:val="en-IN"/>
        </w:rPr>
        <w:t xml:space="preserve">gation. </w:t>
      </w:r>
    </w:p>
    <w:p w:rsidR="00000000" w:rsidRPr="00EB127C" w:rsidRDefault="00D63E33" w:rsidP="00EB127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B127C">
        <w:rPr>
          <w:rFonts w:ascii="Times New Roman" w:eastAsia="AdvGulliv-R" w:hAnsi="Times New Roman" w:cs="Times New Roman"/>
          <w:bCs/>
          <w:sz w:val="32"/>
          <w:szCs w:val="32"/>
          <w:lang w:val="en-IN"/>
        </w:rPr>
        <w:t>The visualization of the suggested models by means of the flood thermometer allows for the comparison of their performance to that of the Blue Spot method.</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303"/>
        <w:gridCol w:w="4081"/>
      </w:tblGrid>
      <w:tr w:rsidR="000C407B" w:rsidTr="008C4025">
        <w:tc>
          <w:tcPr>
            <w:tcW w:w="3192" w:type="dxa"/>
          </w:tcPr>
          <w:p w:rsidR="000C407B" w:rsidRDefault="000C407B" w:rsidP="00D86805">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TITLE</w:t>
            </w:r>
          </w:p>
        </w:tc>
        <w:tc>
          <w:tcPr>
            <w:tcW w:w="2303" w:type="dxa"/>
          </w:tcPr>
          <w:p w:rsidR="000C407B" w:rsidRDefault="000C407B" w:rsidP="00D86805">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AUTHORS</w:t>
            </w:r>
          </w:p>
        </w:tc>
        <w:tc>
          <w:tcPr>
            <w:tcW w:w="4081" w:type="dxa"/>
          </w:tcPr>
          <w:p w:rsidR="000C407B" w:rsidRDefault="000C407B" w:rsidP="00D86805">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DESCRIPTION</w:t>
            </w:r>
          </w:p>
        </w:tc>
      </w:tr>
      <w:tr w:rsidR="000C407B" w:rsidTr="008C4025">
        <w:trPr>
          <w:trHeight w:val="2780"/>
        </w:trPr>
        <w:tc>
          <w:tcPr>
            <w:tcW w:w="3192" w:type="dxa"/>
          </w:tcPr>
          <w:p w:rsidR="000C407B" w:rsidRPr="00D86805" w:rsidRDefault="00D86805" w:rsidP="00E53AA4">
            <w:pPr>
              <w:tabs>
                <w:tab w:val="left" w:pos="720"/>
              </w:tabs>
              <w:spacing w:after="100" w:line="360" w:lineRule="auto"/>
              <w:jc w:val="both"/>
              <w:rPr>
                <w:rFonts w:ascii="Times New Roman" w:hAnsi="Times New Roman" w:cs="Times New Roman"/>
                <w:sz w:val="26"/>
                <w:szCs w:val="26"/>
              </w:rPr>
            </w:pPr>
            <w:r w:rsidRPr="00D86805">
              <w:rPr>
                <w:rFonts w:ascii="Times New Roman" w:hAnsi="Times New Roman" w:cs="Times New Roman"/>
                <w:sz w:val="26"/>
                <w:szCs w:val="26"/>
              </w:rPr>
              <w:t>A physically-based variable contributing area model of basin hydrology</w:t>
            </w:r>
          </w:p>
        </w:tc>
        <w:tc>
          <w:tcPr>
            <w:tcW w:w="2303" w:type="dxa"/>
          </w:tcPr>
          <w:p w:rsidR="000C407B" w:rsidRPr="00D86805" w:rsidRDefault="00D86805" w:rsidP="00D86805">
            <w:pPr>
              <w:tabs>
                <w:tab w:val="left" w:pos="720"/>
              </w:tabs>
              <w:spacing w:after="100" w:line="360" w:lineRule="auto"/>
              <w:jc w:val="both"/>
              <w:rPr>
                <w:rFonts w:ascii="Times New Roman" w:hAnsi="Times New Roman" w:cs="Times New Roman"/>
                <w:sz w:val="26"/>
                <w:szCs w:val="26"/>
              </w:rPr>
            </w:pPr>
            <w:r w:rsidRPr="00D86805">
              <w:rPr>
                <w:rFonts w:ascii="Times New Roman" w:hAnsi="Times New Roman" w:cs="Times New Roman"/>
                <w:sz w:val="26"/>
                <w:szCs w:val="26"/>
              </w:rPr>
              <w:t xml:space="preserve">Beven, K. J., and Kirkby, M. J. (1979). </w:t>
            </w:r>
          </w:p>
        </w:tc>
        <w:tc>
          <w:tcPr>
            <w:tcW w:w="4081" w:type="dxa"/>
          </w:tcPr>
          <w:p w:rsidR="000C407B" w:rsidRPr="00D86805" w:rsidRDefault="00D86805" w:rsidP="00E53AA4">
            <w:pPr>
              <w:tabs>
                <w:tab w:val="left" w:pos="720"/>
              </w:tabs>
              <w:spacing w:after="100" w:line="360" w:lineRule="auto"/>
              <w:jc w:val="both"/>
              <w:rPr>
                <w:rFonts w:ascii="Times New Roman" w:hAnsi="Times New Roman" w:cs="Times New Roman"/>
                <w:sz w:val="26"/>
                <w:szCs w:val="26"/>
              </w:rPr>
            </w:pPr>
            <w:r w:rsidRPr="00D86805">
              <w:rPr>
                <w:rFonts w:ascii="Times New Roman" w:hAnsi="Times New Roman" w:cs="Times New Roman"/>
                <w:sz w:val="26"/>
                <w:szCs w:val="26"/>
              </w:rPr>
              <w:t>A hydrological forecasting model is presented that attempts to combine the important distributed effects of channel network topology and dynamic contributing areas with the advantages of simple lumped parameter basin models.</w:t>
            </w:r>
          </w:p>
        </w:tc>
      </w:tr>
      <w:tr w:rsidR="000C407B" w:rsidTr="008C4025">
        <w:trPr>
          <w:trHeight w:val="1952"/>
        </w:trPr>
        <w:tc>
          <w:tcPr>
            <w:tcW w:w="3192" w:type="dxa"/>
          </w:tcPr>
          <w:p w:rsidR="000C407B" w:rsidRPr="00D86805" w:rsidRDefault="00D86805" w:rsidP="00E53AA4">
            <w:pPr>
              <w:tabs>
                <w:tab w:val="left" w:pos="720"/>
              </w:tabs>
              <w:spacing w:after="100" w:line="360" w:lineRule="auto"/>
              <w:jc w:val="both"/>
              <w:rPr>
                <w:rFonts w:ascii="Times New Roman" w:hAnsi="Times New Roman" w:cs="Times New Roman"/>
                <w:sz w:val="26"/>
                <w:szCs w:val="26"/>
              </w:rPr>
            </w:pPr>
            <w:r w:rsidRPr="00D86805">
              <w:rPr>
                <w:rFonts w:ascii="Times New Roman" w:hAnsi="Times New Roman" w:cs="Times New Roman"/>
                <w:sz w:val="26"/>
                <w:szCs w:val="26"/>
              </w:rPr>
              <w:t>Multiple flow direction algorithms for runoff modelling in grid based elevation models: An empirical evaluation</w:t>
            </w:r>
          </w:p>
        </w:tc>
        <w:tc>
          <w:tcPr>
            <w:tcW w:w="2303" w:type="dxa"/>
          </w:tcPr>
          <w:p w:rsidR="000C407B" w:rsidRPr="00D86805" w:rsidRDefault="00D86805" w:rsidP="00D86805">
            <w:pPr>
              <w:tabs>
                <w:tab w:val="left" w:pos="720"/>
              </w:tabs>
              <w:spacing w:after="100" w:line="360" w:lineRule="auto"/>
              <w:jc w:val="both"/>
              <w:rPr>
                <w:rFonts w:ascii="Times New Roman" w:hAnsi="Times New Roman" w:cs="Times New Roman"/>
                <w:sz w:val="26"/>
                <w:szCs w:val="26"/>
              </w:rPr>
            </w:pPr>
            <w:r w:rsidRPr="00D86805">
              <w:rPr>
                <w:rFonts w:ascii="Times New Roman" w:hAnsi="Times New Roman" w:cs="Times New Roman"/>
                <w:sz w:val="26"/>
                <w:szCs w:val="26"/>
              </w:rPr>
              <w:t xml:space="preserve">Holmgren, P. (1994). </w:t>
            </w:r>
          </w:p>
        </w:tc>
        <w:tc>
          <w:tcPr>
            <w:tcW w:w="4081" w:type="dxa"/>
          </w:tcPr>
          <w:p w:rsidR="000C407B" w:rsidRPr="00D86805" w:rsidRDefault="00D86805" w:rsidP="00E53AA4">
            <w:pPr>
              <w:tabs>
                <w:tab w:val="left" w:pos="720"/>
              </w:tabs>
              <w:spacing w:after="100" w:line="360" w:lineRule="auto"/>
              <w:jc w:val="both"/>
              <w:rPr>
                <w:rFonts w:ascii="Times New Roman" w:hAnsi="Times New Roman" w:cs="Times New Roman"/>
                <w:sz w:val="26"/>
                <w:szCs w:val="26"/>
              </w:rPr>
            </w:pPr>
            <w:r w:rsidRPr="00D86805">
              <w:rPr>
                <w:rFonts w:ascii="Times New Roman" w:hAnsi="Times New Roman" w:cs="Times New Roman"/>
                <w:sz w:val="26"/>
                <w:szCs w:val="26"/>
                <w:shd w:val="clear" w:color="auto" w:fill="FFFFFF"/>
              </w:rPr>
              <w:t>When pathways for groundwater flow are defined in grid based elevation models, the grid structure creates some obstacles as it only allows for eight flow directions.</w:t>
            </w:r>
          </w:p>
        </w:tc>
      </w:tr>
      <w:tr w:rsidR="000C407B" w:rsidTr="008C4025">
        <w:tc>
          <w:tcPr>
            <w:tcW w:w="3192" w:type="dxa"/>
          </w:tcPr>
          <w:p w:rsidR="000C407B" w:rsidRPr="00D86805" w:rsidRDefault="00D86805" w:rsidP="00E53AA4">
            <w:pPr>
              <w:tabs>
                <w:tab w:val="left" w:pos="720"/>
              </w:tabs>
              <w:spacing w:after="100" w:line="360" w:lineRule="auto"/>
              <w:jc w:val="both"/>
              <w:rPr>
                <w:rFonts w:ascii="Times New Roman" w:hAnsi="Times New Roman" w:cs="Times New Roman"/>
                <w:sz w:val="26"/>
                <w:szCs w:val="26"/>
              </w:rPr>
            </w:pPr>
            <w:r w:rsidRPr="00D86805">
              <w:rPr>
                <w:rFonts w:ascii="Times New Roman" w:hAnsi="Times New Roman" w:cs="Times New Roman"/>
                <w:sz w:val="26"/>
                <w:szCs w:val="26"/>
              </w:rPr>
              <w:t>Hole-filled seamless SRTM data V4</w:t>
            </w:r>
          </w:p>
        </w:tc>
        <w:tc>
          <w:tcPr>
            <w:tcW w:w="2303" w:type="dxa"/>
          </w:tcPr>
          <w:p w:rsidR="000C407B" w:rsidRPr="00D86805" w:rsidRDefault="00D86805" w:rsidP="00D86805">
            <w:pPr>
              <w:tabs>
                <w:tab w:val="left" w:pos="720"/>
              </w:tabs>
              <w:spacing w:after="100" w:line="360" w:lineRule="auto"/>
              <w:jc w:val="both"/>
              <w:rPr>
                <w:rFonts w:ascii="Times New Roman" w:hAnsi="Times New Roman" w:cs="Times New Roman"/>
                <w:sz w:val="26"/>
                <w:szCs w:val="26"/>
              </w:rPr>
            </w:pPr>
            <w:r w:rsidRPr="00D86805">
              <w:rPr>
                <w:rFonts w:ascii="Times New Roman" w:hAnsi="Times New Roman" w:cs="Times New Roman"/>
                <w:sz w:val="26"/>
                <w:szCs w:val="26"/>
              </w:rPr>
              <w:t xml:space="preserve">Jarvis, A., Reuter, H. L, Nelson, A., and Guevara, E. (2008). </w:t>
            </w:r>
          </w:p>
        </w:tc>
        <w:tc>
          <w:tcPr>
            <w:tcW w:w="4081" w:type="dxa"/>
          </w:tcPr>
          <w:p w:rsidR="000C407B" w:rsidRPr="00D86805" w:rsidRDefault="00D86805" w:rsidP="00E53AA4">
            <w:pPr>
              <w:tabs>
                <w:tab w:val="left" w:pos="720"/>
              </w:tabs>
              <w:spacing w:after="100" w:line="360" w:lineRule="auto"/>
              <w:jc w:val="both"/>
              <w:rPr>
                <w:rFonts w:ascii="Times New Roman" w:hAnsi="Times New Roman" w:cs="Times New Roman"/>
                <w:sz w:val="26"/>
                <w:szCs w:val="26"/>
              </w:rPr>
            </w:pPr>
            <w:r w:rsidRPr="00D86805">
              <w:rPr>
                <w:rFonts w:ascii="Times New Roman" w:hAnsi="Times New Roman" w:cs="Times New Roman"/>
                <w:sz w:val="26"/>
                <w:szCs w:val="26"/>
                <w:shd w:val="clear" w:color="auto" w:fill="FFFFFF"/>
              </w:rPr>
              <w:t>These voids can be filled using a range of interpolation algorithms in conjunction with other sources of elevation data, but there is little guidance on the most appropriate void-filling method.</w:t>
            </w:r>
          </w:p>
        </w:tc>
      </w:tr>
      <w:tr w:rsidR="000C407B" w:rsidTr="008C4025">
        <w:tc>
          <w:tcPr>
            <w:tcW w:w="3192" w:type="dxa"/>
          </w:tcPr>
          <w:p w:rsidR="000C407B" w:rsidRPr="00D86805" w:rsidRDefault="00D86805" w:rsidP="00E53AA4">
            <w:pPr>
              <w:tabs>
                <w:tab w:val="left" w:pos="720"/>
              </w:tabs>
              <w:spacing w:after="100" w:line="360" w:lineRule="auto"/>
              <w:jc w:val="both"/>
              <w:rPr>
                <w:rFonts w:ascii="Times New Roman" w:hAnsi="Times New Roman" w:cs="Times New Roman"/>
                <w:sz w:val="26"/>
                <w:szCs w:val="26"/>
              </w:rPr>
            </w:pPr>
            <w:r w:rsidRPr="00D86805">
              <w:rPr>
                <w:rFonts w:ascii="Times New Roman" w:hAnsi="Times New Roman" w:cs="Times New Roman"/>
                <w:sz w:val="26"/>
                <w:szCs w:val="26"/>
              </w:rPr>
              <w:t>Investigating a floodplain scaling relation using a hydrogeomorphic delineation method</w:t>
            </w:r>
          </w:p>
        </w:tc>
        <w:tc>
          <w:tcPr>
            <w:tcW w:w="2303" w:type="dxa"/>
          </w:tcPr>
          <w:p w:rsidR="000C407B" w:rsidRPr="00D86805" w:rsidRDefault="00D86805" w:rsidP="00D86805">
            <w:pPr>
              <w:tabs>
                <w:tab w:val="left" w:pos="720"/>
              </w:tabs>
              <w:spacing w:after="100" w:line="360" w:lineRule="auto"/>
              <w:jc w:val="both"/>
              <w:rPr>
                <w:rFonts w:ascii="Times New Roman" w:hAnsi="Times New Roman" w:cs="Times New Roman"/>
                <w:sz w:val="26"/>
                <w:szCs w:val="26"/>
              </w:rPr>
            </w:pPr>
            <w:r w:rsidRPr="00D86805">
              <w:rPr>
                <w:rFonts w:ascii="Times New Roman" w:hAnsi="Times New Roman" w:cs="Times New Roman"/>
                <w:sz w:val="26"/>
                <w:szCs w:val="26"/>
              </w:rPr>
              <w:t xml:space="preserve">Nardi, F, Vivoni, E. R., and Grimaldi, S. (2006). </w:t>
            </w:r>
          </w:p>
        </w:tc>
        <w:tc>
          <w:tcPr>
            <w:tcW w:w="4081" w:type="dxa"/>
          </w:tcPr>
          <w:p w:rsidR="000C407B" w:rsidRPr="00D86805" w:rsidRDefault="00D86805" w:rsidP="00E53AA4">
            <w:pPr>
              <w:tabs>
                <w:tab w:val="left" w:pos="720"/>
              </w:tabs>
              <w:spacing w:after="100" w:line="360" w:lineRule="auto"/>
              <w:jc w:val="both"/>
              <w:rPr>
                <w:rFonts w:ascii="Times New Roman" w:hAnsi="Times New Roman" w:cs="Times New Roman"/>
                <w:sz w:val="26"/>
                <w:szCs w:val="26"/>
              </w:rPr>
            </w:pPr>
            <w:r w:rsidRPr="00D86805">
              <w:rPr>
                <w:rFonts w:ascii="Times New Roman" w:hAnsi="Times New Roman" w:cs="Times New Roman"/>
                <w:sz w:val="26"/>
                <w:szCs w:val="26"/>
                <w:shd w:val="clear" w:color="auto" w:fill="FFFFFF"/>
              </w:rPr>
              <w:t>Floodplains are critical landscape features that are highly distinguished from neighboring uplands in terms of their hydrologic, geomorphologic, biogeochemical, and ecological processes.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952A10" w:rsidRDefault="00952A10"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952A10" w:rsidRDefault="00952A10"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952A10" w:rsidRDefault="00952A10"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952A10" w:rsidP="00952A10">
      <w:pPr>
        <w:spacing w:after="0" w:line="360" w:lineRule="auto"/>
        <w:jc w:val="center"/>
        <w:rPr>
          <w:rFonts w:ascii="Times New Roman" w:hAnsi="Times New Roman" w:cs="Times New Roman"/>
        </w:rPr>
      </w:pPr>
      <w:r>
        <w:rPr>
          <w:rFonts w:ascii="Times New Roman" w:hAnsi="Times New Roman" w:cs="Times New Roman"/>
          <w:noProof/>
          <w:lang w:val="en-IN" w:eastAsia="en-IN" w:bidi="ta-IN"/>
        </w:rPr>
        <w:drawing>
          <wp:inline distT="0" distB="0" distL="0" distR="0">
            <wp:extent cx="5734050" cy="3695700"/>
            <wp:effectExtent l="19050" t="0" r="0" b="0"/>
            <wp:docPr id="1" name="Picture 1" descr="C:\Users\ELCOT-Lenovo\Desktop\p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COT-Lenovo\Desktop\pic.png"/>
                    <pic:cNvPicPr>
                      <a:picLocks noChangeAspect="1" noChangeArrowheads="1"/>
                    </pic:cNvPicPr>
                  </pic:nvPicPr>
                  <pic:blipFill>
                    <a:blip r:embed="rId8"/>
                    <a:srcRect/>
                    <a:stretch>
                      <a:fillRect/>
                    </a:stretch>
                  </pic:blipFill>
                  <pic:spPr bwMode="auto">
                    <a:xfrm>
                      <a:off x="0" y="0"/>
                      <a:ext cx="5734050" cy="3695700"/>
                    </a:xfrm>
                    <a:prstGeom prst="rect">
                      <a:avLst/>
                    </a:prstGeom>
                    <a:noFill/>
                    <a:ln w="9525">
                      <a:noFill/>
                      <a:miter lim="800000"/>
                      <a:headEnd/>
                      <a:tailEnd/>
                    </a:ln>
                  </pic:spPr>
                </pic:pic>
              </a:graphicData>
            </a:graphic>
          </wp:inline>
        </w:drawing>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952A10" w:rsidRDefault="00952A1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217DB7" w:rsidRPr="00217DB7" w:rsidRDefault="00217DB7" w:rsidP="00217DB7">
      <w:pPr>
        <w:pStyle w:val="BodyText"/>
        <w:rPr>
          <w:bCs/>
          <w:sz w:val="32"/>
          <w:szCs w:val="32"/>
          <w:lang w:val="en-IN"/>
        </w:rPr>
      </w:pPr>
      <w:r w:rsidRPr="00217DB7">
        <w:rPr>
          <w:b/>
          <w:sz w:val="36"/>
          <w:szCs w:val="36"/>
          <w:lang w:val="en-IN"/>
        </w:rPr>
        <w:t xml:space="preserve">    </w:t>
      </w:r>
      <w:r w:rsidRPr="00217DB7">
        <w:rPr>
          <w:bCs/>
          <w:sz w:val="32"/>
          <w:szCs w:val="32"/>
          <w:lang w:val="en-IN"/>
        </w:rPr>
        <w:t>The methodology proposed here represents a simple tool for the delineation of areas exposed to flooding using only information on the basin topography (DEM). Such data are freely available over the entire globe at sufficient resolution. tool for prelirninary investigations in contexts that lack data for detailed hydrologic and hydraulic simulations and in those areas that lack significant hydraulic protective measures. Obviously, it cannot be considered as an alternative to standard hydrological-hydraulic simulations for flood mapping. This procedure exploits the data contained in a DEM that are summarized by the proposed topographic index. This index is a measure of basin convergence, and it represents a good descriptor of the flooding processo The DEMs used for these applications describe the ground surface, neglecting the presence of artificial structures (river banks, dikes, or bridges) that may significantly modify the natural surface water flow. This is certainly a source of error for the proposed methodology that is hard to address with a purely topographic approach.</w:t>
      </w:r>
      <w:r w:rsidRPr="00217DB7">
        <w:rPr>
          <w:bCs/>
          <w:sz w:val="32"/>
          <w:szCs w:val="32"/>
        </w:rPr>
        <w:t xml:space="preserve"> </w:t>
      </w:r>
    </w:p>
    <w:p w:rsidR="003E165E" w:rsidRDefault="003E165E"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217DB7" w:rsidRDefault="00217DB7" w:rsidP="009E62B1">
      <w:pPr>
        <w:pStyle w:val="BodyText"/>
        <w:jc w:val="center"/>
        <w:rPr>
          <w:b/>
          <w:iCs/>
          <w:sz w:val="28"/>
          <w:szCs w:val="28"/>
        </w:rPr>
      </w:pPr>
    </w:p>
    <w:p w:rsidR="00217DB7" w:rsidRDefault="00217DB7" w:rsidP="009E62B1">
      <w:pPr>
        <w:pStyle w:val="BodyText"/>
        <w:jc w:val="center"/>
        <w:rPr>
          <w:b/>
          <w:iCs/>
          <w:sz w:val="28"/>
          <w:szCs w:val="28"/>
        </w:rPr>
      </w:pPr>
    </w:p>
    <w:p w:rsidR="00217DB7" w:rsidRDefault="00217DB7"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D32D86" w:rsidRPr="00CF388A" w:rsidRDefault="00393C4B" w:rsidP="00CF388A">
      <w:pPr>
        <w:pStyle w:val="BodyText"/>
        <w:numPr>
          <w:ilvl w:val="0"/>
          <w:numId w:val="42"/>
        </w:numPr>
        <w:rPr>
          <w:sz w:val="32"/>
          <w:szCs w:val="32"/>
          <w:lang w:val="en-IN"/>
        </w:rPr>
      </w:pPr>
      <w:r w:rsidRPr="00CF388A">
        <w:rPr>
          <w:sz w:val="32"/>
          <w:szCs w:val="32"/>
          <w:lang w:val="en-IN"/>
        </w:rPr>
        <w:t xml:space="preserve">Arno RiverBasin Authority. (2002). "Progetto di piano stralcio per l'assetto idrogeologico-Relazione." Firenze, 331 (in Italian). </w:t>
      </w:r>
    </w:p>
    <w:p w:rsidR="00D32D86" w:rsidRPr="00CF388A" w:rsidRDefault="00393C4B" w:rsidP="00CF388A">
      <w:pPr>
        <w:pStyle w:val="BodyText"/>
        <w:numPr>
          <w:ilvl w:val="0"/>
          <w:numId w:val="42"/>
        </w:numPr>
        <w:rPr>
          <w:sz w:val="32"/>
          <w:szCs w:val="32"/>
          <w:lang w:val="en-IN"/>
        </w:rPr>
      </w:pPr>
      <w:r w:rsidRPr="00CF388A">
        <w:rPr>
          <w:sz w:val="32"/>
          <w:szCs w:val="32"/>
          <w:lang w:val="en-IN"/>
        </w:rPr>
        <w:t xml:space="preserve">Beven, K. J., and Kirkby, M. J. (1979). "A physically-based variable contributing area model of basin hydrology," Hydrolog. Sci. Bull., 24(1), 43-69. </w:t>
      </w:r>
    </w:p>
    <w:p w:rsidR="00D32D86" w:rsidRPr="00CF388A" w:rsidRDefault="00393C4B" w:rsidP="00CF388A">
      <w:pPr>
        <w:pStyle w:val="BodyText"/>
        <w:numPr>
          <w:ilvl w:val="0"/>
          <w:numId w:val="42"/>
        </w:numPr>
        <w:rPr>
          <w:sz w:val="32"/>
          <w:szCs w:val="32"/>
          <w:lang w:val="en-IN"/>
        </w:rPr>
      </w:pPr>
      <w:r w:rsidRPr="00CF388A">
        <w:rPr>
          <w:sz w:val="32"/>
          <w:szCs w:val="32"/>
          <w:lang w:val="en-IN"/>
        </w:rPr>
        <w:t xml:space="preserve">Calende, G., Mancini, C. P., and Volpi, E. (2005). "Distribution of the extreme peak floods of the Tiber River from the XV century." Adv. Water Resour., 28(6), 615-625. </w:t>
      </w:r>
    </w:p>
    <w:p w:rsidR="00D32D86" w:rsidRPr="00CF388A" w:rsidRDefault="00393C4B" w:rsidP="00CF388A">
      <w:pPr>
        <w:pStyle w:val="BodyText"/>
        <w:numPr>
          <w:ilvl w:val="0"/>
          <w:numId w:val="42"/>
        </w:numPr>
        <w:rPr>
          <w:sz w:val="32"/>
          <w:szCs w:val="32"/>
          <w:lang w:val="en-IN"/>
        </w:rPr>
      </w:pPr>
      <w:r w:rsidRPr="00CF388A">
        <w:rPr>
          <w:sz w:val="32"/>
          <w:szCs w:val="32"/>
          <w:lang w:val="en-IN"/>
        </w:rPr>
        <w:t>Holmgren, P. (1994). "Multiple flow direction algorithms for runoff modelling in grid based elevation models: An empirical evaluation." Hydrol. Processes, 8(4), 327-334.</w:t>
      </w:r>
    </w:p>
    <w:p w:rsidR="00D32D86" w:rsidRPr="00CF388A" w:rsidRDefault="00393C4B" w:rsidP="00CF388A">
      <w:pPr>
        <w:pStyle w:val="BodyText"/>
        <w:numPr>
          <w:ilvl w:val="0"/>
          <w:numId w:val="42"/>
        </w:numPr>
        <w:rPr>
          <w:sz w:val="32"/>
          <w:szCs w:val="32"/>
          <w:lang w:val="en-IN"/>
        </w:rPr>
      </w:pPr>
      <w:r w:rsidRPr="00CF388A">
        <w:rPr>
          <w:sz w:val="32"/>
          <w:szCs w:val="32"/>
          <w:lang w:val="en-IN"/>
        </w:rPr>
        <w:t>Jarvis, A., Reuter, H. L, Nelson, A., and Guevara, E. (2008). "Hole-filled seamless SRTM data V4." (http://srtm.csi.cgiar.org).</w:t>
      </w:r>
      <w:r w:rsidRPr="00CF388A">
        <w:rPr>
          <w:sz w:val="32"/>
          <w:szCs w:val="32"/>
        </w:rPr>
        <w:t xml:space="preserve"> </w:t>
      </w:r>
    </w:p>
    <w:p w:rsidR="00D32D86" w:rsidRPr="00CF388A" w:rsidRDefault="00393C4B" w:rsidP="00CF388A">
      <w:pPr>
        <w:pStyle w:val="BodyText"/>
        <w:numPr>
          <w:ilvl w:val="0"/>
          <w:numId w:val="42"/>
        </w:numPr>
        <w:rPr>
          <w:sz w:val="32"/>
          <w:szCs w:val="32"/>
          <w:lang w:val="en-IN"/>
        </w:rPr>
      </w:pPr>
      <w:r w:rsidRPr="00CF388A">
        <w:rPr>
          <w:sz w:val="32"/>
          <w:szCs w:val="32"/>
          <w:lang w:val="it-IT"/>
        </w:rPr>
        <w:t>Manfreda, S., Sole, A., and Fiorentino, M. (2007). "Valutazione del pericolo di allagamento sul territorio nazionale mediante un approccio di tipo geomorfologico." L'Acqua, 4, 43-54 (in Italian).</w:t>
      </w:r>
    </w:p>
    <w:p w:rsidR="00D32D86" w:rsidRPr="00CF388A" w:rsidRDefault="00393C4B" w:rsidP="00CF388A">
      <w:pPr>
        <w:pStyle w:val="BodyText"/>
        <w:numPr>
          <w:ilvl w:val="0"/>
          <w:numId w:val="42"/>
        </w:numPr>
        <w:rPr>
          <w:sz w:val="32"/>
          <w:szCs w:val="32"/>
          <w:lang w:val="en-IN"/>
        </w:rPr>
      </w:pPr>
      <w:r w:rsidRPr="00CF388A">
        <w:rPr>
          <w:sz w:val="32"/>
          <w:szCs w:val="32"/>
          <w:lang w:val="en-IN"/>
        </w:rPr>
        <w:t xml:space="preserve">Nardi, F, Vivoni, E. R., and Grimaldi, S. (2006). "Investigating a floodplain scaling relation using a hydrogeomorphic delineation method." Water Resour. Res., 42(9), W09409. </w:t>
      </w:r>
    </w:p>
    <w:p w:rsidR="00D32D86" w:rsidRPr="00CF388A" w:rsidRDefault="00393C4B" w:rsidP="00CF388A">
      <w:pPr>
        <w:pStyle w:val="BodyText"/>
        <w:numPr>
          <w:ilvl w:val="0"/>
          <w:numId w:val="42"/>
        </w:numPr>
        <w:rPr>
          <w:sz w:val="32"/>
          <w:szCs w:val="32"/>
          <w:lang w:val="en-IN"/>
        </w:rPr>
      </w:pPr>
      <w:r w:rsidRPr="00CF388A">
        <w:rPr>
          <w:sz w:val="32"/>
          <w:szCs w:val="32"/>
          <w:lang w:val="en-IN"/>
        </w:rPr>
        <w:t>Oliveri, E., Noto, L. v., La Loggia, G., and Calabrò, P. (1999). "Fuzzy analysis and GIS for flooding risk map.' Proc., Int. Water Resources Engineering Conf., ASCE, Reston, VA.</w:t>
      </w:r>
    </w:p>
    <w:p w:rsidR="00D32D86" w:rsidRPr="00CF388A" w:rsidRDefault="00393C4B" w:rsidP="00CF388A">
      <w:pPr>
        <w:pStyle w:val="BodyText"/>
        <w:numPr>
          <w:ilvl w:val="0"/>
          <w:numId w:val="42"/>
        </w:numPr>
        <w:rPr>
          <w:sz w:val="32"/>
          <w:szCs w:val="32"/>
          <w:lang w:val="en-IN"/>
        </w:rPr>
      </w:pPr>
      <w:r w:rsidRPr="00CF388A">
        <w:rPr>
          <w:sz w:val="32"/>
          <w:szCs w:val="32"/>
          <w:lang w:val="en-IN"/>
        </w:rPr>
        <w:lastRenderedPageBreak/>
        <w:t xml:space="preserve">Petak, W. 1. (1985). "Emergency management: A challenge for public adrninistration.' Publ. Admin. Rev., 45, 3-7. </w:t>
      </w:r>
    </w:p>
    <w:p w:rsidR="00D32D86" w:rsidRPr="00CF388A" w:rsidRDefault="00393C4B" w:rsidP="00CF388A">
      <w:pPr>
        <w:pStyle w:val="BodyText"/>
        <w:numPr>
          <w:ilvl w:val="0"/>
          <w:numId w:val="42"/>
        </w:numPr>
        <w:rPr>
          <w:sz w:val="32"/>
          <w:szCs w:val="32"/>
          <w:lang w:val="en-IN"/>
        </w:rPr>
      </w:pPr>
      <w:r w:rsidRPr="00CF388A">
        <w:rPr>
          <w:sz w:val="32"/>
          <w:szCs w:val="32"/>
          <w:lang w:val="en-IN"/>
        </w:rPr>
        <w:t xml:space="preserve">Tate, E. c., Olivera, F, and Maidment, D. R. (2002). "Creating a terrain model for floodplain rnapping,' 1. Hydrol. Eng., 7(2), 100-108.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3E33" w:rsidRDefault="00D63E33" w:rsidP="003654DF">
      <w:pPr>
        <w:spacing w:after="0" w:line="240" w:lineRule="auto"/>
      </w:pPr>
      <w:r>
        <w:separator/>
      </w:r>
    </w:p>
  </w:endnote>
  <w:endnote w:type="continuationSeparator" w:id="1">
    <w:p w:rsidR="00D63E33" w:rsidRDefault="00D63E3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3E33" w:rsidRDefault="00D63E33" w:rsidP="003654DF">
      <w:pPr>
        <w:spacing w:after="0" w:line="240" w:lineRule="auto"/>
      </w:pPr>
      <w:r>
        <w:separator/>
      </w:r>
    </w:p>
  </w:footnote>
  <w:footnote w:type="continuationSeparator" w:id="1">
    <w:p w:rsidR="00D63E33" w:rsidRDefault="00D63E3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32D86">
        <w:pPr>
          <w:pStyle w:val="Header"/>
          <w:jc w:val="right"/>
        </w:pPr>
        <w:fldSimple w:instr=" PAGE   \* MERGEFORMAT ">
          <w:r w:rsidR="00952A10">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C5A5DE3"/>
    <w:multiLevelType w:val="hybridMultilevel"/>
    <w:tmpl w:val="3D181A0E"/>
    <w:lvl w:ilvl="0" w:tplc="F12A88E0">
      <w:start w:val="1"/>
      <w:numFmt w:val="bullet"/>
      <w:lvlText w:val=""/>
      <w:lvlJc w:val="left"/>
      <w:pPr>
        <w:tabs>
          <w:tab w:val="num" w:pos="720"/>
        </w:tabs>
        <w:ind w:left="720" w:hanging="360"/>
      </w:pPr>
      <w:rPr>
        <w:rFonts w:ascii="Wingdings 2" w:hAnsi="Wingdings 2" w:hint="default"/>
      </w:rPr>
    </w:lvl>
    <w:lvl w:ilvl="1" w:tplc="7DB045A6" w:tentative="1">
      <w:start w:val="1"/>
      <w:numFmt w:val="bullet"/>
      <w:lvlText w:val=""/>
      <w:lvlJc w:val="left"/>
      <w:pPr>
        <w:tabs>
          <w:tab w:val="num" w:pos="1440"/>
        </w:tabs>
        <w:ind w:left="1440" w:hanging="360"/>
      </w:pPr>
      <w:rPr>
        <w:rFonts w:ascii="Wingdings 2" w:hAnsi="Wingdings 2" w:hint="default"/>
      </w:rPr>
    </w:lvl>
    <w:lvl w:ilvl="2" w:tplc="7AAA40B4" w:tentative="1">
      <w:start w:val="1"/>
      <w:numFmt w:val="bullet"/>
      <w:lvlText w:val=""/>
      <w:lvlJc w:val="left"/>
      <w:pPr>
        <w:tabs>
          <w:tab w:val="num" w:pos="2160"/>
        </w:tabs>
        <w:ind w:left="2160" w:hanging="360"/>
      </w:pPr>
      <w:rPr>
        <w:rFonts w:ascii="Wingdings 2" w:hAnsi="Wingdings 2" w:hint="default"/>
      </w:rPr>
    </w:lvl>
    <w:lvl w:ilvl="3" w:tplc="BD82C016" w:tentative="1">
      <w:start w:val="1"/>
      <w:numFmt w:val="bullet"/>
      <w:lvlText w:val=""/>
      <w:lvlJc w:val="left"/>
      <w:pPr>
        <w:tabs>
          <w:tab w:val="num" w:pos="2880"/>
        </w:tabs>
        <w:ind w:left="2880" w:hanging="360"/>
      </w:pPr>
      <w:rPr>
        <w:rFonts w:ascii="Wingdings 2" w:hAnsi="Wingdings 2" w:hint="default"/>
      </w:rPr>
    </w:lvl>
    <w:lvl w:ilvl="4" w:tplc="9174877E" w:tentative="1">
      <w:start w:val="1"/>
      <w:numFmt w:val="bullet"/>
      <w:lvlText w:val=""/>
      <w:lvlJc w:val="left"/>
      <w:pPr>
        <w:tabs>
          <w:tab w:val="num" w:pos="3600"/>
        </w:tabs>
        <w:ind w:left="3600" w:hanging="360"/>
      </w:pPr>
      <w:rPr>
        <w:rFonts w:ascii="Wingdings 2" w:hAnsi="Wingdings 2" w:hint="default"/>
      </w:rPr>
    </w:lvl>
    <w:lvl w:ilvl="5" w:tplc="5980F868" w:tentative="1">
      <w:start w:val="1"/>
      <w:numFmt w:val="bullet"/>
      <w:lvlText w:val=""/>
      <w:lvlJc w:val="left"/>
      <w:pPr>
        <w:tabs>
          <w:tab w:val="num" w:pos="4320"/>
        </w:tabs>
        <w:ind w:left="4320" w:hanging="360"/>
      </w:pPr>
      <w:rPr>
        <w:rFonts w:ascii="Wingdings 2" w:hAnsi="Wingdings 2" w:hint="default"/>
      </w:rPr>
    </w:lvl>
    <w:lvl w:ilvl="6" w:tplc="33B8A95A" w:tentative="1">
      <w:start w:val="1"/>
      <w:numFmt w:val="bullet"/>
      <w:lvlText w:val=""/>
      <w:lvlJc w:val="left"/>
      <w:pPr>
        <w:tabs>
          <w:tab w:val="num" w:pos="5040"/>
        </w:tabs>
        <w:ind w:left="5040" w:hanging="360"/>
      </w:pPr>
      <w:rPr>
        <w:rFonts w:ascii="Wingdings 2" w:hAnsi="Wingdings 2" w:hint="default"/>
      </w:rPr>
    </w:lvl>
    <w:lvl w:ilvl="7" w:tplc="83A26BEA" w:tentative="1">
      <w:start w:val="1"/>
      <w:numFmt w:val="bullet"/>
      <w:lvlText w:val=""/>
      <w:lvlJc w:val="left"/>
      <w:pPr>
        <w:tabs>
          <w:tab w:val="num" w:pos="5760"/>
        </w:tabs>
        <w:ind w:left="5760" w:hanging="360"/>
      </w:pPr>
      <w:rPr>
        <w:rFonts w:ascii="Wingdings 2" w:hAnsi="Wingdings 2" w:hint="default"/>
      </w:rPr>
    </w:lvl>
    <w:lvl w:ilvl="8" w:tplc="53D0B6F4"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9071ABE"/>
    <w:multiLevelType w:val="hybridMultilevel"/>
    <w:tmpl w:val="5E8A5D0A"/>
    <w:lvl w:ilvl="0" w:tplc="9DB0D60C">
      <w:start w:val="1"/>
      <w:numFmt w:val="bullet"/>
      <w:lvlText w:val=""/>
      <w:lvlJc w:val="left"/>
      <w:pPr>
        <w:tabs>
          <w:tab w:val="num" w:pos="720"/>
        </w:tabs>
        <w:ind w:left="720" w:hanging="360"/>
      </w:pPr>
      <w:rPr>
        <w:rFonts w:ascii="Wingdings 2" w:hAnsi="Wingdings 2" w:hint="default"/>
      </w:rPr>
    </w:lvl>
    <w:lvl w:ilvl="1" w:tplc="4552F202" w:tentative="1">
      <w:start w:val="1"/>
      <w:numFmt w:val="bullet"/>
      <w:lvlText w:val=""/>
      <w:lvlJc w:val="left"/>
      <w:pPr>
        <w:tabs>
          <w:tab w:val="num" w:pos="1440"/>
        </w:tabs>
        <w:ind w:left="1440" w:hanging="360"/>
      </w:pPr>
      <w:rPr>
        <w:rFonts w:ascii="Wingdings 2" w:hAnsi="Wingdings 2" w:hint="default"/>
      </w:rPr>
    </w:lvl>
    <w:lvl w:ilvl="2" w:tplc="EB8E6F8A" w:tentative="1">
      <w:start w:val="1"/>
      <w:numFmt w:val="bullet"/>
      <w:lvlText w:val=""/>
      <w:lvlJc w:val="left"/>
      <w:pPr>
        <w:tabs>
          <w:tab w:val="num" w:pos="2160"/>
        </w:tabs>
        <w:ind w:left="2160" w:hanging="360"/>
      </w:pPr>
      <w:rPr>
        <w:rFonts w:ascii="Wingdings 2" w:hAnsi="Wingdings 2" w:hint="default"/>
      </w:rPr>
    </w:lvl>
    <w:lvl w:ilvl="3" w:tplc="6292DF7E" w:tentative="1">
      <w:start w:val="1"/>
      <w:numFmt w:val="bullet"/>
      <w:lvlText w:val=""/>
      <w:lvlJc w:val="left"/>
      <w:pPr>
        <w:tabs>
          <w:tab w:val="num" w:pos="2880"/>
        </w:tabs>
        <w:ind w:left="2880" w:hanging="360"/>
      </w:pPr>
      <w:rPr>
        <w:rFonts w:ascii="Wingdings 2" w:hAnsi="Wingdings 2" w:hint="default"/>
      </w:rPr>
    </w:lvl>
    <w:lvl w:ilvl="4" w:tplc="8BF4AE5E" w:tentative="1">
      <w:start w:val="1"/>
      <w:numFmt w:val="bullet"/>
      <w:lvlText w:val=""/>
      <w:lvlJc w:val="left"/>
      <w:pPr>
        <w:tabs>
          <w:tab w:val="num" w:pos="3600"/>
        </w:tabs>
        <w:ind w:left="3600" w:hanging="360"/>
      </w:pPr>
      <w:rPr>
        <w:rFonts w:ascii="Wingdings 2" w:hAnsi="Wingdings 2" w:hint="default"/>
      </w:rPr>
    </w:lvl>
    <w:lvl w:ilvl="5" w:tplc="CB60D982" w:tentative="1">
      <w:start w:val="1"/>
      <w:numFmt w:val="bullet"/>
      <w:lvlText w:val=""/>
      <w:lvlJc w:val="left"/>
      <w:pPr>
        <w:tabs>
          <w:tab w:val="num" w:pos="4320"/>
        </w:tabs>
        <w:ind w:left="4320" w:hanging="360"/>
      </w:pPr>
      <w:rPr>
        <w:rFonts w:ascii="Wingdings 2" w:hAnsi="Wingdings 2" w:hint="default"/>
      </w:rPr>
    </w:lvl>
    <w:lvl w:ilvl="6" w:tplc="E6D05E22" w:tentative="1">
      <w:start w:val="1"/>
      <w:numFmt w:val="bullet"/>
      <w:lvlText w:val=""/>
      <w:lvlJc w:val="left"/>
      <w:pPr>
        <w:tabs>
          <w:tab w:val="num" w:pos="5040"/>
        </w:tabs>
        <w:ind w:left="5040" w:hanging="360"/>
      </w:pPr>
      <w:rPr>
        <w:rFonts w:ascii="Wingdings 2" w:hAnsi="Wingdings 2" w:hint="default"/>
      </w:rPr>
    </w:lvl>
    <w:lvl w:ilvl="7" w:tplc="AB02067C" w:tentative="1">
      <w:start w:val="1"/>
      <w:numFmt w:val="bullet"/>
      <w:lvlText w:val=""/>
      <w:lvlJc w:val="left"/>
      <w:pPr>
        <w:tabs>
          <w:tab w:val="num" w:pos="5760"/>
        </w:tabs>
        <w:ind w:left="5760" w:hanging="360"/>
      </w:pPr>
      <w:rPr>
        <w:rFonts w:ascii="Wingdings 2" w:hAnsi="Wingdings 2" w:hint="default"/>
      </w:rPr>
    </w:lvl>
    <w:lvl w:ilvl="8" w:tplc="30A2015C"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063C80"/>
    <w:multiLevelType w:val="hybridMultilevel"/>
    <w:tmpl w:val="7ABC0CD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3F74BF"/>
    <w:multiLevelType w:val="hybridMultilevel"/>
    <w:tmpl w:val="1A7E9FA4"/>
    <w:lvl w:ilvl="0" w:tplc="F7CAAFB8">
      <w:start w:val="1"/>
      <w:numFmt w:val="bullet"/>
      <w:lvlText w:val=""/>
      <w:lvlJc w:val="left"/>
      <w:pPr>
        <w:tabs>
          <w:tab w:val="num" w:pos="720"/>
        </w:tabs>
        <w:ind w:left="720" w:hanging="360"/>
      </w:pPr>
      <w:rPr>
        <w:rFonts w:ascii="Wingdings 2" w:hAnsi="Wingdings 2" w:hint="default"/>
      </w:rPr>
    </w:lvl>
    <w:lvl w:ilvl="1" w:tplc="B176A0BE" w:tentative="1">
      <w:start w:val="1"/>
      <w:numFmt w:val="bullet"/>
      <w:lvlText w:val=""/>
      <w:lvlJc w:val="left"/>
      <w:pPr>
        <w:tabs>
          <w:tab w:val="num" w:pos="1440"/>
        </w:tabs>
        <w:ind w:left="1440" w:hanging="360"/>
      </w:pPr>
      <w:rPr>
        <w:rFonts w:ascii="Wingdings 2" w:hAnsi="Wingdings 2" w:hint="default"/>
      </w:rPr>
    </w:lvl>
    <w:lvl w:ilvl="2" w:tplc="4BE04362" w:tentative="1">
      <w:start w:val="1"/>
      <w:numFmt w:val="bullet"/>
      <w:lvlText w:val=""/>
      <w:lvlJc w:val="left"/>
      <w:pPr>
        <w:tabs>
          <w:tab w:val="num" w:pos="2160"/>
        </w:tabs>
        <w:ind w:left="2160" w:hanging="360"/>
      </w:pPr>
      <w:rPr>
        <w:rFonts w:ascii="Wingdings 2" w:hAnsi="Wingdings 2" w:hint="default"/>
      </w:rPr>
    </w:lvl>
    <w:lvl w:ilvl="3" w:tplc="66DC5D02" w:tentative="1">
      <w:start w:val="1"/>
      <w:numFmt w:val="bullet"/>
      <w:lvlText w:val=""/>
      <w:lvlJc w:val="left"/>
      <w:pPr>
        <w:tabs>
          <w:tab w:val="num" w:pos="2880"/>
        </w:tabs>
        <w:ind w:left="2880" w:hanging="360"/>
      </w:pPr>
      <w:rPr>
        <w:rFonts w:ascii="Wingdings 2" w:hAnsi="Wingdings 2" w:hint="default"/>
      </w:rPr>
    </w:lvl>
    <w:lvl w:ilvl="4" w:tplc="A40E2476" w:tentative="1">
      <w:start w:val="1"/>
      <w:numFmt w:val="bullet"/>
      <w:lvlText w:val=""/>
      <w:lvlJc w:val="left"/>
      <w:pPr>
        <w:tabs>
          <w:tab w:val="num" w:pos="3600"/>
        </w:tabs>
        <w:ind w:left="3600" w:hanging="360"/>
      </w:pPr>
      <w:rPr>
        <w:rFonts w:ascii="Wingdings 2" w:hAnsi="Wingdings 2" w:hint="default"/>
      </w:rPr>
    </w:lvl>
    <w:lvl w:ilvl="5" w:tplc="441AEAEA" w:tentative="1">
      <w:start w:val="1"/>
      <w:numFmt w:val="bullet"/>
      <w:lvlText w:val=""/>
      <w:lvlJc w:val="left"/>
      <w:pPr>
        <w:tabs>
          <w:tab w:val="num" w:pos="4320"/>
        </w:tabs>
        <w:ind w:left="4320" w:hanging="360"/>
      </w:pPr>
      <w:rPr>
        <w:rFonts w:ascii="Wingdings 2" w:hAnsi="Wingdings 2" w:hint="default"/>
      </w:rPr>
    </w:lvl>
    <w:lvl w:ilvl="6" w:tplc="B0B0D274" w:tentative="1">
      <w:start w:val="1"/>
      <w:numFmt w:val="bullet"/>
      <w:lvlText w:val=""/>
      <w:lvlJc w:val="left"/>
      <w:pPr>
        <w:tabs>
          <w:tab w:val="num" w:pos="5040"/>
        </w:tabs>
        <w:ind w:left="5040" w:hanging="360"/>
      </w:pPr>
      <w:rPr>
        <w:rFonts w:ascii="Wingdings 2" w:hAnsi="Wingdings 2" w:hint="default"/>
      </w:rPr>
    </w:lvl>
    <w:lvl w:ilvl="7" w:tplc="60AE8DAE" w:tentative="1">
      <w:start w:val="1"/>
      <w:numFmt w:val="bullet"/>
      <w:lvlText w:val=""/>
      <w:lvlJc w:val="left"/>
      <w:pPr>
        <w:tabs>
          <w:tab w:val="num" w:pos="5760"/>
        </w:tabs>
        <w:ind w:left="5760" w:hanging="360"/>
      </w:pPr>
      <w:rPr>
        <w:rFonts w:ascii="Wingdings 2" w:hAnsi="Wingdings 2" w:hint="default"/>
      </w:rPr>
    </w:lvl>
    <w:lvl w:ilvl="8" w:tplc="CCDCAF98" w:tentative="1">
      <w:start w:val="1"/>
      <w:numFmt w:val="bullet"/>
      <w:lvlText w:val=""/>
      <w:lvlJc w:val="left"/>
      <w:pPr>
        <w:tabs>
          <w:tab w:val="num" w:pos="6480"/>
        </w:tabs>
        <w:ind w:left="6480" w:hanging="360"/>
      </w:pPr>
      <w:rPr>
        <w:rFonts w:ascii="Wingdings 2" w:hAnsi="Wingdings 2"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58E26B9"/>
    <w:multiLevelType w:val="hybridMultilevel"/>
    <w:tmpl w:val="71809A92"/>
    <w:lvl w:ilvl="0" w:tplc="7EE81452">
      <w:start w:val="1"/>
      <w:numFmt w:val="bullet"/>
      <w:lvlText w:val=""/>
      <w:lvlJc w:val="left"/>
      <w:pPr>
        <w:tabs>
          <w:tab w:val="num" w:pos="720"/>
        </w:tabs>
        <w:ind w:left="720" w:hanging="360"/>
      </w:pPr>
      <w:rPr>
        <w:rFonts w:ascii="Wingdings 2" w:hAnsi="Wingdings 2" w:hint="default"/>
      </w:rPr>
    </w:lvl>
    <w:lvl w:ilvl="1" w:tplc="0C7A1E6A" w:tentative="1">
      <w:start w:val="1"/>
      <w:numFmt w:val="bullet"/>
      <w:lvlText w:val=""/>
      <w:lvlJc w:val="left"/>
      <w:pPr>
        <w:tabs>
          <w:tab w:val="num" w:pos="1440"/>
        </w:tabs>
        <w:ind w:left="1440" w:hanging="360"/>
      </w:pPr>
      <w:rPr>
        <w:rFonts w:ascii="Wingdings 2" w:hAnsi="Wingdings 2" w:hint="default"/>
      </w:rPr>
    </w:lvl>
    <w:lvl w:ilvl="2" w:tplc="23E2D98E" w:tentative="1">
      <w:start w:val="1"/>
      <w:numFmt w:val="bullet"/>
      <w:lvlText w:val=""/>
      <w:lvlJc w:val="left"/>
      <w:pPr>
        <w:tabs>
          <w:tab w:val="num" w:pos="2160"/>
        </w:tabs>
        <w:ind w:left="2160" w:hanging="360"/>
      </w:pPr>
      <w:rPr>
        <w:rFonts w:ascii="Wingdings 2" w:hAnsi="Wingdings 2" w:hint="default"/>
      </w:rPr>
    </w:lvl>
    <w:lvl w:ilvl="3" w:tplc="9AE6DFB6" w:tentative="1">
      <w:start w:val="1"/>
      <w:numFmt w:val="bullet"/>
      <w:lvlText w:val=""/>
      <w:lvlJc w:val="left"/>
      <w:pPr>
        <w:tabs>
          <w:tab w:val="num" w:pos="2880"/>
        </w:tabs>
        <w:ind w:left="2880" w:hanging="360"/>
      </w:pPr>
      <w:rPr>
        <w:rFonts w:ascii="Wingdings 2" w:hAnsi="Wingdings 2" w:hint="default"/>
      </w:rPr>
    </w:lvl>
    <w:lvl w:ilvl="4" w:tplc="C6009DB0" w:tentative="1">
      <w:start w:val="1"/>
      <w:numFmt w:val="bullet"/>
      <w:lvlText w:val=""/>
      <w:lvlJc w:val="left"/>
      <w:pPr>
        <w:tabs>
          <w:tab w:val="num" w:pos="3600"/>
        </w:tabs>
        <w:ind w:left="3600" w:hanging="360"/>
      </w:pPr>
      <w:rPr>
        <w:rFonts w:ascii="Wingdings 2" w:hAnsi="Wingdings 2" w:hint="default"/>
      </w:rPr>
    </w:lvl>
    <w:lvl w:ilvl="5" w:tplc="EAA69E68" w:tentative="1">
      <w:start w:val="1"/>
      <w:numFmt w:val="bullet"/>
      <w:lvlText w:val=""/>
      <w:lvlJc w:val="left"/>
      <w:pPr>
        <w:tabs>
          <w:tab w:val="num" w:pos="4320"/>
        </w:tabs>
        <w:ind w:left="4320" w:hanging="360"/>
      </w:pPr>
      <w:rPr>
        <w:rFonts w:ascii="Wingdings 2" w:hAnsi="Wingdings 2" w:hint="default"/>
      </w:rPr>
    </w:lvl>
    <w:lvl w:ilvl="6" w:tplc="A81484E8" w:tentative="1">
      <w:start w:val="1"/>
      <w:numFmt w:val="bullet"/>
      <w:lvlText w:val=""/>
      <w:lvlJc w:val="left"/>
      <w:pPr>
        <w:tabs>
          <w:tab w:val="num" w:pos="5040"/>
        </w:tabs>
        <w:ind w:left="5040" w:hanging="360"/>
      </w:pPr>
      <w:rPr>
        <w:rFonts w:ascii="Wingdings 2" w:hAnsi="Wingdings 2" w:hint="default"/>
      </w:rPr>
    </w:lvl>
    <w:lvl w:ilvl="7" w:tplc="482AF84C" w:tentative="1">
      <w:start w:val="1"/>
      <w:numFmt w:val="bullet"/>
      <w:lvlText w:val=""/>
      <w:lvlJc w:val="left"/>
      <w:pPr>
        <w:tabs>
          <w:tab w:val="num" w:pos="5760"/>
        </w:tabs>
        <w:ind w:left="5760" w:hanging="360"/>
      </w:pPr>
      <w:rPr>
        <w:rFonts w:ascii="Wingdings 2" w:hAnsi="Wingdings 2" w:hint="default"/>
      </w:rPr>
    </w:lvl>
    <w:lvl w:ilvl="8" w:tplc="0DB05F4E"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05F02F3"/>
    <w:multiLevelType w:val="hybridMultilevel"/>
    <w:tmpl w:val="A9AA837E"/>
    <w:lvl w:ilvl="0" w:tplc="F384D21E">
      <w:start w:val="1"/>
      <w:numFmt w:val="bullet"/>
      <w:lvlText w:val=""/>
      <w:lvlJc w:val="left"/>
      <w:pPr>
        <w:tabs>
          <w:tab w:val="num" w:pos="720"/>
        </w:tabs>
        <w:ind w:left="720" w:hanging="360"/>
      </w:pPr>
      <w:rPr>
        <w:rFonts w:ascii="Wingdings 2" w:hAnsi="Wingdings 2" w:hint="default"/>
      </w:rPr>
    </w:lvl>
    <w:lvl w:ilvl="1" w:tplc="79564150" w:tentative="1">
      <w:start w:val="1"/>
      <w:numFmt w:val="bullet"/>
      <w:lvlText w:val=""/>
      <w:lvlJc w:val="left"/>
      <w:pPr>
        <w:tabs>
          <w:tab w:val="num" w:pos="1440"/>
        </w:tabs>
        <w:ind w:left="1440" w:hanging="360"/>
      </w:pPr>
      <w:rPr>
        <w:rFonts w:ascii="Wingdings 2" w:hAnsi="Wingdings 2" w:hint="default"/>
      </w:rPr>
    </w:lvl>
    <w:lvl w:ilvl="2" w:tplc="FE9E8D2E" w:tentative="1">
      <w:start w:val="1"/>
      <w:numFmt w:val="bullet"/>
      <w:lvlText w:val=""/>
      <w:lvlJc w:val="left"/>
      <w:pPr>
        <w:tabs>
          <w:tab w:val="num" w:pos="2160"/>
        </w:tabs>
        <w:ind w:left="2160" w:hanging="360"/>
      </w:pPr>
      <w:rPr>
        <w:rFonts w:ascii="Wingdings 2" w:hAnsi="Wingdings 2" w:hint="default"/>
      </w:rPr>
    </w:lvl>
    <w:lvl w:ilvl="3" w:tplc="95322542" w:tentative="1">
      <w:start w:val="1"/>
      <w:numFmt w:val="bullet"/>
      <w:lvlText w:val=""/>
      <w:lvlJc w:val="left"/>
      <w:pPr>
        <w:tabs>
          <w:tab w:val="num" w:pos="2880"/>
        </w:tabs>
        <w:ind w:left="2880" w:hanging="360"/>
      </w:pPr>
      <w:rPr>
        <w:rFonts w:ascii="Wingdings 2" w:hAnsi="Wingdings 2" w:hint="default"/>
      </w:rPr>
    </w:lvl>
    <w:lvl w:ilvl="4" w:tplc="D49CF082" w:tentative="1">
      <w:start w:val="1"/>
      <w:numFmt w:val="bullet"/>
      <w:lvlText w:val=""/>
      <w:lvlJc w:val="left"/>
      <w:pPr>
        <w:tabs>
          <w:tab w:val="num" w:pos="3600"/>
        </w:tabs>
        <w:ind w:left="3600" w:hanging="360"/>
      </w:pPr>
      <w:rPr>
        <w:rFonts w:ascii="Wingdings 2" w:hAnsi="Wingdings 2" w:hint="default"/>
      </w:rPr>
    </w:lvl>
    <w:lvl w:ilvl="5" w:tplc="4A24A7F0" w:tentative="1">
      <w:start w:val="1"/>
      <w:numFmt w:val="bullet"/>
      <w:lvlText w:val=""/>
      <w:lvlJc w:val="left"/>
      <w:pPr>
        <w:tabs>
          <w:tab w:val="num" w:pos="4320"/>
        </w:tabs>
        <w:ind w:left="4320" w:hanging="360"/>
      </w:pPr>
      <w:rPr>
        <w:rFonts w:ascii="Wingdings 2" w:hAnsi="Wingdings 2" w:hint="default"/>
      </w:rPr>
    </w:lvl>
    <w:lvl w:ilvl="6" w:tplc="3432F23E" w:tentative="1">
      <w:start w:val="1"/>
      <w:numFmt w:val="bullet"/>
      <w:lvlText w:val=""/>
      <w:lvlJc w:val="left"/>
      <w:pPr>
        <w:tabs>
          <w:tab w:val="num" w:pos="5040"/>
        </w:tabs>
        <w:ind w:left="5040" w:hanging="360"/>
      </w:pPr>
      <w:rPr>
        <w:rFonts w:ascii="Wingdings 2" w:hAnsi="Wingdings 2" w:hint="default"/>
      </w:rPr>
    </w:lvl>
    <w:lvl w:ilvl="7" w:tplc="E5BCF788" w:tentative="1">
      <w:start w:val="1"/>
      <w:numFmt w:val="bullet"/>
      <w:lvlText w:val=""/>
      <w:lvlJc w:val="left"/>
      <w:pPr>
        <w:tabs>
          <w:tab w:val="num" w:pos="5760"/>
        </w:tabs>
        <w:ind w:left="5760" w:hanging="360"/>
      </w:pPr>
      <w:rPr>
        <w:rFonts w:ascii="Wingdings 2" w:hAnsi="Wingdings 2" w:hint="default"/>
      </w:rPr>
    </w:lvl>
    <w:lvl w:ilvl="8" w:tplc="C5A862AA" w:tentative="1">
      <w:start w:val="1"/>
      <w:numFmt w:val="bullet"/>
      <w:lvlText w:val=""/>
      <w:lvlJc w:val="left"/>
      <w:pPr>
        <w:tabs>
          <w:tab w:val="num" w:pos="6480"/>
        </w:tabs>
        <w:ind w:left="6480" w:hanging="360"/>
      </w:pPr>
      <w:rPr>
        <w:rFonts w:ascii="Wingdings 2" w:hAnsi="Wingdings 2"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0"/>
  </w:num>
  <w:num w:numId="8">
    <w:abstractNumId w:val="4"/>
  </w:num>
  <w:num w:numId="9">
    <w:abstractNumId w:val="5"/>
  </w:num>
  <w:num w:numId="10">
    <w:abstractNumId w:val="1"/>
  </w:num>
  <w:num w:numId="11">
    <w:abstractNumId w:val="10"/>
  </w:num>
  <w:num w:numId="12">
    <w:abstractNumId w:val="36"/>
  </w:num>
  <w:num w:numId="13">
    <w:abstractNumId w:val="42"/>
  </w:num>
  <w:num w:numId="14">
    <w:abstractNumId w:val="45"/>
  </w:num>
  <w:num w:numId="15">
    <w:abstractNumId w:val="38"/>
  </w:num>
  <w:num w:numId="16">
    <w:abstractNumId w:val="35"/>
  </w:num>
  <w:num w:numId="17">
    <w:abstractNumId w:val="7"/>
  </w:num>
  <w:num w:numId="18">
    <w:abstractNumId w:val="37"/>
  </w:num>
  <w:num w:numId="19">
    <w:abstractNumId w:val="25"/>
  </w:num>
  <w:num w:numId="20">
    <w:abstractNumId w:val="6"/>
  </w:num>
  <w:num w:numId="21">
    <w:abstractNumId w:val="46"/>
  </w:num>
  <w:num w:numId="22">
    <w:abstractNumId w:val="19"/>
  </w:num>
  <w:num w:numId="23">
    <w:abstractNumId w:val="43"/>
  </w:num>
  <w:num w:numId="24">
    <w:abstractNumId w:val="44"/>
  </w:num>
  <w:num w:numId="25">
    <w:abstractNumId w:val="32"/>
  </w:num>
  <w:num w:numId="26">
    <w:abstractNumId w:val="18"/>
  </w:num>
  <w:num w:numId="27">
    <w:abstractNumId w:val="3"/>
  </w:num>
  <w:num w:numId="28">
    <w:abstractNumId w:val="11"/>
  </w:num>
  <w:num w:numId="29">
    <w:abstractNumId w:val="33"/>
  </w:num>
  <w:num w:numId="30">
    <w:abstractNumId w:val="40"/>
  </w:num>
  <w:num w:numId="31">
    <w:abstractNumId w:val="30"/>
  </w:num>
  <w:num w:numId="32">
    <w:abstractNumId w:val="2"/>
  </w:num>
  <w:num w:numId="33">
    <w:abstractNumId w:val="28"/>
  </w:num>
  <w:num w:numId="34">
    <w:abstractNumId w:val="23"/>
  </w:num>
  <w:num w:numId="35">
    <w:abstractNumId w:val="15"/>
  </w:num>
  <w:num w:numId="36">
    <w:abstractNumId w:val="12"/>
  </w:num>
  <w:num w:numId="37">
    <w:abstractNumId w:val="8"/>
  </w:num>
  <w:num w:numId="38">
    <w:abstractNumId w:val="39"/>
  </w:num>
  <w:num w:numId="39">
    <w:abstractNumId w:val="17"/>
  </w:num>
  <w:num w:numId="40">
    <w:abstractNumId w:val="13"/>
  </w:num>
  <w:num w:numId="41">
    <w:abstractNumId w:val="24"/>
  </w:num>
  <w:num w:numId="42">
    <w:abstractNumId w:val="26"/>
  </w:num>
  <w:num w:numId="43">
    <w:abstractNumId w:val="29"/>
  </w:num>
  <w:num w:numId="44">
    <w:abstractNumId w:val="14"/>
  </w:num>
  <w:num w:numId="45">
    <w:abstractNumId w:val="34"/>
  </w:num>
  <w:num w:numId="46">
    <w:abstractNumId w:val="21"/>
  </w:num>
  <w:num w:numId="47">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579EF"/>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17DB7"/>
    <w:rsid w:val="00221939"/>
    <w:rsid w:val="00222202"/>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3C4B"/>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165E"/>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2F7D"/>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4DAF"/>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025"/>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A10"/>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0165"/>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88A"/>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2D86"/>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3E33"/>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86805"/>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27C"/>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D7C14"/>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1511866">
      <w:bodyDiv w:val="1"/>
      <w:marLeft w:val="0"/>
      <w:marRight w:val="0"/>
      <w:marTop w:val="0"/>
      <w:marBottom w:val="0"/>
      <w:divBdr>
        <w:top w:val="none" w:sz="0" w:space="0" w:color="auto"/>
        <w:left w:val="none" w:sz="0" w:space="0" w:color="auto"/>
        <w:bottom w:val="none" w:sz="0" w:space="0" w:color="auto"/>
        <w:right w:val="none" w:sz="0" w:space="0" w:color="auto"/>
      </w:divBdr>
      <w:divsChild>
        <w:div w:id="1058280088">
          <w:marLeft w:val="576"/>
          <w:marRight w:val="0"/>
          <w:marTop w:val="120"/>
          <w:marBottom w:val="0"/>
          <w:divBdr>
            <w:top w:val="none" w:sz="0" w:space="0" w:color="auto"/>
            <w:left w:val="none" w:sz="0" w:space="0" w:color="auto"/>
            <w:bottom w:val="none" w:sz="0" w:space="0" w:color="auto"/>
            <w:right w:val="none" w:sz="0" w:space="0" w:color="auto"/>
          </w:divBdr>
        </w:div>
        <w:div w:id="1795754461">
          <w:marLeft w:val="576"/>
          <w:marRight w:val="0"/>
          <w:marTop w:val="120"/>
          <w:marBottom w:val="0"/>
          <w:divBdr>
            <w:top w:val="none" w:sz="0" w:space="0" w:color="auto"/>
            <w:left w:val="none" w:sz="0" w:space="0" w:color="auto"/>
            <w:bottom w:val="none" w:sz="0" w:space="0" w:color="auto"/>
            <w:right w:val="none" w:sz="0" w:space="0" w:color="auto"/>
          </w:divBdr>
        </w:div>
        <w:div w:id="1764571046">
          <w:marLeft w:val="576"/>
          <w:marRight w:val="0"/>
          <w:marTop w:val="120"/>
          <w:marBottom w:val="0"/>
          <w:divBdr>
            <w:top w:val="none" w:sz="0" w:space="0" w:color="auto"/>
            <w:left w:val="none" w:sz="0" w:space="0" w:color="auto"/>
            <w:bottom w:val="none" w:sz="0" w:space="0" w:color="auto"/>
            <w:right w:val="none" w:sz="0" w:space="0" w:color="auto"/>
          </w:divBdr>
        </w:div>
      </w:divsChild>
    </w:div>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2505067">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2565428">
      <w:bodyDiv w:val="1"/>
      <w:marLeft w:val="0"/>
      <w:marRight w:val="0"/>
      <w:marTop w:val="0"/>
      <w:marBottom w:val="0"/>
      <w:divBdr>
        <w:top w:val="none" w:sz="0" w:space="0" w:color="auto"/>
        <w:left w:val="none" w:sz="0" w:space="0" w:color="auto"/>
        <w:bottom w:val="none" w:sz="0" w:space="0" w:color="auto"/>
        <w:right w:val="none" w:sz="0" w:space="0" w:color="auto"/>
      </w:divBdr>
      <w:divsChild>
        <w:div w:id="1345670216">
          <w:marLeft w:val="576"/>
          <w:marRight w:val="0"/>
          <w:marTop w:val="120"/>
          <w:marBottom w:val="0"/>
          <w:divBdr>
            <w:top w:val="none" w:sz="0" w:space="0" w:color="auto"/>
            <w:left w:val="none" w:sz="0" w:space="0" w:color="auto"/>
            <w:bottom w:val="none" w:sz="0" w:space="0" w:color="auto"/>
            <w:right w:val="none" w:sz="0" w:space="0" w:color="auto"/>
          </w:divBdr>
        </w:div>
        <w:div w:id="1961766400">
          <w:marLeft w:val="576"/>
          <w:marRight w:val="0"/>
          <w:marTop w:val="120"/>
          <w:marBottom w:val="0"/>
          <w:divBdr>
            <w:top w:val="none" w:sz="0" w:space="0" w:color="auto"/>
            <w:left w:val="none" w:sz="0" w:space="0" w:color="auto"/>
            <w:bottom w:val="none" w:sz="0" w:space="0" w:color="auto"/>
            <w:right w:val="none" w:sz="0" w:space="0" w:color="auto"/>
          </w:divBdr>
        </w:div>
        <w:div w:id="1414352401">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2421856">
      <w:bodyDiv w:val="1"/>
      <w:marLeft w:val="0"/>
      <w:marRight w:val="0"/>
      <w:marTop w:val="0"/>
      <w:marBottom w:val="0"/>
      <w:divBdr>
        <w:top w:val="none" w:sz="0" w:space="0" w:color="auto"/>
        <w:left w:val="none" w:sz="0" w:space="0" w:color="auto"/>
        <w:bottom w:val="none" w:sz="0" w:space="0" w:color="auto"/>
        <w:right w:val="none" w:sz="0" w:space="0" w:color="auto"/>
      </w:divBdr>
      <w:divsChild>
        <w:div w:id="278684985">
          <w:marLeft w:val="576"/>
          <w:marRight w:val="0"/>
          <w:marTop w:val="120"/>
          <w:marBottom w:val="0"/>
          <w:divBdr>
            <w:top w:val="none" w:sz="0" w:space="0" w:color="auto"/>
            <w:left w:val="none" w:sz="0" w:space="0" w:color="auto"/>
            <w:bottom w:val="none" w:sz="0" w:space="0" w:color="auto"/>
            <w:right w:val="none" w:sz="0" w:space="0" w:color="auto"/>
          </w:divBdr>
        </w:div>
        <w:div w:id="1870795414">
          <w:marLeft w:val="576"/>
          <w:marRight w:val="0"/>
          <w:marTop w:val="120"/>
          <w:marBottom w:val="0"/>
          <w:divBdr>
            <w:top w:val="none" w:sz="0" w:space="0" w:color="auto"/>
            <w:left w:val="none" w:sz="0" w:space="0" w:color="auto"/>
            <w:bottom w:val="none" w:sz="0" w:space="0" w:color="auto"/>
            <w:right w:val="none" w:sz="0" w:space="0" w:color="auto"/>
          </w:divBdr>
        </w:div>
        <w:div w:id="431366240">
          <w:marLeft w:val="576"/>
          <w:marRight w:val="0"/>
          <w:marTop w:val="12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0311576">
      <w:bodyDiv w:val="1"/>
      <w:marLeft w:val="0"/>
      <w:marRight w:val="0"/>
      <w:marTop w:val="0"/>
      <w:marBottom w:val="0"/>
      <w:divBdr>
        <w:top w:val="none" w:sz="0" w:space="0" w:color="auto"/>
        <w:left w:val="none" w:sz="0" w:space="0" w:color="auto"/>
        <w:bottom w:val="none" w:sz="0" w:space="0" w:color="auto"/>
        <w:right w:val="none" w:sz="0" w:space="0" w:color="auto"/>
      </w:divBdr>
      <w:divsChild>
        <w:div w:id="494613836">
          <w:marLeft w:val="576"/>
          <w:marRight w:val="0"/>
          <w:marTop w:val="120"/>
          <w:marBottom w:val="0"/>
          <w:divBdr>
            <w:top w:val="none" w:sz="0" w:space="0" w:color="auto"/>
            <w:left w:val="none" w:sz="0" w:space="0" w:color="auto"/>
            <w:bottom w:val="none" w:sz="0" w:space="0" w:color="auto"/>
            <w:right w:val="none" w:sz="0" w:space="0" w:color="auto"/>
          </w:divBdr>
        </w:div>
        <w:div w:id="1292321614">
          <w:marLeft w:val="576"/>
          <w:marRight w:val="0"/>
          <w:marTop w:val="120"/>
          <w:marBottom w:val="0"/>
          <w:divBdr>
            <w:top w:val="none" w:sz="0" w:space="0" w:color="auto"/>
            <w:left w:val="none" w:sz="0" w:space="0" w:color="auto"/>
            <w:bottom w:val="none" w:sz="0" w:space="0" w:color="auto"/>
            <w:right w:val="none" w:sz="0" w:space="0" w:color="auto"/>
          </w:divBdr>
        </w:div>
        <w:div w:id="461196034">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852773">
      <w:bodyDiv w:val="1"/>
      <w:marLeft w:val="0"/>
      <w:marRight w:val="0"/>
      <w:marTop w:val="0"/>
      <w:marBottom w:val="0"/>
      <w:divBdr>
        <w:top w:val="none" w:sz="0" w:space="0" w:color="auto"/>
        <w:left w:val="none" w:sz="0" w:space="0" w:color="auto"/>
        <w:bottom w:val="none" w:sz="0" w:space="0" w:color="auto"/>
        <w:right w:val="none" w:sz="0" w:space="0" w:color="auto"/>
      </w:divBdr>
      <w:divsChild>
        <w:div w:id="1696886831">
          <w:marLeft w:val="576"/>
          <w:marRight w:val="0"/>
          <w:marTop w:val="120"/>
          <w:marBottom w:val="0"/>
          <w:divBdr>
            <w:top w:val="none" w:sz="0" w:space="0" w:color="auto"/>
            <w:left w:val="none" w:sz="0" w:space="0" w:color="auto"/>
            <w:bottom w:val="none" w:sz="0" w:space="0" w:color="auto"/>
            <w:right w:val="none" w:sz="0" w:space="0" w:color="auto"/>
          </w:divBdr>
        </w:div>
        <w:div w:id="1600480356">
          <w:marLeft w:val="576"/>
          <w:marRight w:val="0"/>
          <w:marTop w:val="120"/>
          <w:marBottom w:val="0"/>
          <w:divBdr>
            <w:top w:val="none" w:sz="0" w:space="0" w:color="auto"/>
            <w:left w:val="none" w:sz="0" w:space="0" w:color="auto"/>
            <w:bottom w:val="none" w:sz="0" w:space="0" w:color="auto"/>
            <w:right w:val="none" w:sz="0" w:space="0" w:color="auto"/>
          </w:divBdr>
        </w:div>
        <w:div w:id="38287388">
          <w:marLeft w:val="576"/>
          <w:marRight w:val="0"/>
          <w:marTop w:val="120"/>
          <w:marBottom w:val="0"/>
          <w:divBdr>
            <w:top w:val="none" w:sz="0" w:space="0" w:color="auto"/>
            <w:left w:val="none" w:sz="0" w:space="0" w:color="auto"/>
            <w:bottom w:val="none" w:sz="0" w:space="0" w:color="auto"/>
            <w:right w:val="none" w:sz="0" w:space="0" w:color="auto"/>
          </w:divBdr>
        </w:div>
        <w:div w:id="693305800">
          <w:marLeft w:val="576"/>
          <w:marRight w:val="0"/>
          <w:marTop w:val="120"/>
          <w:marBottom w:val="0"/>
          <w:divBdr>
            <w:top w:val="none" w:sz="0" w:space="0" w:color="auto"/>
            <w:left w:val="none" w:sz="0" w:space="0" w:color="auto"/>
            <w:bottom w:val="none" w:sz="0" w:space="0" w:color="auto"/>
            <w:right w:val="none" w:sz="0" w:space="0" w:color="auto"/>
          </w:divBdr>
        </w:div>
        <w:div w:id="1563830079">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7637732">
      <w:bodyDiv w:val="1"/>
      <w:marLeft w:val="0"/>
      <w:marRight w:val="0"/>
      <w:marTop w:val="0"/>
      <w:marBottom w:val="0"/>
      <w:divBdr>
        <w:top w:val="none" w:sz="0" w:space="0" w:color="auto"/>
        <w:left w:val="none" w:sz="0" w:space="0" w:color="auto"/>
        <w:bottom w:val="none" w:sz="0" w:space="0" w:color="auto"/>
        <w:right w:val="none" w:sz="0" w:space="0" w:color="auto"/>
      </w:divBdr>
      <w:divsChild>
        <w:div w:id="1755977339">
          <w:marLeft w:val="576"/>
          <w:marRight w:val="0"/>
          <w:marTop w:val="120"/>
          <w:marBottom w:val="0"/>
          <w:divBdr>
            <w:top w:val="none" w:sz="0" w:space="0" w:color="auto"/>
            <w:left w:val="none" w:sz="0" w:space="0" w:color="auto"/>
            <w:bottom w:val="none" w:sz="0" w:space="0" w:color="auto"/>
            <w:right w:val="none" w:sz="0" w:space="0" w:color="auto"/>
          </w:divBdr>
        </w:div>
        <w:div w:id="198932574">
          <w:marLeft w:val="576"/>
          <w:marRight w:val="0"/>
          <w:marTop w:val="120"/>
          <w:marBottom w:val="0"/>
          <w:divBdr>
            <w:top w:val="none" w:sz="0" w:space="0" w:color="auto"/>
            <w:left w:val="none" w:sz="0" w:space="0" w:color="auto"/>
            <w:bottom w:val="none" w:sz="0" w:space="0" w:color="auto"/>
            <w:right w:val="none" w:sz="0" w:space="0" w:color="auto"/>
          </w:divBdr>
        </w:div>
        <w:div w:id="1381710822">
          <w:marLeft w:val="576"/>
          <w:marRight w:val="0"/>
          <w:marTop w:val="120"/>
          <w:marBottom w:val="0"/>
          <w:divBdr>
            <w:top w:val="none" w:sz="0" w:space="0" w:color="auto"/>
            <w:left w:val="none" w:sz="0" w:space="0" w:color="auto"/>
            <w:bottom w:val="none" w:sz="0" w:space="0" w:color="auto"/>
            <w:right w:val="none" w:sz="0" w:space="0" w:color="auto"/>
          </w:divBdr>
        </w:div>
        <w:div w:id="300308460">
          <w:marLeft w:val="576"/>
          <w:marRight w:val="0"/>
          <w:marTop w:val="120"/>
          <w:marBottom w:val="0"/>
          <w:divBdr>
            <w:top w:val="none" w:sz="0" w:space="0" w:color="auto"/>
            <w:left w:val="none" w:sz="0" w:space="0" w:color="auto"/>
            <w:bottom w:val="none" w:sz="0" w:space="0" w:color="auto"/>
            <w:right w:val="none" w:sz="0" w:space="0" w:color="auto"/>
          </w:divBdr>
        </w:div>
        <w:div w:id="343097767">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3628</TotalTime>
  <Pages>15</Pages>
  <Words>1918</Words>
  <Characters>10937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2022-03-11T06:24:00Z</dcterms:modified>
</cp:coreProperties>
</file>