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1040E" w:rsidRDefault="0031040E" w:rsidP="0031040E">
      <w:pPr>
        <w:spacing w:line="360" w:lineRule="auto"/>
        <w:jc w:val="center"/>
        <w:rPr>
          <w:rFonts w:ascii="Times New Roman" w:hAnsi="Times New Roman" w:cs="Times New Roman"/>
          <w:b/>
          <w:sz w:val="56"/>
          <w:szCs w:val="56"/>
        </w:rPr>
      </w:pPr>
      <w:r w:rsidRPr="0031040E">
        <w:rPr>
          <w:rFonts w:ascii="Times New Roman" w:hAnsi="Times New Roman" w:cs="Times New Roman"/>
          <w:b/>
          <w:sz w:val="56"/>
          <w:szCs w:val="56"/>
        </w:rPr>
        <w:t>RF Power Gating: A Low Power Technique for Adaptive Radios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1040E" w:rsidRDefault="0031040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D7783" w:rsidRDefault="005D7783" w:rsidP="00E53AA4">
      <w:pPr>
        <w:spacing w:line="360" w:lineRule="auto"/>
        <w:jc w:val="both"/>
        <w:rPr>
          <w:rFonts w:ascii="Times New Roman" w:hAnsi="Times New Roman" w:cs="Times New Roman"/>
          <w:b/>
          <w:sz w:val="52"/>
          <w:szCs w:val="52"/>
        </w:rPr>
      </w:pPr>
      <w:r w:rsidRPr="005D7783">
        <w:rPr>
          <w:rFonts w:ascii="Times New Roman" w:hAnsi="Times New Roman" w:cs="Times New Roman"/>
          <w:sz w:val="32"/>
          <w:szCs w:val="32"/>
        </w:rPr>
        <w:t>In this paper, we propose a low-power technique, called RF power gating, which consists in varying the active time ratio (ATR) of the RF front end at a symbol time scale. This technique is especially well suited to adapt the power consumption of the receiver to the performance needs without changing its architecture. The effect of this technique on the bit error rate (BER) performances is studied for a basic estimator in the specific case of minimum-shift keying signaling. A system-level energy model is also derived and discussed to estimate precisely the power reduction based on the characteristics and the power consumption of each block. This model allows highlighting the different contributors of the power reduction. The BER results and the energy model are finally merged to determine the best ATR meeting the design constraints. Applying this technique to the IEEE 802.15.4 standard, this paper shows that an ATR of 20% is a good tradeoff to meet the packet error rate constraint while maximizing the energy reduction ratio. Using typical block power consumptions, an energy reduction ratio around 20% can be reached. Even better energy reduction ratios (</w:t>
      </w:r>
      <w:r w:rsidRPr="005D7783">
        <w:rPr>
          <w:rFonts w:ascii="Cambria Math" w:hAnsi="Cambria Math" w:cs="Times New Roman"/>
          <w:sz w:val="32"/>
          <w:szCs w:val="32"/>
        </w:rPr>
        <w:t>∼</w:t>
      </w:r>
      <w:r w:rsidRPr="005D7783">
        <w:rPr>
          <w:rFonts w:ascii="Times New Roman" w:hAnsi="Times New Roman" w:cs="Times New Roman"/>
          <w:sz w:val="32"/>
          <w:szCs w:val="32"/>
        </w:rPr>
        <w:t>60%) are also achievable when most of the blocks are power-gated.</w:t>
      </w:r>
    </w:p>
    <w:p w:rsidR="00845895" w:rsidRDefault="00845895" w:rsidP="00E53AA4">
      <w:pPr>
        <w:spacing w:line="360" w:lineRule="auto"/>
        <w:jc w:val="both"/>
        <w:rPr>
          <w:rFonts w:ascii="Times New Roman" w:hAnsi="Times New Roman" w:cs="Times New Roman"/>
          <w:b/>
          <w:sz w:val="40"/>
          <w:szCs w:val="40"/>
        </w:rPr>
      </w:pPr>
    </w:p>
    <w:p w:rsidR="00491919" w:rsidRDefault="00491919" w:rsidP="005D7783">
      <w:pPr>
        <w:tabs>
          <w:tab w:val="left" w:pos="6210"/>
        </w:tabs>
        <w:spacing w:line="360" w:lineRule="auto"/>
        <w:jc w:val="both"/>
        <w:rPr>
          <w:rFonts w:ascii="Times New Roman" w:hAnsi="Times New Roman" w:cs="Times New Roman"/>
          <w:b/>
          <w:sz w:val="40"/>
          <w:szCs w:val="40"/>
        </w:rPr>
      </w:pPr>
    </w:p>
    <w:p w:rsidR="005D7783" w:rsidRDefault="005D7783" w:rsidP="005D7783">
      <w:pPr>
        <w:tabs>
          <w:tab w:val="left" w:pos="6210"/>
        </w:tabs>
        <w:spacing w:line="360" w:lineRule="auto"/>
        <w:jc w:val="both"/>
        <w:rPr>
          <w:rFonts w:ascii="Times New Roman" w:hAnsi="Times New Roman" w:cs="Times New Roman"/>
          <w:sz w:val="40"/>
          <w:szCs w:val="40"/>
        </w:rPr>
      </w:pPr>
    </w:p>
    <w:p w:rsidR="006A300A" w:rsidRPr="003D03F4" w:rsidRDefault="006A300A" w:rsidP="005D778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428CA" w:rsidRDefault="009C3A31" w:rsidP="002428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28CA">
        <w:rPr>
          <w:rFonts w:ascii="Times New Roman" w:hAnsi="Times New Roman" w:cs="Times New Roman"/>
          <w:sz w:val="32"/>
          <w:szCs w:val="32"/>
          <w:lang w:val="en-IN"/>
        </w:rPr>
        <w:t>The largest drain current exists only on the top of each transistor and can be decreased on the way</w:t>
      </w:r>
      <w:r w:rsidRPr="002428CA">
        <w:rPr>
          <w:rFonts w:ascii="Times New Roman" w:hAnsi="Times New Roman" w:cs="Times New Roman"/>
          <w:sz w:val="32"/>
          <w:szCs w:val="32"/>
        </w:rPr>
        <w:t>.</w:t>
      </w:r>
    </w:p>
    <w:p w:rsidR="00000000" w:rsidRPr="002428CA" w:rsidRDefault="009C3A31" w:rsidP="002428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28CA">
        <w:rPr>
          <w:rFonts w:ascii="Times New Roman" w:hAnsi="Times New Roman" w:cs="Times New Roman"/>
          <w:sz w:val="32"/>
          <w:szCs w:val="32"/>
          <w:lang w:val="en-IN"/>
        </w:rPr>
        <w:t>The current flows downward through the transistor and is allocated by all the transistor cells.</w:t>
      </w:r>
    </w:p>
    <w:p w:rsidR="00000000" w:rsidRPr="002428CA" w:rsidRDefault="009C3A31" w:rsidP="002428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28CA">
        <w:rPr>
          <w:rFonts w:ascii="Times New Roman" w:hAnsi="Times New Roman" w:cs="Times New Roman"/>
          <w:sz w:val="32"/>
          <w:szCs w:val="32"/>
          <w:lang w:val="en-IN"/>
        </w:rPr>
        <w:t xml:space="preserve">The breakdown </w:t>
      </w:r>
      <w:r w:rsidRPr="002428CA">
        <w:rPr>
          <w:rFonts w:ascii="Times New Roman" w:hAnsi="Times New Roman" w:cs="Times New Roman"/>
          <w:sz w:val="32"/>
          <w:szCs w:val="32"/>
          <w:lang w:val="en-IN"/>
        </w:rPr>
        <w:t>appears first on the side of drain, since the largest difference between the gate-potential and the channel-potential exists at this point.</w:t>
      </w:r>
    </w:p>
    <w:p w:rsidR="00000000" w:rsidRPr="002428CA" w:rsidRDefault="009C3A31" w:rsidP="002428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28CA">
        <w:rPr>
          <w:rFonts w:ascii="Times New Roman" w:hAnsi="Times New Roman" w:cs="Times New Roman"/>
          <w:sz w:val="32"/>
          <w:szCs w:val="32"/>
          <w:lang w:val="en-IN"/>
        </w:rPr>
        <w:t>Some of the field lines are in the dielectric region and some are in air, the relation 1 eff r &lt; &lt; ε ε always exist</w:t>
      </w:r>
      <w:r w:rsidRPr="002428CA">
        <w:rPr>
          <w:rFonts w:ascii="Times New Roman" w:hAnsi="Times New Roman" w:cs="Times New Roman"/>
          <w:sz w:val="32"/>
          <w:szCs w:val="32"/>
          <w:lang w:val="en-IN"/>
        </w:rPr>
        <w:t xml:space="preserve">. </w:t>
      </w:r>
    </w:p>
    <w:p w:rsidR="00000000" w:rsidRPr="002428CA" w:rsidRDefault="009C3A31" w:rsidP="002428C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428CA">
        <w:rPr>
          <w:rFonts w:ascii="Times New Roman" w:hAnsi="Times New Roman" w:cs="Times New Roman"/>
          <w:sz w:val="32"/>
          <w:szCs w:val="32"/>
          <w:lang w:val="en-IN"/>
        </w:rPr>
        <w:t xml:space="preserve">There is a strong demand to design multi-frequency multi-standard transceivers, which can operate in different systems.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D0A37" w:rsidRDefault="009C3A31" w:rsidP="008D0A37">
      <w:pPr>
        <w:numPr>
          <w:ilvl w:val="0"/>
          <w:numId w:val="45"/>
        </w:numPr>
        <w:spacing w:line="360" w:lineRule="auto"/>
        <w:jc w:val="both"/>
        <w:rPr>
          <w:rFonts w:ascii="Times New Roman" w:hAnsi="Times New Roman" w:cs="Times New Roman"/>
          <w:bCs/>
          <w:sz w:val="32"/>
          <w:szCs w:val="32"/>
          <w:lang w:val="en-IN"/>
        </w:rPr>
      </w:pPr>
      <w:r w:rsidRPr="008D0A37">
        <w:rPr>
          <w:rFonts w:ascii="Times New Roman" w:hAnsi="Times New Roman" w:cs="Times New Roman"/>
          <w:bCs/>
          <w:sz w:val="32"/>
          <w:szCs w:val="32"/>
          <w:lang w:val="en-IN"/>
        </w:rPr>
        <w:t>A significant problem is that this impedance is affected by parasitic capacitances of the integrated circuit package as well as el</w:t>
      </w:r>
      <w:r w:rsidRPr="008D0A37">
        <w:rPr>
          <w:rFonts w:ascii="Times New Roman" w:hAnsi="Times New Roman" w:cs="Times New Roman"/>
          <w:bCs/>
          <w:sz w:val="32"/>
          <w:szCs w:val="32"/>
          <w:lang w:val="en-IN"/>
        </w:rPr>
        <w:t>ectrode cable and printed circuit board (PCB) capacitances that could be as high as 50-200 pF at the input of an instrumentation amplifier (IA).</w:t>
      </w:r>
    </w:p>
    <w:p w:rsidR="00000000" w:rsidRPr="008D0A37" w:rsidRDefault="009C3A31" w:rsidP="008D0A37">
      <w:pPr>
        <w:numPr>
          <w:ilvl w:val="0"/>
          <w:numId w:val="45"/>
        </w:numPr>
        <w:spacing w:line="360" w:lineRule="auto"/>
        <w:jc w:val="both"/>
        <w:rPr>
          <w:rFonts w:ascii="Times New Roman" w:hAnsi="Times New Roman" w:cs="Times New Roman"/>
          <w:bCs/>
          <w:sz w:val="32"/>
          <w:szCs w:val="32"/>
          <w:lang w:val="en-IN"/>
        </w:rPr>
      </w:pPr>
      <w:r w:rsidRPr="008D0A37">
        <w:rPr>
          <w:rFonts w:ascii="Times New Roman" w:hAnsi="Times New Roman" w:cs="Times New Roman"/>
          <w:bCs/>
          <w:sz w:val="32"/>
          <w:szCs w:val="32"/>
          <w:lang w:val="en-IN"/>
        </w:rPr>
        <w:t xml:space="preserve">Intermittently powering RF components directly impacts the signal at the input of the ADC. </w:t>
      </w:r>
    </w:p>
    <w:p w:rsidR="00000000" w:rsidRPr="008D0A37" w:rsidRDefault="009C3A31" w:rsidP="008D0A37">
      <w:pPr>
        <w:numPr>
          <w:ilvl w:val="0"/>
          <w:numId w:val="45"/>
        </w:numPr>
        <w:spacing w:line="360" w:lineRule="auto"/>
        <w:jc w:val="both"/>
        <w:rPr>
          <w:rFonts w:ascii="Times New Roman" w:hAnsi="Times New Roman" w:cs="Times New Roman"/>
          <w:bCs/>
          <w:sz w:val="32"/>
          <w:szCs w:val="32"/>
          <w:lang w:val="en-IN"/>
        </w:rPr>
      </w:pPr>
      <w:r w:rsidRPr="008D0A37">
        <w:rPr>
          <w:rFonts w:ascii="Times New Roman" w:hAnsi="Times New Roman" w:cs="Times New Roman"/>
          <w:bCs/>
          <w:sz w:val="32"/>
          <w:szCs w:val="32"/>
          <w:lang w:val="en-IN"/>
        </w:rPr>
        <w:lastRenderedPageBreak/>
        <w:t>The impact on the</w:t>
      </w:r>
      <w:r w:rsidRPr="008D0A37">
        <w:rPr>
          <w:rFonts w:ascii="Times New Roman" w:hAnsi="Times New Roman" w:cs="Times New Roman"/>
          <w:bCs/>
          <w:sz w:val="32"/>
          <w:szCs w:val="32"/>
          <w:lang w:val="en-IN"/>
        </w:rPr>
        <w:t xml:space="preserve"> SNR of such a technique has been analyzed and simulated; it strongly depends on both the duty-cycle of the ON and OFF states and the transitions between them. </w:t>
      </w:r>
    </w:p>
    <w:p w:rsidR="00F94960" w:rsidRPr="008D0A37" w:rsidRDefault="009C3A31" w:rsidP="00E53AA4">
      <w:pPr>
        <w:numPr>
          <w:ilvl w:val="0"/>
          <w:numId w:val="45"/>
        </w:numPr>
        <w:spacing w:line="360" w:lineRule="auto"/>
        <w:jc w:val="both"/>
        <w:rPr>
          <w:rFonts w:ascii="Times New Roman" w:hAnsi="Times New Roman" w:cs="Times New Roman"/>
          <w:bCs/>
          <w:sz w:val="32"/>
          <w:szCs w:val="32"/>
          <w:lang w:val="en-IN"/>
        </w:rPr>
      </w:pPr>
      <w:r w:rsidRPr="008D0A37">
        <w:rPr>
          <w:rFonts w:ascii="Times New Roman" w:hAnsi="Times New Roman" w:cs="Times New Roman"/>
          <w:bCs/>
          <w:sz w:val="32"/>
          <w:szCs w:val="32"/>
          <w:lang w:val="en-IN"/>
        </w:rPr>
        <w:t xml:space="preserve">A cascode device whose gate is connected to an AC ground typically only has a small impact on </w:t>
      </w:r>
      <w:r w:rsidRPr="008D0A37">
        <w:rPr>
          <w:rFonts w:ascii="Times New Roman" w:hAnsi="Times New Roman" w:cs="Times New Roman"/>
          <w:bCs/>
          <w:sz w:val="32"/>
          <w:szCs w:val="32"/>
          <w:lang w:val="en-IN"/>
        </w:rPr>
        <w:t>the overall linearity of a cascode common-source LNA.</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1752D" w:rsidRPr="0091752D" w:rsidRDefault="0091752D" w:rsidP="0091752D">
      <w:pPr>
        <w:pStyle w:val="NormalWeb"/>
        <w:numPr>
          <w:ilvl w:val="0"/>
          <w:numId w:val="46"/>
        </w:numPr>
        <w:spacing w:before="0" w:beforeAutospacing="0" w:after="0" w:afterAutospacing="0" w:line="360" w:lineRule="auto"/>
        <w:ind w:left="426"/>
        <w:jc w:val="both"/>
        <w:rPr>
          <w:sz w:val="32"/>
          <w:szCs w:val="32"/>
        </w:rPr>
      </w:pPr>
      <w:r w:rsidRPr="0091752D">
        <w:rPr>
          <w:sz w:val="32"/>
          <w:szCs w:val="32"/>
        </w:rPr>
        <w:t>In this dissertation, linearity enhancement techniques for analog RF front-ends are proposed and demonstrated with a subthreshold low-noise amplifier (LNA) and an active down-conversion mixer.</w:t>
      </w:r>
    </w:p>
    <w:p w:rsidR="0091752D" w:rsidRPr="0091752D" w:rsidRDefault="0091752D" w:rsidP="0091752D">
      <w:pPr>
        <w:pStyle w:val="NormalWeb"/>
        <w:numPr>
          <w:ilvl w:val="0"/>
          <w:numId w:val="46"/>
        </w:numPr>
        <w:spacing w:before="0" w:beforeAutospacing="0" w:after="0" w:afterAutospacing="0" w:line="360" w:lineRule="auto"/>
        <w:ind w:left="426"/>
        <w:jc w:val="both"/>
        <w:rPr>
          <w:sz w:val="32"/>
          <w:szCs w:val="32"/>
        </w:rPr>
      </w:pPr>
      <w:r w:rsidRPr="0091752D">
        <w:rPr>
          <w:sz w:val="32"/>
          <w:szCs w:val="32"/>
        </w:rPr>
        <w:t>In addition, digitally programmable elements have also been proposed to counteract the sensitivity to manufacturing process variations.</w:t>
      </w:r>
    </w:p>
    <w:p w:rsidR="0091752D" w:rsidRPr="0091752D" w:rsidRDefault="0091752D" w:rsidP="0091752D">
      <w:pPr>
        <w:pStyle w:val="NormalWeb"/>
        <w:numPr>
          <w:ilvl w:val="0"/>
          <w:numId w:val="46"/>
        </w:numPr>
        <w:spacing w:before="0" w:beforeAutospacing="0" w:after="0" w:afterAutospacing="0" w:line="360" w:lineRule="auto"/>
        <w:ind w:left="426"/>
        <w:jc w:val="both"/>
        <w:rPr>
          <w:sz w:val="32"/>
          <w:szCs w:val="32"/>
        </w:rPr>
      </w:pPr>
      <w:r w:rsidRPr="0091752D">
        <w:rPr>
          <w:sz w:val="32"/>
          <w:szCs w:val="32"/>
        </w:rPr>
        <w:t xml:space="preserve">An input impedance tuning method was proposed that involves a programmable capacitance to provide digital calibration control. </w:t>
      </w:r>
    </w:p>
    <w:p w:rsidR="003A5D44" w:rsidRPr="0091752D" w:rsidRDefault="0091752D" w:rsidP="00E53AA4">
      <w:pPr>
        <w:pStyle w:val="NormalWeb"/>
        <w:numPr>
          <w:ilvl w:val="0"/>
          <w:numId w:val="46"/>
        </w:numPr>
        <w:spacing w:before="0" w:beforeAutospacing="0" w:after="0" w:afterAutospacing="0" w:line="360" w:lineRule="auto"/>
        <w:ind w:left="426"/>
        <w:jc w:val="both"/>
        <w:rPr>
          <w:sz w:val="32"/>
          <w:szCs w:val="32"/>
        </w:rPr>
      </w:pPr>
      <w:r w:rsidRPr="0091752D">
        <w:rPr>
          <w:sz w:val="32"/>
          <w:szCs w:val="32"/>
        </w:rPr>
        <w:t>The proposed linearization method involves extra passive components to accomplish partial cancellation of third-order nonlinearity products.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2348A" w:rsidRDefault="009C3A31" w:rsidP="00B234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348A">
        <w:rPr>
          <w:rFonts w:ascii="Times New Roman" w:eastAsia="AdvGulliv-R" w:hAnsi="Times New Roman" w:cs="Times New Roman"/>
          <w:bCs/>
          <w:sz w:val="32"/>
          <w:szCs w:val="32"/>
          <w:lang w:val="en-IN"/>
        </w:rPr>
        <w:t>These simple, ultralow p</w:t>
      </w:r>
      <w:r w:rsidRPr="00B2348A">
        <w:rPr>
          <w:rFonts w:ascii="Times New Roman" w:eastAsia="AdvGulliv-R" w:hAnsi="Times New Roman" w:cs="Times New Roman"/>
          <w:bCs/>
          <w:sz w:val="32"/>
          <w:szCs w:val="32"/>
          <w:lang w:val="en-IN"/>
        </w:rPr>
        <w:t xml:space="preserve">ower and low-performance radios allow the channel sensing and can communicate through a high-quality RF link. </w:t>
      </w:r>
    </w:p>
    <w:p w:rsidR="00000000" w:rsidRPr="00B2348A" w:rsidRDefault="009C3A31" w:rsidP="00B234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348A">
        <w:rPr>
          <w:rFonts w:ascii="Times New Roman" w:eastAsia="AdvGulliv-R" w:hAnsi="Times New Roman" w:cs="Times New Roman"/>
          <w:bCs/>
          <w:sz w:val="32"/>
          <w:szCs w:val="32"/>
          <w:lang w:val="en-IN"/>
        </w:rPr>
        <w:lastRenderedPageBreak/>
        <w:t>The technique presented throughout this paper is a part of the adaptive radios field and aims at scaling the RX performances with the power cons</w:t>
      </w:r>
      <w:r w:rsidRPr="00B2348A">
        <w:rPr>
          <w:rFonts w:ascii="Times New Roman" w:eastAsia="AdvGulliv-R" w:hAnsi="Times New Roman" w:cs="Times New Roman"/>
          <w:bCs/>
          <w:sz w:val="32"/>
          <w:szCs w:val="32"/>
          <w:lang w:val="en-IN"/>
        </w:rPr>
        <w:t>umption without changing the RX architecture.</w:t>
      </w:r>
    </w:p>
    <w:p w:rsidR="00000000" w:rsidRPr="00B2348A" w:rsidRDefault="009C3A31" w:rsidP="00B234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348A">
        <w:rPr>
          <w:rFonts w:ascii="Times New Roman" w:eastAsia="AdvGulliv-R" w:hAnsi="Times New Roman" w:cs="Times New Roman"/>
          <w:bCs/>
          <w:sz w:val="32"/>
          <w:szCs w:val="32"/>
          <w:lang w:val="en-IN"/>
        </w:rPr>
        <w:t xml:space="preserve">This paper expresses and underlines the tradeoff between the BER performance degradation due to not observing the MSK-modulated signal during the whole symbol time and the power saving obtained. </w:t>
      </w:r>
    </w:p>
    <w:p w:rsidR="00000000" w:rsidRPr="00B2348A" w:rsidRDefault="009C3A31" w:rsidP="00B2348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2348A">
        <w:rPr>
          <w:rFonts w:ascii="Times New Roman" w:eastAsia="AdvGulliv-R" w:hAnsi="Times New Roman" w:cs="Times New Roman"/>
          <w:bCs/>
          <w:sz w:val="32"/>
          <w:szCs w:val="32"/>
          <w:lang w:val="en-IN"/>
        </w:rPr>
        <w:t>The study pr</w:t>
      </w:r>
      <w:r w:rsidRPr="00B2348A">
        <w:rPr>
          <w:rFonts w:ascii="Times New Roman" w:eastAsia="AdvGulliv-R" w:hAnsi="Times New Roman" w:cs="Times New Roman"/>
          <w:bCs/>
          <w:sz w:val="32"/>
          <w:szCs w:val="32"/>
          <w:lang w:val="en-IN"/>
        </w:rPr>
        <w:t>esented gives to the designers, interested in using this adaptive solution with their full performance RXs, a set of key parameters controlling the tradeoffs involved when using RFPG.</w:t>
      </w:r>
      <w:r w:rsidRPr="00B2348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735C81">
        <w:trPr>
          <w:trHeight w:val="1473"/>
        </w:trPr>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A 52 µW wake-up receiver with −72 dBm sensitivity using an uncertain-IF architecture</w:t>
            </w:r>
          </w:p>
        </w:tc>
        <w:tc>
          <w:tcPr>
            <w:tcW w:w="3192" w:type="dxa"/>
          </w:tcPr>
          <w:p w:rsidR="000C407B" w:rsidRPr="00735C81" w:rsidRDefault="00735C81" w:rsidP="00735C81">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 xml:space="preserve">N. M. Pletcher, S. Gambini, and J. Rabaey, </w:t>
            </w:r>
          </w:p>
        </w:tc>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color w:val="333333"/>
                <w:sz w:val="28"/>
                <w:szCs w:val="28"/>
                <w:shd w:val="clear" w:color="auto" w:fill="FFFFFF"/>
              </w:rPr>
              <w:t>A dedicated wake-up receiver may be used in wireless sensor nodes to control duty cycle and reduce network latency.</w:t>
            </w:r>
          </w:p>
        </w:tc>
      </w:tr>
      <w:tr w:rsidR="000C407B" w:rsidTr="000C407B">
        <w:trPr>
          <w:trHeight w:val="2942"/>
        </w:trPr>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A 2.4 GHz/915 MHz 51 µW wake-up receiver with offset and noise suppression</w:t>
            </w:r>
          </w:p>
        </w:tc>
        <w:tc>
          <w:tcPr>
            <w:tcW w:w="3192" w:type="dxa"/>
          </w:tcPr>
          <w:p w:rsidR="000C407B" w:rsidRPr="00735C81" w:rsidRDefault="00735C81" w:rsidP="00735C81">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 xml:space="preserve">X. Huang, S. Rampu, X. Wang, G. Dolmans, and H. de Groot, </w:t>
            </w:r>
          </w:p>
        </w:tc>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color w:val="333333"/>
                <w:sz w:val="28"/>
                <w:szCs w:val="28"/>
                <w:shd w:val="clear" w:color="auto" w:fill="FFFFFF"/>
              </w:rPr>
              <w:t>In order to simultaneously optimize network lifetime and latency in wireless sensor networks (WSN), an always-on wake-up receiver (WuRx) can be used to monitor the radio link continuously.</w:t>
            </w:r>
          </w:p>
        </w:tc>
      </w:tr>
      <w:tr w:rsidR="000C407B" w:rsidTr="000C407B">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lastRenderedPageBreak/>
              <w:t>Radio link quality estimation in wireless sensor networks: A survey</w:t>
            </w:r>
          </w:p>
        </w:tc>
        <w:tc>
          <w:tcPr>
            <w:tcW w:w="3192" w:type="dxa"/>
          </w:tcPr>
          <w:p w:rsidR="000C407B" w:rsidRPr="00735C81" w:rsidRDefault="00735C81" w:rsidP="00735C81">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 xml:space="preserve">N. Baccour et al., </w:t>
            </w:r>
          </w:p>
        </w:tc>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color w:val="333333"/>
                <w:sz w:val="28"/>
                <w:szCs w:val="28"/>
                <w:shd w:val="clear" w:color="auto" w:fill="FFFFFF"/>
              </w:rPr>
              <w:t>Radio link quality estimation in Wireless Sensor Networks (WSNs) has a fundamental impact on the network performance and also affects the design of higher-layer protocols.</w:t>
            </w:r>
          </w:p>
        </w:tc>
      </w:tr>
      <w:tr w:rsidR="000C407B" w:rsidTr="000C407B">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Energy-aware transceiver for energy harvesting wireless sensor networks</w:t>
            </w:r>
          </w:p>
        </w:tc>
        <w:tc>
          <w:tcPr>
            <w:tcW w:w="3192" w:type="dxa"/>
          </w:tcPr>
          <w:p w:rsidR="000C407B" w:rsidRPr="00735C81" w:rsidRDefault="00735C81" w:rsidP="00735C81">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 xml:space="preserve">A. Didioui, </w:t>
            </w:r>
          </w:p>
        </w:tc>
        <w:tc>
          <w:tcPr>
            <w:tcW w:w="3192" w:type="dxa"/>
          </w:tcPr>
          <w:p w:rsidR="000C407B" w:rsidRPr="00735C81" w:rsidRDefault="00735C81" w:rsidP="00E53AA4">
            <w:pPr>
              <w:tabs>
                <w:tab w:val="left" w:pos="720"/>
              </w:tabs>
              <w:spacing w:after="100" w:line="360" w:lineRule="auto"/>
              <w:jc w:val="both"/>
              <w:rPr>
                <w:rFonts w:ascii="Times New Roman" w:hAnsi="Times New Roman" w:cs="Times New Roman"/>
                <w:sz w:val="28"/>
                <w:szCs w:val="28"/>
              </w:rPr>
            </w:pPr>
            <w:r w:rsidRPr="00735C81">
              <w:rPr>
                <w:rFonts w:ascii="Times New Roman" w:hAnsi="Times New Roman" w:cs="Times New Roman"/>
                <w:sz w:val="28"/>
                <w:szCs w:val="28"/>
              </w:rPr>
              <w:t>Each sensor node is typically equipped with one or several sensing unit, a data processing unit, a wireless communication interface and a battery.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794EF7" w:rsidRDefault="00794EF7"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94EF7" w:rsidP="00E53AA4">
      <w:pPr>
        <w:spacing w:after="0" w:line="360" w:lineRule="auto"/>
        <w:jc w:val="both"/>
        <w:rPr>
          <w:rFonts w:ascii="Times New Roman" w:hAnsi="Times New Roman" w:cs="Times New Roman"/>
        </w:rPr>
      </w:pPr>
      <w:r w:rsidRPr="00794EF7">
        <w:rPr>
          <w:rFonts w:ascii="Times New Roman" w:hAnsi="Times New Roman" w:cs="Times New Roman"/>
        </w:rPr>
        <w:drawing>
          <wp:inline distT="0" distB="0" distL="0" distR="0">
            <wp:extent cx="5943600" cy="36576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6576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794EF7" w:rsidRDefault="00794EF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81C6B" w:rsidRPr="00081C6B" w:rsidRDefault="00081C6B" w:rsidP="00081C6B">
      <w:pPr>
        <w:pStyle w:val="BodyText"/>
        <w:rPr>
          <w:bCs/>
          <w:iCs/>
          <w:sz w:val="32"/>
          <w:szCs w:val="32"/>
          <w:lang w:val="en-IN"/>
        </w:rPr>
      </w:pPr>
      <w:r w:rsidRPr="00081C6B">
        <w:rPr>
          <w:bCs/>
          <w:iCs/>
          <w:sz w:val="32"/>
          <w:szCs w:val="32"/>
          <w:lang w:val="en-IN"/>
        </w:rPr>
        <w:t xml:space="preserve">    In this paper, the RFPG technique has been presented as a new low-power technique allowing the scaling of the power consumption of an RF RX with the performances required. Managing the power consumption is done by intermittently powering up and down the RF front end. The impact on the SNR of such a technique has been analyzed and simulated; it strongly depends on both the duty-cycle of the ON and OFF states and the transitions between them. It was shown that the higher the duty-cycle is and the smoother the transitions are, the less SNR degradations are observed. A simple PDE has also been presented to decode binary CPFSK modulated data in the context of an RFPG RX. Moreover, an energy model of the RFPG technique has been proposed to emphasize its energy efficiency and the parameters that degrade it. To this end, an energy reduction ratio was defined in order to measure how the RX consumed energy is decreased when using the RFPG technique. Moreover, the three most important contributors that leverage the energy reduction ratio were emphasized: 1) the width of the sampling window; 2) the times needed by the power-gated modules to settle; and 3) the ratio between the active consumptions of the power-gated elements and the overall consumption of the RX.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81C6B" w:rsidRDefault="003C0F6F" w:rsidP="00E53AA4">
      <w:pPr>
        <w:pStyle w:val="BodyText"/>
        <w:rPr>
          <w:b/>
          <w:iCs/>
          <w:sz w:val="28"/>
          <w:szCs w:val="28"/>
        </w:rPr>
      </w:pPr>
      <w:r>
        <w:rPr>
          <w:b/>
          <w:iCs/>
          <w:sz w:val="28"/>
          <w:szCs w:val="28"/>
        </w:rPr>
        <w:t xml:space="preserve">                </w:t>
      </w:r>
      <w:r w:rsidR="00491919">
        <w:rPr>
          <w:b/>
          <w:iCs/>
          <w:sz w:val="28"/>
          <w:szCs w:val="28"/>
        </w:rPr>
        <w:t xml:space="preserve">                           </w:t>
      </w:r>
      <w:r>
        <w:rPr>
          <w:b/>
          <w:iCs/>
          <w:sz w:val="28"/>
          <w:szCs w:val="28"/>
        </w:rPr>
        <w:t xml:space="preserve">  </w:t>
      </w:r>
    </w:p>
    <w:p w:rsidR="00370D47" w:rsidRPr="003C0F6F" w:rsidRDefault="00370D47" w:rsidP="00081C6B">
      <w:pPr>
        <w:pStyle w:val="BodyText"/>
        <w:jc w:val="center"/>
        <w:rPr>
          <w:b/>
          <w:iCs/>
          <w:sz w:val="40"/>
          <w:szCs w:val="40"/>
        </w:rPr>
      </w:pPr>
      <w:r w:rsidRPr="003C0F6F">
        <w:rPr>
          <w:b/>
          <w:iCs/>
          <w:sz w:val="40"/>
          <w:szCs w:val="40"/>
        </w:rPr>
        <w:lastRenderedPageBreak/>
        <w:t>CHAPTER-6</w:t>
      </w:r>
    </w:p>
    <w:p w:rsidR="00C02F10" w:rsidRDefault="00FE3487" w:rsidP="00081C6B">
      <w:pPr>
        <w:pStyle w:val="BodyText"/>
        <w:jc w:val="center"/>
        <w:rPr>
          <w:b/>
          <w:iCs/>
          <w:sz w:val="40"/>
          <w:szCs w:val="40"/>
        </w:rPr>
      </w:pPr>
      <w:r w:rsidRPr="003C0F6F">
        <w:rPr>
          <w:b/>
          <w:iCs/>
          <w:sz w:val="40"/>
          <w:szCs w:val="40"/>
        </w:rPr>
        <w:t>REFERENCE</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[1] IEEE Standard for Local and Metropolitan Area Networks— Part 15.4: Low-Rate Wireless Personal Area Networks (LR-WPANs), IEEE Standard 802.15.4-2011, 2011.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[2] Bluetooth Specification, Core Package v4.0, Bluetooth-SIG, Kirkland, WA, USA, Jun. 2010.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[3] N. M. Pletcher, S. Gambini, and J. Rabaey, “A 52 µW wake-up receiver with −72 dBm sensitivity using an uncertain-IF architecture,” IEEE J. Solid-State Circuits, vol. 44, no. 1, pp. 269–280, Jan. 2009.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[4] X. Huang, S. Rampu, X. Wang, G. Dolmans, and H. de Groot, “A 2.4 GHz/915 MHz 51 µW wake-up receiver with offset and noise suppression,” in IEEE Int. Solid-State Circuits Conf. Dig. Tech. Papers (ISSCC), Feb. 2010, pp. 222–223.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[5] N. Baccour et al., “Radio link quality estimation in wireless sensor networks: A survey,” ACM Trans. Sensor Netw., vol. 8, no. 4, Sep. 2012, Art. ID 34.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[6] A. Didioui, “Energy-aware transceiver for energy harvesting wireless sensor networks,” Ph.D. dissertation, Dept. Signal Image Process., Univ. Rennes 1, Rennes, France, 2014.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[7] K. Ghosal, T. Anand, V. Chaturvedi, and B. Amrutur, “A power-scalable RF CMOS receiver for 2.4 GHz wireless sensor </w:t>
      </w:r>
      <w:r w:rsidRPr="006D6745">
        <w:rPr>
          <w:sz w:val="32"/>
          <w:szCs w:val="32"/>
          <w:lang w:val="en-IN"/>
        </w:rPr>
        <w:lastRenderedPageBreak/>
        <w:t xml:space="preserve">network applications,” in Proc. 19th IEEE Int. Conf. Electron., Circuits, Syst. (ICECS), Dec. 2012, pp. 161–164.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[8] A. Didioui, C. Bernier, L. Q. V. Tran, O. Sentieys, and A. Didioui, “EnvAdapt: An energy-aware simulation framework for power-scalable transceivers for wireless sensor networks,” in Proc. 20th Eur. Wireless Conf., May 2014, pp. 1–6.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[9] M. Kubisch, H. Karl, A. Wolisz, L. C. Zhong, and J. Rabaey, “Distributed algorithms for transmission power control in wireless sensor networks,” in Proc. IEEE Wireless Commun. Netw. (WCNC), vol. 1. Mar. 2003, pp. 558–563. </w:t>
      </w:r>
    </w:p>
    <w:p w:rsidR="0048155C" w:rsidRPr="006D6745" w:rsidRDefault="00146392" w:rsidP="006D6745">
      <w:pPr>
        <w:pStyle w:val="BodyText"/>
        <w:numPr>
          <w:ilvl w:val="0"/>
          <w:numId w:val="42"/>
        </w:numPr>
        <w:rPr>
          <w:sz w:val="32"/>
          <w:szCs w:val="32"/>
          <w:lang w:val="en-IN"/>
        </w:rPr>
      </w:pPr>
      <w:r w:rsidRPr="006D6745">
        <w:rPr>
          <w:sz w:val="32"/>
          <w:szCs w:val="32"/>
          <w:lang w:val="en-IN"/>
        </w:rPr>
        <w:t xml:space="preserve">[10] J. Porter et al., “Wireless sensor networks for ecology,” BioScience, vol. 55, no. 7, pp. 561–572,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A31" w:rsidRDefault="009C3A31" w:rsidP="003654DF">
      <w:pPr>
        <w:spacing w:after="0" w:line="240" w:lineRule="auto"/>
      </w:pPr>
      <w:r>
        <w:separator/>
      </w:r>
    </w:p>
  </w:endnote>
  <w:endnote w:type="continuationSeparator" w:id="1">
    <w:p w:rsidR="009C3A31" w:rsidRDefault="009C3A3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A31" w:rsidRDefault="009C3A31" w:rsidP="003654DF">
      <w:pPr>
        <w:spacing w:after="0" w:line="240" w:lineRule="auto"/>
      </w:pPr>
      <w:r>
        <w:separator/>
      </w:r>
    </w:p>
  </w:footnote>
  <w:footnote w:type="continuationSeparator" w:id="1">
    <w:p w:rsidR="009C3A31" w:rsidRDefault="009C3A3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8155C">
        <w:pPr>
          <w:pStyle w:val="Header"/>
          <w:jc w:val="right"/>
        </w:pPr>
        <w:fldSimple w:instr=" PAGE   \* MERGEFORMAT ">
          <w:r w:rsidR="00794EF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93A1E"/>
    <w:multiLevelType w:val="hybridMultilevel"/>
    <w:tmpl w:val="84FAE3B6"/>
    <w:lvl w:ilvl="0" w:tplc="6F4A0C5E">
      <w:start w:val="1"/>
      <w:numFmt w:val="bullet"/>
      <w:lvlText w:val=""/>
      <w:lvlJc w:val="left"/>
      <w:pPr>
        <w:tabs>
          <w:tab w:val="num" w:pos="720"/>
        </w:tabs>
        <w:ind w:left="720" w:hanging="360"/>
      </w:pPr>
      <w:rPr>
        <w:rFonts w:ascii="Wingdings 2" w:hAnsi="Wingdings 2" w:hint="default"/>
      </w:rPr>
    </w:lvl>
    <w:lvl w:ilvl="1" w:tplc="ECC83E3C" w:tentative="1">
      <w:start w:val="1"/>
      <w:numFmt w:val="bullet"/>
      <w:lvlText w:val=""/>
      <w:lvlJc w:val="left"/>
      <w:pPr>
        <w:tabs>
          <w:tab w:val="num" w:pos="1440"/>
        </w:tabs>
        <w:ind w:left="1440" w:hanging="360"/>
      </w:pPr>
      <w:rPr>
        <w:rFonts w:ascii="Wingdings 2" w:hAnsi="Wingdings 2" w:hint="default"/>
      </w:rPr>
    </w:lvl>
    <w:lvl w:ilvl="2" w:tplc="EDFC93A2" w:tentative="1">
      <w:start w:val="1"/>
      <w:numFmt w:val="bullet"/>
      <w:lvlText w:val=""/>
      <w:lvlJc w:val="left"/>
      <w:pPr>
        <w:tabs>
          <w:tab w:val="num" w:pos="2160"/>
        </w:tabs>
        <w:ind w:left="2160" w:hanging="360"/>
      </w:pPr>
      <w:rPr>
        <w:rFonts w:ascii="Wingdings 2" w:hAnsi="Wingdings 2" w:hint="default"/>
      </w:rPr>
    </w:lvl>
    <w:lvl w:ilvl="3" w:tplc="57105AB0" w:tentative="1">
      <w:start w:val="1"/>
      <w:numFmt w:val="bullet"/>
      <w:lvlText w:val=""/>
      <w:lvlJc w:val="left"/>
      <w:pPr>
        <w:tabs>
          <w:tab w:val="num" w:pos="2880"/>
        </w:tabs>
        <w:ind w:left="2880" w:hanging="360"/>
      </w:pPr>
      <w:rPr>
        <w:rFonts w:ascii="Wingdings 2" w:hAnsi="Wingdings 2" w:hint="default"/>
      </w:rPr>
    </w:lvl>
    <w:lvl w:ilvl="4" w:tplc="6DDE3E46" w:tentative="1">
      <w:start w:val="1"/>
      <w:numFmt w:val="bullet"/>
      <w:lvlText w:val=""/>
      <w:lvlJc w:val="left"/>
      <w:pPr>
        <w:tabs>
          <w:tab w:val="num" w:pos="3600"/>
        </w:tabs>
        <w:ind w:left="3600" w:hanging="360"/>
      </w:pPr>
      <w:rPr>
        <w:rFonts w:ascii="Wingdings 2" w:hAnsi="Wingdings 2" w:hint="default"/>
      </w:rPr>
    </w:lvl>
    <w:lvl w:ilvl="5" w:tplc="6A64F180" w:tentative="1">
      <w:start w:val="1"/>
      <w:numFmt w:val="bullet"/>
      <w:lvlText w:val=""/>
      <w:lvlJc w:val="left"/>
      <w:pPr>
        <w:tabs>
          <w:tab w:val="num" w:pos="4320"/>
        </w:tabs>
        <w:ind w:left="4320" w:hanging="360"/>
      </w:pPr>
      <w:rPr>
        <w:rFonts w:ascii="Wingdings 2" w:hAnsi="Wingdings 2" w:hint="default"/>
      </w:rPr>
    </w:lvl>
    <w:lvl w:ilvl="6" w:tplc="809EA9B6" w:tentative="1">
      <w:start w:val="1"/>
      <w:numFmt w:val="bullet"/>
      <w:lvlText w:val=""/>
      <w:lvlJc w:val="left"/>
      <w:pPr>
        <w:tabs>
          <w:tab w:val="num" w:pos="5040"/>
        </w:tabs>
        <w:ind w:left="5040" w:hanging="360"/>
      </w:pPr>
      <w:rPr>
        <w:rFonts w:ascii="Wingdings 2" w:hAnsi="Wingdings 2" w:hint="default"/>
      </w:rPr>
    </w:lvl>
    <w:lvl w:ilvl="7" w:tplc="17F42A4E" w:tentative="1">
      <w:start w:val="1"/>
      <w:numFmt w:val="bullet"/>
      <w:lvlText w:val=""/>
      <w:lvlJc w:val="left"/>
      <w:pPr>
        <w:tabs>
          <w:tab w:val="num" w:pos="5760"/>
        </w:tabs>
        <w:ind w:left="5760" w:hanging="360"/>
      </w:pPr>
      <w:rPr>
        <w:rFonts w:ascii="Wingdings 2" w:hAnsi="Wingdings 2" w:hint="default"/>
      </w:rPr>
    </w:lvl>
    <w:lvl w:ilvl="8" w:tplc="73005C94"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AB2FBD"/>
    <w:multiLevelType w:val="hybridMultilevel"/>
    <w:tmpl w:val="4A40D30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FE4DFD"/>
    <w:multiLevelType w:val="hybridMultilevel"/>
    <w:tmpl w:val="7282771A"/>
    <w:lvl w:ilvl="0" w:tplc="A65C9E1A">
      <w:start w:val="1"/>
      <w:numFmt w:val="bullet"/>
      <w:lvlText w:val=""/>
      <w:lvlJc w:val="left"/>
      <w:pPr>
        <w:tabs>
          <w:tab w:val="num" w:pos="720"/>
        </w:tabs>
        <w:ind w:left="720" w:hanging="360"/>
      </w:pPr>
      <w:rPr>
        <w:rFonts w:ascii="Wingdings 2" w:hAnsi="Wingdings 2" w:hint="default"/>
      </w:rPr>
    </w:lvl>
    <w:lvl w:ilvl="1" w:tplc="DA4E615A" w:tentative="1">
      <w:start w:val="1"/>
      <w:numFmt w:val="bullet"/>
      <w:lvlText w:val=""/>
      <w:lvlJc w:val="left"/>
      <w:pPr>
        <w:tabs>
          <w:tab w:val="num" w:pos="1440"/>
        </w:tabs>
        <w:ind w:left="1440" w:hanging="360"/>
      </w:pPr>
      <w:rPr>
        <w:rFonts w:ascii="Wingdings 2" w:hAnsi="Wingdings 2" w:hint="default"/>
      </w:rPr>
    </w:lvl>
    <w:lvl w:ilvl="2" w:tplc="2E4EC23A" w:tentative="1">
      <w:start w:val="1"/>
      <w:numFmt w:val="bullet"/>
      <w:lvlText w:val=""/>
      <w:lvlJc w:val="left"/>
      <w:pPr>
        <w:tabs>
          <w:tab w:val="num" w:pos="2160"/>
        </w:tabs>
        <w:ind w:left="2160" w:hanging="360"/>
      </w:pPr>
      <w:rPr>
        <w:rFonts w:ascii="Wingdings 2" w:hAnsi="Wingdings 2" w:hint="default"/>
      </w:rPr>
    </w:lvl>
    <w:lvl w:ilvl="3" w:tplc="D9EE1F94" w:tentative="1">
      <w:start w:val="1"/>
      <w:numFmt w:val="bullet"/>
      <w:lvlText w:val=""/>
      <w:lvlJc w:val="left"/>
      <w:pPr>
        <w:tabs>
          <w:tab w:val="num" w:pos="2880"/>
        </w:tabs>
        <w:ind w:left="2880" w:hanging="360"/>
      </w:pPr>
      <w:rPr>
        <w:rFonts w:ascii="Wingdings 2" w:hAnsi="Wingdings 2" w:hint="default"/>
      </w:rPr>
    </w:lvl>
    <w:lvl w:ilvl="4" w:tplc="E1CE3DC4" w:tentative="1">
      <w:start w:val="1"/>
      <w:numFmt w:val="bullet"/>
      <w:lvlText w:val=""/>
      <w:lvlJc w:val="left"/>
      <w:pPr>
        <w:tabs>
          <w:tab w:val="num" w:pos="3600"/>
        </w:tabs>
        <w:ind w:left="3600" w:hanging="360"/>
      </w:pPr>
      <w:rPr>
        <w:rFonts w:ascii="Wingdings 2" w:hAnsi="Wingdings 2" w:hint="default"/>
      </w:rPr>
    </w:lvl>
    <w:lvl w:ilvl="5" w:tplc="D3AACF56" w:tentative="1">
      <w:start w:val="1"/>
      <w:numFmt w:val="bullet"/>
      <w:lvlText w:val=""/>
      <w:lvlJc w:val="left"/>
      <w:pPr>
        <w:tabs>
          <w:tab w:val="num" w:pos="4320"/>
        </w:tabs>
        <w:ind w:left="4320" w:hanging="360"/>
      </w:pPr>
      <w:rPr>
        <w:rFonts w:ascii="Wingdings 2" w:hAnsi="Wingdings 2" w:hint="default"/>
      </w:rPr>
    </w:lvl>
    <w:lvl w:ilvl="6" w:tplc="C1D2401A" w:tentative="1">
      <w:start w:val="1"/>
      <w:numFmt w:val="bullet"/>
      <w:lvlText w:val=""/>
      <w:lvlJc w:val="left"/>
      <w:pPr>
        <w:tabs>
          <w:tab w:val="num" w:pos="5040"/>
        </w:tabs>
        <w:ind w:left="5040" w:hanging="360"/>
      </w:pPr>
      <w:rPr>
        <w:rFonts w:ascii="Wingdings 2" w:hAnsi="Wingdings 2" w:hint="default"/>
      </w:rPr>
    </w:lvl>
    <w:lvl w:ilvl="7" w:tplc="7DBE6A8E" w:tentative="1">
      <w:start w:val="1"/>
      <w:numFmt w:val="bullet"/>
      <w:lvlText w:val=""/>
      <w:lvlJc w:val="left"/>
      <w:pPr>
        <w:tabs>
          <w:tab w:val="num" w:pos="5760"/>
        </w:tabs>
        <w:ind w:left="5760" w:hanging="360"/>
      </w:pPr>
      <w:rPr>
        <w:rFonts w:ascii="Wingdings 2" w:hAnsi="Wingdings 2" w:hint="default"/>
      </w:rPr>
    </w:lvl>
    <w:lvl w:ilvl="8" w:tplc="52501C0C"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600507"/>
    <w:multiLevelType w:val="hybridMultilevel"/>
    <w:tmpl w:val="0D028A5E"/>
    <w:lvl w:ilvl="0" w:tplc="DD9C6068">
      <w:start w:val="1"/>
      <w:numFmt w:val="bullet"/>
      <w:lvlText w:val=""/>
      <w:lvlJc w:val="left"/>
      <w:pPr>
        <w:tabs>
          <w:tab w:val="num" w:pos="720"/>
        </w:tabs>
        <w:ind w:left="720" w:hanging="360"/>
      </w:pPr>
      <w:rPr>
        <w:rFonts w:ascii="Wingdings 2" w:hAnsi="Wingdings 2" w:hint="default"/>
      </w:rPr>
    </w:lvl>
    <w:lvl w:ilvl="1" w:tplc="F920CC14" w:tentative="1">
      <w:start w:val="1"/>
      <w:numFmt w:val="bullet"/>
      <w:lvlText w:val=""/>
      <w:lvlJc w:val="left"/>
      <w:pPr>
        <w:tabs>
          <w:tab w:val="num" w:pos="1440"/>
        </w:tabs>
        <w:ind w:left="1440" w:hanging="360"/>
      </w:pPr>
      <w:rPr>
        <w:rFonts w:ascii="Wingdings 2" w:hAnsi="Wingdings 2" w:hint="default"/>
      </w:rPr>
    </w:lvl>
    <w:lvl w:ilvl="2" w:tplc="A028B1F6" w:tentative="1">
      <w:start w:val="1"/>
      <w:numFmt w:val="bullet"/>
      <w:lvlText w:val=""/>
      <w:lvlJc w:val="left"/>
      <w:pPr>
        <w:tabs>
          <w:tab w:val="num" w:pos="2160"/>
        </w:tabs>
        <w:ind w:left="2160" w:hanging="360"/>
      </w:pPr>
      <w:rPr>
        <w:rFonts w:ascii="Wingdings 2" w:hAnsi="Wingdings 2" w:hint="default"/>
      </w:rPr>
    </w:lvl>
    <w:lvl w:ilvl="3" w:tplc="A1B894F4" w:tentative="1">
      <w:start w:val="1"/>
      <w:numFmt w:val="bullet"/>
      <w:lvlText w:val=""/>
      <w:lvlJc w:val="left"/>
      <w:pPr>
        <w:tabs>
          <w:tab w:val="num" w:pos="2880"/>
        </w:tabs>
        <w:ind w:left="2880" w:hanging="360"/>
      </w:pPr>
      <w:rPr>
        <w:rFonts w:ascii="Wingdings 2" w:hAnsi="Wingdings 2" w:hint="default"/>
      </w:rPr>
    </w:lvl>
    <w:lvl w:ilvl="4" w:tplc="DD06BD36" w:tentative="1">
      <w:start w:val="1"/>
      <w:numFmt w:val="bullet"/>
      <w:lvlText w:val=""/>
      <w:lvlJc w:val="left"/>
      <w:pPr>
        <w:tabs>
          <w:tab w:val="num" w:pos="3600"/>
        </w:tabs>
        <w:ind w:left="3600" w:hanging="360"/>
      </w:pPr>
      <w:rPr>
        <w:rFonts w:ascii="Wingdings 2" w:hAnsi="Wingdings 2" w:hint="default"/>
      </w:rPr>
    </w:lvl>
    <w:lvl w:ilvl="5" w:tplc="3FC279AE" w:tentative="1">
      <w:start w:val="1"/>
      <w:numFmt w:val="bullet"/>
      <w:lvlText w:val=""/>
      <w:lvlJc w:val="left"/>
      <w:pPr>
        <w:tabs>
          <w:tab w:val="num" w:pos="4320"/>
        </w:tabs>
        <w:ind w:left="4320" w:hanging="360"/>
      </w:pPr>
      <w:rPr>
        <w:rFonts w:ascii="Wingdings 2" w:hAnsi="Wingdings 2" w:hint="default"/>
      </w:rPr>
    </w:lvl>
    <w:lvl w:ilvl="6" w:tplc="66A4024A" w:tentative="1">
      <w:start w:val="1"/>
      <w:numFmt w:val="bullet"/>
      <w:lvlText w:val=""/>
      <w:lvlJc w:val="left"/>
      <w:pPr>
        <w:tabs>
          <w:tab w:val="num" w:pos="5040"/>
        </w:tabs>
        <w:ind w:left="5040" w:hanging="360"/>
      </w:pPr>
      <w:rPr>
        <w:rFonts w:ascii="Wingdings 2" w:hAnsi="Wingdings 2" w:hint="default"/>
      </w:rPr>
    </w:lvl>
    <w:lvl w:ilvl="7" w:tplc="459E413E" w:tentative="1">
      <w:start w:val="1"/>
      <w:numFmt w:val="bullet"/>
      <w:lvlText w:val=""/>
      <w:lvlJc w:val="left"/>
      <w:pPr>
        <w:tabs>
          <w:tab w:val="num" w:pos="5760"/>
        </w:tabs>
        <w:ind w:left="5760" w:hanging="360"/>
      </w:pPr>
      <w:rPr>
        <w:rFonts w:ascii="Wingdings 2" w:hAnsi="Wingdings 2" w:hint="default"/>
      </w:rPr>
    </w:lvl>
    <w:lvl w:ilvl="8" w:tplc="70A25082"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0D2DBB"/>
    <w:multiLevelType w:val="hybridMultilevel"/>
    <w:tmpl w:val="392A5548"/>
    <w:lvl w:ilvl="0" w:tplc="43325B72">
      <w:start w:val="1"/>
      <w:numFmt w:val="bullet"/>
      <w:lvlText w:val=""/>
      <w:lvlJc w:val="left"/>
      <w:pPr>
        <w:tabs>
          <w:tab w:val="num" w:pos="720"/>
        </w:tabs>
        <w:ind w:left="720" w:hanging="360"/>
      </w:pPr>
      <w:rPr>
        <w:rFonts w:ascii="Wingdings 2" w:hAnsi="Wingdings 2" w:hint="default"/>
      </w:rPr>
    </w:lvl>
    <w:lvl w:ilvl="1" w:tplc="A5D67E28" w:tentative="1">
      <w:start w:val="1"/>
      <w:numFmt w:val="bullet"/>
      <w:lvlText w:val=""/>
      <w:lvlJc w:val="left"/>
      <w:pPr>
        <w:tabs>
          <w:tab w:val="num" w:pos="1440"/>
        </w:tabs>
        <w:ind w:left="1440" w:hanging="360"/>
      </w:pPr>
      <w:rPr>
        <w:rFonts w:ascii="Wingdings 2" w:hAnsi="Wingdings 2" w:hint="default"/>
      </w:rPr>
    </w:lvl>
    <w:lvl w:ilvl="2" w:tplc="32D806E8" w:tentative="1">
      <w:start w:val="1"/>
      <w:numFmt w:val="bullet"/>
      <w:lvlText w:val=""/>
      <w:lvlJc w:val="left"/>
      <w:pPr>
        <w:tabs>
          <w:tab w:val="num" w:pos="2160"/>
        </w:tabs>
        <w:ind w:left="2160" w:hanging="360"/>
      </w:pPr>
      <w:rPr>
        <w:rFonts w:ascii="Wingdings 2" w:hAnsi="Wingdings 2" w:hint="default"/>
      </w:rPr>
    </w:lvl>
    <w:lvl w:ilvl="3" w:tplc="37AC29B4" w:tentative="1">
      <w:start w:val="1"/>
      <w:numFmt w:val="bullet"/>
      <w:lvlText w:val=""/>
      <w:lvlJc w:val="left"/>
      <w:pPr>
        <w:tabs>
          <w:tab w:val="num" w:pos="2880"/>
        </w:tabs>
        <w:ind w:left="2880" w:hanging="360"/>
      </w:pPr>
      <w:rPr>
        <w:rFonts w:ascii="Wingdings 2" w:hAnsi="Wingdings 2" w:hint="default"/>
      </w:rPr>
    </w:lvl>
    <w:lvl w:ilvl="4" w:tplc="24CC3172" w:tentative="1">
      <w:start w:val="1"/>
      <w:numFmt w:val="bullet"/>
      <w:lvlText w:val=""/>
      <w:lvlJc w:val="left"/>
      <w:pPr>
        <w:tabs>
          <w:tab w:val="num" w:pos="3600"/>
        </w:tabs>
        <w:ind w:left="3600" w:hanging="360"/>
      </w:pPr>
      <w:rPr>
        <w:rFonts w:ascii="Wingdings 2" w:hAnsi="Wingdings 2" w:hint="default"/>
      </w:rPr>
    </w:lvl>
    <w:lvl w:ilvl="5" w:tplc="555E5460" w:tentative="1">
      <w:start w:val="1"/>
      <w:numFmt w:val="bullet"/>
      <w:lvlText w:val=""/>
      <w:lvlJc w:val="left"/>
      <w:pPr>
        <w:tabs>
          <w:tab w:val="num" w:pos="4320"/>
        </w:tabs>
        <w:ind w:left="4320" w:hanging="360"/>
      </w:pPr>
      <w:rPr>
        <w:rFonts w:ascii="Wingdings 2" w:hAnsi="Wingdings 2" w:hint="default"/>
      </w:rPr>
    </w:lvl>
    <w:lvl w:ilvl="6" w:tplc="6640191A" w:tentative="1">
      <w:start w:val="1"/>
      <w:numFmt w:val="bullet"/>
      <w:lvlText w:val=""/>
      <w:lvlJc w:val="left"/>
      <w:pPr>
        <w:tabs>
          <w:tab w:val="num" w:pos="5040"/>
        </w:tabs>
        <w:ind w:left="5040" w:hanging="360"/>
      </w:pPr>
      <w:rPr>
        <w:rFonts w:ascii="Wingdings 2" w:hAnsi="Wingdings 2" w:hint="default"/>
      </w:rPr>
    </w:lvl>
    <w:lvl w:ilvl="7" w:tplc="72CC909A" w:tentative="1">
      <w:start w:val="1"/>
      <w:numFmt w:val="bullet"/>
      <w:lvlText w:val=""/>
      <w:lvlJc w:val="left"/>
      <w:pPr>
        <w:tabs>
          <w:tab w:val="num" w:pos="5760"/>
        </w:tabs>
        <w:ind w:left="5760" w:hanging="360"/>
      </w:pPr>
      <w:rPr>
        <w:rFonts w:ascii="Wingdings 2" w:hAnsi="Wingdings 2" w:hint="default"/>
      </w:rPr>
    </w:lvl>
    <w:lvl w:ilvl="8" w:tplc="10E45E1C"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250788"/>
    <w:multiLevelType w:val="hybridMultilevel"/>
    <w:tmpl w:val="19D8E1F2"/>
    <w:lvl w:ilvl="0" w:tplc="915273CA">
      <w:start w:val="1"/>
      <w:numFmt w:val="bullet"/>
      <w:lvlText w:val=""/>
      <w:lvlJc w:val="left"/>
      <w:pPr>
        <w:tabs>
          <w:tab w:val="num" w:pos="720"/>
        </w:tabs>
        <w:ind w:left="720" w:hanging="360"/>
      </w:pPr>
      <w:rPr>
        <w:rFonts w:ascii="Wingdings 2" w:hAnsi="Wingdings 2" w:hint="default"/>
      </w:rPr>
    </w:lvl>
    <w:lvl w:ilvl="1" w:tplc="67F23A5E" w:tentative="1">
      <w:start w:val="1"/>
      <w:numFmt w:val="bullet"/>
      <w:lvlText w:val=""/>
      <w:lvlJc w:val="left"/>
      <w:pPr>
        <w:tabs>
          <w:tab w:val="num" w:pos="1440"/>
        </w:tabs>
        <w:ind w:left="1440" w:hanging="360"/>
      </w:pPr>
      <w:rPr>
        <w:rFonts w:ascii="Wingdings 2" w:hAnsi="Wingdings 2" w:hint="default"/>
      </w:rPr>
    </w:lvl>
    <w:lvl w:ilvl="2" w:tplc="A4D87746" w:tentative="1">
      <w:start w:val="1"/>
      <w:numFmt w:val="bullet"/>
      <w:lvlText w:val=""/>
      <w:lvlJc w:val="left"/>
      <w:pPr>
        <w:tabs>
          <w:tab w:val="num" w:pos="2160"/>
        </w:tabs>
        <w:ind w:left="2160" w:hanging="360"/>
      </w:pPr>
      <w:rPr>
        <w:rFonts w:ascii="Wingdings 2" w:hAnsi="Wingdings 2" w:hint="default"/>
      </w:rPr>
    </w:lvl>
    <w:lvl w:ilvl="3" w:tplc="318E7EB8" w:tentative="1">
      <w:start w:val="1"/>
      <w:numFmt w:val="bullet"/>
      <w:lvlText w:val=""/>
      <w:lvlJc w:val="left"/>
      <w:pPr>
        <w:tabs>
          <w:tab w:val="num" w:pos="2880"/>
        </w:tabs>
        <w:ind w:left="2880" w:hanging="360"/>
      </w:pPr>
      <w:rPr>
        <w:rFonts w:ascii="Wingdings 2" w:hAnsi="Wingdings 2" w:hint="default"/>
      </w:rPr>
    </w:lvl>
    <w:lvl w:ilvl="4" w:tplc="DBECA944" w:tentative="1">
      <w:start w:val="1"/>
      <w:numFmt w:val="bullet"/>
      <w:lvlText w:val=""/>
      <w:lvlJc w:val="left"/>
      <w:pPr>
        <w:tabs>
          <w:tab w:val="num" w:pos="3600"/>
        </w:tabs>
        <w:ind w:left="3600" w:hanging="360"/>
      </w:pPr>
      <w:rPr>
        <w:rFonts w:ascii="Wingdings 2" w:hAnsi="Wingdings 2" w:hint="default"/>
      </w:rPr>
    </w:lvl>
    <w:lvl w:ilvl="5" w:tplc="1722CD4A" w:tentative="1">
      <w:start w:val="1"/>
      <w:numFmt w:val="bullet"/>
      <w:lvlText w:val=""/>
      <w:lvlJc w:val="left"/>
      <w:pPr>
        <w:tabs>
          <w:tab w:val="num" w:pos="4320"/>
        </w:tabs>
        <w:ind w:left="4320" w:hanging="360"/>
      </w:pPr>
      <w:rPr>
        <w:rFonts w:ascii="Wingdings 2" w:hAnsi="Wingdings 2" w:hint="default"/>
      </w:rPr>
    </w:lvl>
    <w:lvl w:ilvl="6" w:tplc="1374AD9E" w:tentative="1">
      <w:start w:val="1"/>
      <w:numFmt w:val="bullet"/>
      <w:lvlText w:val=""/>
      <w:lvlJc w:val="left"/>
      <w:pPr>
        <w:tabs>
          <w:tab w:val="num" w:pos="5040"/>
        </w:tabs>
        <w:ind w:left="5040" w:hanging="360"/>
      </w:pPr>
      <w:rPr>
        <w:rFonts w:ascii="Wingdings 2" w:hAnsi="Wingdings 2" w:hint="default"/>
      </w:rPr>
    </w:lvl>
    <w:lvl w:ilvl="7" w:tplc="373EC5EA" w:tentative="1">
      <w:start w:val="1"/>
      <w:numFmt w:val="bullet"/>
      <w:lvlText w:val=""/>
      <w:lvlJc w:val="left"/>
      <w:pPr>
        <w:tabs>
          <w:tab w:val="num" w:pos="5760"/>
        </w:tabs>
        <w:ind w:left="5760" w:hanging="360"/>
      </w:pPr>
      <w:rPr>
        <w:rFonts w:ascii="Wingdings 2" w:hAnsi="Wingdings 2" w:hint="default"/>
      </w:rPr>
    </w:lvl>
    <w:lvl w:ilvl="8" w:tplc="5142C262"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0"/>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5"/>
  </w:num>
  <w:num w:numId="22">
    <w:abstractNumId w:val="19"/>
  </w:num>
  <w:num w:numId="23">
    <w:abstractNumId w:val="41"/>
  </w:num>
  <w:num w:numId="24">
    <w:abstractNumId w:val="42"/>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2"/>
  </w:num>
  <w:num w:numId="37">
    <w:abstractNumId w:val="9"/>
  </w:num>
  <w:num w:numId="38">
    <w:abstractNumId w:val="37"/>
  </w:num>
  <w:num w:numId="39">
    <w:abstractNumId w:val="17"/>
  </w:num>
  <w:num w:numId="40">
    <w:abstractNumId w:val="13"/>
  </w:num>
  <w:num w:numId="41">
    <w:abstractNumId w:val="24"/>
  </w:num>
  <w:num w:numId="42">
    <w:abstractNumId w:val="43"/>
  </w:num>
  <w:num w:numId="43">
    <w:abstractNumId w:val="46"/>
  </w:num>
  <w:num w:numId="44">
    <w:abstractNumId w:val="22"/>
  </w:num>
  <w:num w:numId="45">
    <w:abstractNumId w:val="5"/>
  </w:num>
  <w:num w:numId="46">
    <w:abstractNumId w:val="14"/>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1C6B"/>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6392"/>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28CA"/>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040E"/>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51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55C"/>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D7783"/>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74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5C81"/>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4EF7"/>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A3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752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0E42"/>
    <w:rsid w:val="009B1F0E"/>
    <w:rsid w:val="009B4262"/>
    <w:rsid w:val="009B436A"/>
    <w:rsid w:val="009B5627"/>
    <w:rsid w:val="009B6AFC"/>
    <w:rsid w:val="009B7EEB"/>
    <w:rsid w:val="009C049F"/>
    <w:rsid w:val="009C3001"/>
    <w:rsid w:val="009C3A3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48A"/>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6663504">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5979909">
      <w:bodyDiv w:val="1"/>
      <w:marLeft w:val="0"/>
      <w:marRight w:val="0"/>
      <w:marTop w:val="0"/>
      <w:marBottom w:val="0"/>
      <w:divBdr>
        <w:top w:val="none" w:sz="0" w:space="0" w:color="auto"/>
        <w:left w:val="none" w:sz="0" w:space="0" w:color="auto"/>
        <w:bottom w:val="none" w:sz="0" w:space="0" w:color="auto"/>
        <w:right w:val="none" w:sz="0" w:space="0" w:color="auto"/>
      </w:divBdr>
      <w:divsChild>
        <w:div w:id="2056271439">
          <w:marLeft w:val="576"/>
          <w:marRight w:val="0"/>
          <w:marTop w:val="120"/>
          <w:marBottom w:val="0"/>
          <w:divBdr>
            <w:top w:val="none" w:sz="0" w:space="0" w:color="auto"/>
            <w:left w:val="none" w:sz="0" w:space="0" w:color="auto"/>
            <w:bottom w:val="none" w:sz="0" w:space="0" w:color="auto"/>
            <w:right w:val="none" w:sz="0" w:space="0" w:color="auto"/>
          </w:divBdr>
        </w:div>
        <w:div w:id="429545550">
          <w:marLeft w:val="576"/>
          <w:marRight w:val="0"/>
          <w:marTop w:val="120"/>
          <w:marBottom w:val="0"/>
          <w:divBdr>
            <w:top w:val="none" w:sz="0" w:space="0" w:color="auto"/>
            <w:left w:val="none" w:sz="0" w:space="0" w:color="auto"/>
            <w:bottom w:val="none" w:sz="0" w:space="0" w:color="auto"/>
            <w:right w:val="none" w:sz="0" w:space="0" w:color="auto"/>
          </w:divBdr>
        </w:div>
        <w:div w:id="962542613">
          <w:marLeft w:val="576"/>
          <w:marRight w:val="0"/>
          <w:marTop w:val="120"/>
          <w:marBottom w:val="0"/>
          <w:divBdr>
            <w:top w:val="none" w:sz="0" w:space="0" w:color="auto"/>
            <w:left w:val="none" w:sz="0" w:space="0" w:color="auto"/>
            <w:bottom w:val="none" w:sz="0" w:space="0" w:color="auto"/>
            <w:right w:val="none" w:sz="0" w:space="0" w:color="auto"/>
          </w:divBdr>
        </w:div>
        <w:div w:id="4795068">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2332770">
      <w:bodyDiv w:val="1"/>
      <w:marLeft w:val="0"/>
      <w:marRight w:val="0"/>
      <w:marTop w:val="0"/>
      <w:marBottom w:val="0"/>
      <w:divBdr>
        <w:top w:val="none" w:sz="0" w:space="0" w:color="auto"/>
        <w:left w:val="none" w:sz="0" w:space="0" w:color="auto"/>
        <w:bottom w:val="none" w:sz="0" w:space="0" w:color="auto"/>
        <w:right w:val="none" w:sz="0" w:space="0" w:color="auto"/>
      </w:divBdr>
      <w:divsChild>
        <w:div w:id="738290484">
          <w:marLeft w:val="576"/>
          <w:marRight w:val="0"/>
          <w:marTop w:val="120"/>
          <w:marBottom w:val="0"/>
          <w:divBdr>
            <w:top w:val="none" w:sz="0" w:space="0" w:color="auto"/>
            <w:left w:val="none" w:sz="0" w:space="0" w:color="auto"/>
            <w:bottom w:val="none" w:sz="0" w:space="0" w:color="auto"/>
            <w:right w:val="none" w:sz="0" w:space="0" w:color="auto"/>
          </w:divBdr>
        </w:div>
        <w:div w:id="1291519112">
          <w:marLeft w:val="576"/>
          <w:marRight w:val="0"/>
          <w:marTop w:val="120"/>
          <w:marBottom w:val="0"/>
          <w:divBdr>
            <w:top w:val="none" w:sz="0" w:space="0" w:color="auto"/>
            <w:left w:val="none" w:sz="0" w:space="0" w:color="auto"/>
            <w:bottom w:val="none" w:sz="0" w:space="0" w:color="auto"/>
            <w:right w:val="none" w:sz="0" w:space="0" w:color="auto"/>
          </w:divBdr>
        </w:div>
        <w:div w:id="1624069262">
          <w:marLeft w:val="576"/>
          <w:marRight w:val="0"/>
          <w:marTop w:val="120"/>
          <w:marBottom w:val="0"/>
          <w:divBdr>
            <w:top w:val="none" w:sz="0" w:space="0" w:color="auto"/>
            <w:left w:val="none" w:sz="0" w:space="0" w:color="auto"/>
            <w:bottom w:val="none" w:sz="0" w:space="0" w:color="auto"/>
            <w:right w:val="none" w:sz="0" w:space="0" w:color="auto"/>
          </w:divBdr>
        </w:div>
        <w:div w:id="1909149941">
          <w:marLeft w:val="576"/>
          <w:marRight w:val="0"/>
          <w:marTop w:val="120"/>
          <w:marBottom w:val="0"/>
          <w:divBdr>
            <w:top w:val="none" w:sz="0" w:space="0" w:color="auto"/>
            <w:left w:val="none" w:sz="0" w:space="0" w:color="auto"/>
            <w:bottom w:val="none" w:sz="0" w:space="0" w:color="auto"/>
            <w:right w:val="none" w:sz="0" w:space="0" w:color="auto"/>
          </w:divBdr>
        </w:div>
        <w:div w:id="1994866166">
          <w:marLeft w:val="576"/>
          <w:marRight w:val="0"/>
          <w:marTop w:val="12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381193">
      <w:bodyDiv w:val="1"/>
      <w:marLeft w:val="0"/>
      <w:marRight w:val="0"/>
      <w:marTop w:val="0"/>
      <w:marBottom w:val="0"/>
      <w:divBdr>
        <w:top w:val="none" w:sz="0" w:space="0" w:color="auto"/>
        <w:left w:val="none" w:sz="0" w:space="0" w:color="auto"/>
        <w:bottom w:val="none" w:sz="0" w:space="0" w:color="auto"/>
        <w:right w:val="none" w:sz="0" w:space="0" w:color="auto"/>
      </w:divBdr>
      <w:divsChild>
        <w:div w:id="1297879655">
          <w:marLeft w:val="576"/>
          <w:marRight w:val="0"/>
          <w:marTop w:val="120"/>
          <w:marBottom w:val="0"/>
          <w:divBdr>
            <w:top w:val="none" w:sz="0" w:space="0" w:color="auto"/>
            <w:left w:val="none" w:sz="0" w:space="0" w:color="auto"/>
            <w:bottom w:val="none" w:sz="0" w:space="0" w:color="auto"/>
            <w:right w:val="none" w:sz="0" w:space="0" w:color="auto"/>
          </w:divBdr>
        </w:div>
        <w:div w:id="2048677466">
          <w:marLeft w:val="576"/>
          <w:marRight w:val="0"/>
          <w:marTop w:val="120"/>
          <w:marBottom w:val="0"/>
          <w:divBdr>
            <w:top w:val="none" w:sz="0" w:space="0" w:color="auto"/>
            <w:left w:val="none" w:sz="0" w:space="0" w:color="auto"/>
            <w:bottom w:val="none" w:sz="0" w:space="0" w:color="auto"/>
            <w:right w:val="none" w:sz="0" w:space="0" w:color="auto"/>
          </w:divBdr>
        </w:div>
        <w:div w:id="1534417224">
          <w:marLeft w:val="576"/>
          <w:marRight w:val="0"/>
          <w:marTop w:val="120"/>
          <w:marBottom w:val="0"/>
          <w:divBdr>
            <w:top w:val="none" w:sz="0" w:space="0" w:color="auto"/>
            <w:left w:val="none" w:sz="0" w:space="0" w:color="auto"/>
            <w:bottom w:val="none" w:sz="0" w:space="0" w:color="auto"/>
            <w:right w:val="none" w:sz="0" w:space="0" w:color="auto"/>
          </w:divBdr>
        </w:div>
        <w:div w:id="954217864">
          <w:marLeft w:val="576"/>
          <w:marRight w:val="0"/>
          <w:marTop w:val="120"/>
          <w:marBottom w:val="0"/>
          <w:divBdr>
            <w:top w:val="none" w:sz="0" w:space="0" w:color="auto"/>
            <w:left w:val="none" w:sz="0" w:space="0" w:color="auto"/>
            <w:bottom w:val="none" w:sz="0" w:space="0" w:color="auto"/>
            <w:right w:val="none" w:sz="0" w:space="0" w:color="auto"/>
          </w:divBdr>
        </w:div>
        <w:div w:id="1171330544">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9681163">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0832536">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7302701">
      <w:bodyDiv w:val="1"/>
      <w:marLeft w:val="0"/>
      <w:marRight w:val="0"/>
      <w:marTop w:val="0"/>
      <w:marBottom w:val="0"/>
      <w:divBdr>
        <w:top w:val="none" w:sz="0" w:space="0" w:color="auto"/>
        <w:left w:val="none" w:sz="0" w:space="0" w:color="auto"/>
        <w:bottom w:val="none" w:sz="0" w:space="0" w:color="auto"/>
        <w:right w:val="none" w:sz="0" w:space="0" w:color="auto"/>
      </w:divBdr>
      <w:divsChild>
        <w:div w:id="362486175">
          <w:marLeft w:val="576"/>
          <w:marRight w:val="0"/>
          <w:marTop w:val="120"/>
          <w:marBottom w:val="0"/>
          <w:divBdr>
            <w:top w:val="none" w:sz="0" w:space="0" w:color="auto"/>
            <w:left w:val="none" w:sz="0" w:space="0" w:color="auto"/>
            <w:bottom w:val="none" w:sz="0" w:space="0" w:color="auto"/>
            <w:right w:val="none" w:sz="0" w:space="0" w:color="auto"/>
          </w:divBdr>
        </w:div>
        <w:div w:id="105273203">
          <w:marLeft w:val="576"/>
          <w:marRight w:val="0"/>
          <w:marTop w:val="120"/>
          <w:marBottom w:val="0"/>
          <w:divBdr>
            <w:top w:val="none" w:sz="0" w:space="0" w:color="auto"/>
            <w:left w:val="none" w:sz="0" w:space="0" w:color="auto"/>
            <w:bottom w:val="none" w:sz="0" w:space="0" w:color="auto"/>
            <w:right w:val="none" w:sz="0" w:space="0" w:color="auto"/>
          </w:divBdr>
        </w:div>
        <w:div w:id="146669627">
          <w:marLeft w:val="576"/>
          <w:marRight w:val="0"/>
          <w:marTop w:val="120"/>
          <w:marBottom w:val="0"/>
          <w:divBdr>
            <w:top w:val="none" w:sz="0" w:space="0" w:color="auto"/>
            <w:left w:val="none" w:sz="0" w:space="0" w:color="auto"/>
            <w:bottom w:val="none" w:sz="0" w:space="0" w:color="auto"/>
            <w:right w:val="none" w:sz="0" w:space="0" w:color="auto"/>
          </w:divBdr>
        </w:div>
        <w:div w:id="167124803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7583911">
      <w:bodyDiv w:val="1"/>
      <w:marLeft w:val="0"/>
      <w:marRight w:val="0"/>
      <w:marTop w:val="0"/>
      <w:marBottom w:val="0"/>
      <w:divBdr>
        <w:top w:val="none" w:sz="0" w:space="0" w:color="auto"/>
        <w:left w:val="none" w:sz="0" w:space="0" w:color="auto"/>
        <w:bottom w:val="none" w:sz="0" w:space="0" w:color="auto"/>
        <w:right w:val="none" w:sz="0" w:space="0" w:color="auto"/>
      </w:divBdr>
      <w:divsChild>
        <w:div w:id="1109423548">
          <w:marLeft w:val="576"/>
          <w:marRight w:val="0"/>
          <w:marTop w:val="120"/>
          <w:marBottom w:val="0"/>
          <w:divBdr>
            <w:top w:val="none" w:sz="0" w:space="0" w:color="auto"/>
            <w:left w:val="none" w:sz="0" w:space="0" w:color="auto"/>
            <w:bottom w:val="none" w:sz="0" w:space="0" w:color="auto"/>
            <w:right w:val="none" w:sz="0" w:space="0" w:color="auto"/>
          </w:divBdr>
        </w:div>
        <w:div w:id="1787578169">
          <w:marLeft w:val="576"/>
          <w:marRight w:val="0"/>
          <w:marTop w:val="120"/>
          <w:marBottom w:val="0"/>
          <w:divBdr>
            <w:top w:val="none" w:sz="0" w:space="0" w:color="auto"/>
            <w:left w:val="none" w:sz="0" w:space="0" w:color="auto"/>
            <w:bottom w:val="none" w:sz="0" w:space="0" w:color="auto"/>
            <w:right w:val="none" w:sz="0" w:space="0" w:color="auto"/>
          </w:divBdr>
        </w:div>
        <w:div w:id="1905069865">
          <w:marLeft w:val="576"/>
          <w:marRight w:val="0"/>
          <w:marTop w:val="120"/>
          <w:marBottom w:val="0"/>
          <w:divBdr>
            <w:top w:val="none" w:sz="0" w:space="0" w:color="auto"/>
            <w:left w:val="none" w:sz="0" w:space="0" w:color="auto"/>
            <w:bottom w:val="none" w:sz="0" w:space="0" w:color="auto"/>
            <w:right w:val="none" w:sz="0" w:space="0" w:color="auto"/>
          </w:divBdr>
        </w:div>
        <w:div w:id="350568666">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6074187">
      <w:bodyDiv w:val="1"/>
      <w:marLeft w:val="0"/>
      <w:marRight w:val="0"/>
      <w:marTop w:val="0"/>
      <w:marBottom w:val="0"/>
      <w:divBdr>
        <w:top w:val="none" w:sz="0" w:space="0" w:color="auto"/>
        <w:left w:val="none" w:sz="0" w:space="0" w:color="auto"/>
        <w:bottom w:val="none" w:sz="0" w:space="0" w:color="auto"/>
        <w:right w:val="none" w:sz="0" w:space="0" w:color="auto"/>
      </w:divBdr>
      <w:divsChild>
        <w:div w:id="1840655579">
          <w:marLeft w:val="576"/>
          <w:marRight w:val="0"/>
          <w:marTop w:val="120"/>
          <w:marBottom w:val="0"/>
          <w:divBdr>
            <w:top w:val="none" w:sz="0" w:space="0" w:color="auto"/>
            <w:left w:val="none" w:sz="0" w:space="0" w:color="auto"/>
            <w:bottom w:val="none" w:sz="0" w:space="0" w:color="auto"/>
            <w:right w:val="none" w:sz="0" w:space="0" w:color="auto"/>
          </w:divBdr>
        </w:div>
        <w:div w:id="1837767623">
          <w:marLeft w:val="576"/>
          <w:marRight w:val="0"/>
          <w:marTop w:val="120"/>
          <w:marBottom w:val="0"/>
          <w:divBdr>
            <w:top w:val="none" w:sz="0" w:space="0" w:color="auto"/>
            <w:left w:val="none" w:sz="0" w:space="0" w:color="auto"/>
            <w:bottom w:val="none" w:sz="0" w:space="0" w:color="auto"/>
            <w:right w:val="none" w:sz="0" w:space="0" w:color="auto"/>
          </w:divBdr>
        </w:div>
        <w:div w:id="571934671">
          <w:marLeft w:val="576"/>
          <w:marRight w:val="0"/>
          <w:marTop w:val="120"/>
          <w:marBottom w:val="0"/>
          <w:divBdr>
            <w:top w:val="none" w:sz="0" w:space="0" w:color="auto"/>
            <w:left w:val="none" w:sz="0" w:space="0" w:color="auto"/>
            <w:bottom w:val="none" w:sz="0" w:space="0" w:color="auto"/>
            <w:right w:val="none" w:sz="0" w:space="0" w:color="auto"/>
          </w:divBdr>
        </w:div>
        <w:div w:id="448593997">
          <w:marLeft w:val="576"/>
          <w:marRight w:val="0"/>
          <w:marTop w:val="120"/>
          <w:marBottom w:val="0"/>
          <w:divBdr>
            <w:top w:val="none" w:sz="0" w:space="0" w:color="auto"/>
            <w:left w:val="none" w:sz="0" w:space="0" w:color="auto"/>
            <w:bottom w:val="none" w:sz="0" w:space="0" w:color="auto"/>
            <w:right w:val="none" w:sz="0" w:space="0" w:color="auto"/>
          </w:divBdr>
        </w:div>
        <w:div w:id="414474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3614</TotalTime>
  <Pages>14</Pages>
  <Words>1854</Words>
  <Characters>10569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2022-02-10T10:04:00Z</dcterms:modified>
</cp:coreProperties>
</file>