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0125F" w:rsidRDefault="0010125F" w:rsidP="0010125F">
      <w:pPr>
        <w:spacing w:line="360" w:lineRule="auto"/>
        <w:jc w:val="center"/>
        <w:rPr>
          <w:rFonts w:ascii="Times New Roman" w:hAnsi="Times New Roman" w:cs="Times New Roman"/>
          <w:b/>
          <w:sz w:val="56"/>
          <w:szCs w:val="56"/>
        </w:rPr>
      </w:pPr>
      <w:r w:rsidRPr="0010125F">
        <w:rPr>
          <w:rFonts w:ascii="Times New Roman" w:hAnsi="Times New Roman" w:cs="Times New Roman"/>
          <w:b/>
          <w:sz w:val="56"/>
          <w:szCs w:val="56"/>
        </w:rPr>
        <w:t>A 65-nm CMOS Constant Current Source With Reduced PVT Variation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0125F" w:rsidRDefault="0010125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F3381" w:rsidRDefault="002F3381" w:rsidP="00E53AA4">
      <w:pPr>
        <w:spacing w:line="360" w:lineRule="auto"/>
        <w:jc w:val="both"/>
        <w:rPr>
          <w:rFonts w:ascii="Times New Roman" w:hAnsi="Times New Roman" w:cs="Times New Roman"/>
          <w:b/>
          <w:sz w:val="52"/>
          <w:szCs w:val="52"/>
        </w:rPr>
      </w:pPr>
      <w:r w:rsidRPr="002F3381">
        <w:rPr>
          <w:rFonts w:ascii="Times New Roman" w:hAnsi="Times New Roman" w:cs="Times New Roman"/>
          <w:sz w:val="32"/>
          <w:szCs w:val="32"/>
        </w:rPr>
        <w:t>This paper presents a new nanometer-based low-power constant current reference that attains a small value in the total process–voltage–temperature variation. The circuit architecture is based on the embodiment of a process-tolerant bias current circuit and a scaled process-tracking bias voltage source for the dedicated temperature-compensated voltageto-current conversion in a preregulator loop. Fabricated in a UMC 65-nm CMOS process, it consumes 7.18 µW with a 1.4 V supply. The measured results indicate that the current reference achieves an average temperature coefficient of 119 ppm/°C over 12 samples in a temperature range from −30 °C to 90 °C without any calibration. Besides, a low line sensitivity of 180 ppm/V is obtained. This paper offers a better sensitivity figure of merit with respect to the reported representative counterparts.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2F3381" w:rsidP="002F338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F3381" w:rsidRDefault="002F3381" w:rsidP="002F338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F338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50D7C" w:rsidRDefault="002E02FA" w:rsidP="00750D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0D7C">
        <w:rPr>
          <w:rFonts w:ascii="Times New Roman" w:hAnsi="Times New Roman" w:cs="Times New Roman"/>
          <w:sz w:val="32"/>
          <w:szCs w:val="32"/>
          <w:lang w:val="en-IN"/>
        </w:rPr>
        <w:t>There exists another challenge from the non-ideal CMOS stress effect that causes the performance degradation in the PVT-aware circuits.</w:t>
      </w:r>
    </w:p>
    <w:p w:rsidR="00000000" w:rsidRPr="00750D7C" w:rsidRDefault="002E02FA" w:rsidP="00750D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0D7C">
        <w:rPr>
          <w:rFonts w:ascii="Times New Roman" w:hAnsi="Times New Roman" w:cs="Times New Roman"/>
          <w:sz w:val="32"/>
          <w:szCs w:val="32"/>
          <w:lang w:val="en-IN"/>
        </w:rPr>
        <w:t xml:space="preserve">The coexistence of the DC/DC and LDO regulators helps to achieve low-noise </w:t>
      </w:r>
      <w:r w:rsidRPr="00750D7C">
        <w:rPr>
          <w:rFonts w:ascii="Times New Roman" w:hAnsi="Times New Roman" w:cs="Times New Roman"/>
          <w:sz w:val="32"/>
          <w:szCs w:val="32"/>
          <w:lang w:val="en-IN"/>
        </w:rPr>
        <w:t>power supply whilst maintaining high power efficiency.</w:t>
      </w:r>
    </w:p>
    <w:p w:rsidR="00000000" w:rsidRPr="00750D7C" w:rsidRDefault="002E02FA" w:rsidP="00750D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0D7C">
        <w:rPr>
          <w:rFonts w:ascii="Times New Roman" w:hAnsi="Times New Roman" w:cs="Times New Roman"/>
          <w:sz w:val="32"/>
          <w:szCs w:val="32"/>
          <w:lang w:val="en-IN"/>
        </w:rPr>
        <w:t>Although a good solution for the threshold voltage reference is reported using the weak inversion transistors and linear resistors other than the bipolar transistors, the T.C. is limited by the nonlin</w:t>
      </w:r>
      <w:r w:rsidRPr="00750D7C">
        <w:rPr>
          <w:rFonts w:ascii="Times New Roman" w:hAnsi="Times New Roman" w:cs="Times New Roman"/>
          <w:sz w:val="32"/>
          <w:szCs w:val="32"/>
          <w:lang w:val="en-IN"/>
        </w:rPr>
        <w:t>ear temperature effect existing in VGS(T).</w:t>
      </w:r>
    </w:p>
    <w:p w:rsidR="00000000" w:rsidRPr="00750D7C" w:rsidRDefault="002E02FA" w:rsidP="00750D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50D7C">
        <w:rPr>
          <w:rFonts w:ascii="Times New Roman" w:hAnsi="Times New Roman" w:cs="Times New Roman"/>
          <w:sz w:val="32"/>
          <w:szCs w:val="32"/>
          <w:lang w:val="en-IN"/>
        </w:rPr>
        <w:t xml:space="preserve">The increasing demand on the LDO regulators for the portable devices gives rise to one of the motivations on the design of performance-aware LDO regulators.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11D1C" w:rsidRDefault="002E02FA" w:rsidP="00F11D1C">
      <w:pPr>
        <w:numPr>
          <w:ilvl w:val="0"/>
          <w:numId w:val="45"/>
        </w:numPr>
        <w:spacing w:line="360" w:lineRule="auto"/>
        <w:jc w:val="both"/>
        <w:rPr>
          <w:rFonts w:ascii="Times New Roman" w:hAnsi="Times New Roman" w:cs="Times New Roman"/>
          <w:bCs/>
          <w:sz w:val="32"/>
          <w:szCs w:val="32"/>
          <w:lang w:val="en-IN"/>
        </w:rPr>
      </w:pPr>
      <w:r w:rsidRPr="00F11D1C">
        <w:rPr>
          <w:rFonts w:ascii="Times New Roman" w:hAnsi="Times New Roman" w:cs="Times New Roman"/>
          <w:bCs/>
          <w:sz w:val="32"/>
          <w:szCs w:val="32"/>
          <w:lang w:val="en-IN"/>
        </w:rPr>
        <w:t xml:space="preserve">These problems have increased the motivation for the </w:t>
      </w:r>
      <w:r w:rsidRPr="00F11D1C">
        <w:rPr>
          <w:rFonts w:ascii="Times New Roman" w:hAnsi="Times New Roman" w:cs="Times New Roman"/>
          <w:bCs/>
          <w:sz w:val="32"/>
          <w:szCs w:val="32"/>
          <w:lang w:val="en-IN"/>
        </w:rPr>
        <w:t>design of a low-power constant current reference with reduced PVT variation in the context of aggressively scaled nanometer technology.</w:t>
      </w:r>
    </w:p>
    <w:p w:rsidR="00000000" w:rsidRPr="00F11D1C" w:rsidRDefault="002E02FA" w:rsidP="00F11D1C">
      <w:pPr>
        <w:numPr>
          <w:ilvl w:val="0"/>
          <w:numId w:val="45"/>
        </w:numPr>
        <w:spacing w:line="360" w:lineRule="auto"/>
        <w:jc w:val="both"/>
        <w:rPr>
          <w:rFonts w:ascii="Times New Roman" w:hAnsi="Times New Roman" w:cs="Times New Roman"/>
          <w:bCs/>
          <w:sz w:val="32"/>
          <w:szCs w:val="32"/>
          <w:lang w:val="en-IN"/>
        </w:rPr>
      </w:pPr>
      <w:r w:rsidRPr="00F11D1C">
        <w:rPr>
          <w:rFonts w:ascii="Times New Roman" w:hAnsi="Times New Roman" w:cs="Times New Roman"/>
          <w:bCs/>
          <w:sz w:val="32"/>
          <w:szCs w:val="32"/>
          <w:lang w:val="en-IN"/>
        </w:rPr>
        <w:t>The VTH mismatch issue between the tracking device pair will degrade the current accuracy.</w:t>
      </w:r>
    </w:p>
    <w:p w:rsidR="00000000" w:rsidRPr="00F11D1C" w:rsidRDefault="002E02FA" w:rsidP="00F11D1C">
      <w:pPr>
        <w:numPr>
          <w:ilvl w:val="0"/>
          <w:numId w:val="45"/>
        </w:numPr>
        <w:spacing w:line="360" w:lineRule="auto"/>
        <w:jc w:val="both"/>
        <w:rPr>
          <w:rFonts w:ascii="Times New Roman" w:hAnsi="Times New Roman" w:cs="Times New Roman"/>
          <w:bCs/>
          <w:sz w:val="32"/>
          <w:szCs w:val="32"/>
          <w:lang w:val="en-IN"/>
        </w:rPr>
      </w:pPr>
      <w:r w:rsidRPr="00F11D1C">
        <w:rPr>
          <w:rFonts w:ascii="Times New Roman" w:hAnsi="Times New Roman" w:cs="Times New Roman"/>
          <w:bCs/>
          <w:sz w:val="32"/>
          <w:szCs w:val="32"/>
          <w:lang w:val="en-IN"/>
        </w:rPr>
        <w:lastRenderedPageBreak/>
        <w:t>This is in contrast with th</w:t>
      </w:r>
      <w:r w:rsidRPr="00F11D1C">
        <w:rPr>
          <w:rFonts w:ascii="Times New Roman" w:hAnsi="Times New Roman" w:cs="Times New Roman"/>
          <w:bCs/>
          <w:sz w:val="32"/>
          <w:szCs w:val="32"/>
          <w:lang w:val="en-IN"/>
        </w:rPr>
        <w:t>e designs from, which suffer from the offset issues induced by the op-amp. In view of D2D variation, the obtained process sensitivity is 5% because it comes from the combined accuracy of the compensation voltage and the sense resistor.</w:t>
      </w:r>
    </w:p>
    <w:p w:rsidR="00F94960" w:rsidRPr="00F11D1C" w:rsidRDefault="002E02FA" w:rsidP="00E53AA4">
      <w:pPr>
        <w:numPr>
          <w:ilvl w:val="0"/>
          <w:numId w:val="45"/>
        </w:numPr>
        <w:spacing w:line="360" w:lineRule="auto"/>
        <w:jc w:val="both"/>
        <w:rPr>
          <w:rFonts w:ascii="Times New Roman" w:hAnsi="Times New Roman" w:cs="Times New Roman"/>
          <w:bCs/>
          <w:sz w:val="32"/>
          <w:szCs w:val="32"/>
          <w:lang w:val="en-IN"/>
        </w:rPr>
      </w:pPr>
      <w:r w:rsidRPr="00F11D1C">
        <w:rPr>
          <w:rFonts w:ascii="Times New Roman" w:hAnsi="Times New Roman" w:cs="Times New Roman"/>
          <w:bCs/>
          <w:sz w:val="32"/>
          <w:szCs w:val="32"/>
          <w:lang w:val="en-IN"/>
        </w:rPr>
        <w:t>Turning to the powe</w:t>
      </w:r>
      <w:r w:rsidRPr="00F11D1C">
        <w:rPr>
          <w:rFonts w:ascii="Times New Roman" w:hAnsi="Times New Roman" w:cs="Times New Roman"/>
          <w:bCs/>
          <w:sz w:val="32"/>
          <w:szCs w:val="32"/>
          <w:lang w:val="en-IN"/>
        </w:rPr>
        <w:t>r consumption issue, it is often regarded as the performance trade</w:t>
      </w:r>
      <w:r w:rsidR="00F11D1C">
        <w:rPr>
          <w:rFonts w:ascii="Times New Roman" w:hAnsi="Times New Roman" w:cs="Times New Roman"/>
          <w:bCs/>
          <w:sz w:val="32"/>
          <w:szCs w:val="32"/>
          <w:lang w:val="en-IN"/>
        </w:rPr>
        <w:t xml:space="preserve"> </w:t>
      </w:r>
      <w:r w:rsidRPr="00F11D1C">
        <w:rPr>
          <w:rFonts w:ascii="Times New Roman" w:hAnsi="Times New Roman" w:cs="Times New Roman"/>
          <w:bCs/>
          <w:sz w:val="32"/>
          <w:szCs w:val="32"/>
          <w:lang w:val="en-IN"/>
        </w:rPr>
        <w:t>off parameter.</w:t>
      </w:r>
      <w:r w:rsidRPr="00F11D1C">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7233F" w:rsidRPr="0017233F" w:rsidRDefault="0017233F" w:rsidP="0017233F">
      <w:pPr>
        <w:pStyle w:val="NormalWeb"/>
        <w:numPr>
          <w:ilvl w:val="0"/>
          <w:numId w:val="46"/>
        </w:numPr>
        <w:spacing w:before="0" w:beforeAutospacing="0" w:after="0" w:afterAutospacing="0" w:line="360" w:lineRule="auto"/>
        <w:ind w:left="426"/>
        <w:jc w:val="both"/>
        <w:rPr>
          <w:sz w:val="32"/>
          <w:szCs w:val="32"/>
        </w:rPr>
      </w:pPr>
      <w:r w:rsidRPr="0017233F">
        <w:rPr>
          <w:sz w:val="32"/>
          <w:szCs w:val="32"/>
        </w:rPr>
        <w:t>The proposed reference voltage by the BGR circuit can also be minimized to the diode voltage level if the supply voltage is reduced to the same level.</w:t>
      </w:r>
    </w:p>
    <w:p w:rsidR="0017233F" w:rsidRPr="0017233F" w:rsidRDefault="0017233F" w:rsidP="0017233F">
      <w:pPr>
        <w:pStyle w:val="NormalWeb"/>
        <w:numPr>
          <w:ilvl w:val="0"/>
          <w:numId w:val="46"/>
        </w:numPr>
        <w:spacing w:before="0" w:beforeAutospacing="0" w:after="0" w:afterAutospacing="0" w:line="360" w:lineRule="auto"/>
        <w:ind w:left="426"/>
        <w:jc w:val="both"/>
        <w:rPr>
          <w:sz w:val="32"/>
          <w:szCs w:val="32"/>
        </w:rPr>
      </w:pPr>
      <w:r w:rsidRPr="0017233F">
        <w:rPr>
          <w:sz w:val="32"/>
          <w:szCs w:val="32"/>
        </w:rPr>
        <w:t>The proposed design achieves a low chip area, a higher temperature range and reasonable TC and PSRR.</w:t>
      </w:r>
    </w:p>
    <w:p w:rsidR="0017233F" w:rsidRPr="0017233F" w:rsidRDefault="0017233F" w:rsidP="0017233F">
      <w:pPr>
        <w:pStyle w:val="NormalWeb"/>
        <w:numPr>
          <w:ilvl w:val="0"/>
          <w:numId w:val="46"/>
        </w:numPr>
        <w:spacing w:before="0" w:beforeAutospacing="0" w:after="0" w:afterAutospacing="0" w:line="360" w:lineRule="auto"/>
        <w:ind w:left="426"/>
        <w:jc w:val="both"/>
        <w:rPr>
          <w:sz w:val="32"/>
          <w:szCs w:val="32"/>
        </w:rPr>
      </w:pPr>
      <w:r w:rsidRPr="0017233F">
        <w:rPr>
          <w:sz w:val="32"/>
          <w:szCs w:val="32"/>
        </w:rPr>
        <w:t>The proposed circuit with pre-regulator will increase the immunity against the supply variation from dc to high frequencies.</w:t>
      </w:r>
    </w:p>
    <w:p w:rsidR="0017233F" w:rsidRPr="0017233F" w:rsidRDefault="0017233F" w:rsidP="0017233F">
      <w:pPr>
        <w:pStyle w:val="NormalWeb"/>
        <w:numPr>
          <w:ilvl w:val="0"/>
          <w:numId w:val="46"/>
        </w:numPr>
        <w:spacing w:before="0" w:beforeAutospacing="0" w:after="0" w:afterAutospacing="0" w:line="360" w:lineRule="auto"/>
        <w:ind w:left="426"/>
        <w:jc w:val="both"/>
        <w:rPr>
          <w:sz w:val="32"/>
          <w:szCs w:val="32"/>
        </w:rPr>
      </w:pPr>
      <w:r w:rsidRPr="0017233F">
        <w:rPr>
          <w:sz w:val="32"/>
          <w:szCs w:val="32"/>
        </w:rPr>
        <w:t xml:space="preserve">A low T.C. current reference with PVT insensitivity and wide temperature range in 65-nm CMOS technology is proposed. </w:t>
      </w:r>
    </w:p>
    <w:p w:rsidR="00BB3207" w:rsidRDefault="0017233F" w:rsidP="0017233F">
      <w:pPr>
        <w:pStyle w:val="NormalWeb"/>
        <w:numPr>
          <w:ilvl w:val="0"/>
          <w:numId w:val="46"/>
        </w:numPr>
        <w:spacing w:before="0" w:beforeAutospacing="0" w:after="0" w:afterAutospacing="0" w:line="360" w:lineRule="auto"/>
        <w:ind w:left="426"/>
        <w:jc w:val="both"/>
        <w:rPr>
          <w:sz w:val="32"/>
          <w:szCs w:val="32"/>
        </w:rPr>
      </w:pPr>
      <w:r w:rsidRPr="0017233F">
        <w:rPr>
          <w:sz w:val="32"/>
          <w:szCs w:val="32"/>
        </w:rPr>
        <w:t>Those designs, that deal with the first-order temperature effect from the on-chip resistors, the proposed circuit takes into account the second-order temperature effect.</w:t>
      </w:r>
    </w:p>
    <w:p w:rsidR="00675E42" w:rsidRDefault="00675E42" w:rsidP="00E53AA4">
      <w:pPr>
        <w:pStyle w:val="NormalWeb"/>
        <w:spacing w:before="0" w:beforeAutospacing="0" w:after="0" w:afterAutospacing="0" w:line="360" w:lineRule="auto"/>
        <w:jc w:val="both"/>
        <w:rPr>
          <w:b/>
          <w:sz w:val="40"/>
          <w:szCs w:val="40"/>
        </w:rPr>
      </w:pPr>
    </w:p>
    <w:p w:rsidR="00675E42" w:rsidRDefault="00675E42" w:rsidP="00E53AA4">
      <w:pPr>
        <w:pStyle w:val="NormalWeb"/>
        <w:spacing w:before="0" w:beforeAutospacing="0" w:after="0" w:afterAutospacing="0" w:line="360" w:lineRule="auto"/>
        <w:jc w:val="both"/>
        <w:rPr>
          <w:b/>
          <w:sz w:val="40"/>
          <w:szCs w:val="40"/>
        </w:rPr>
      </w:pPr>
    </w:p>
    <w:p w:rsidR="00675E42" w:rsidRDefault="00675E4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75E42" w:rsidRDefault="002E02FA" w:rsidP="00675E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5E42">
        <w:rPr>
          <w:rFonts w:ascii="Times New Roman" w:eastAsia="AdvGulliv-R" w:hAnsi="Times New Roman" w:cs="Times New Roman"/>
          <w:bCs/>
          <w:sz w:val="32"/>
          <w:szCs w:val="32"/>
          <w:lang w:val="en-IN"/>
        </w:rPr>
        <w:t>The thermal drift over the temperature range is quite small and within 5 nA, de</w:t>
      </w:r>
      <w:r w:rsidRPr="00675E42">
        <w:rPr>
          <w:rFonts w:ascii="Times New Roman" w:eastAsia="AdvGulliv-R" w:hAnsi="Times New Roman" w:cs="Times New Roman"/>
          <w:bCs/>
          <w:sz w:val="32"/>
          <w:szCs w:val="32"/>
          <w:lang w:val="en-IN"/>
        </w:rPr>
        <w:t>monstrating that the proposed temperature compensation method permits a low T.C. performance metric.</w:t>
      </w:r>
    </w:p>
    <w:p w:rsidR="00000000" w:rsidRPr="00675E42" w:rsidRDefault="002E02FA" w:rsidP="00675E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5E42">
        <w:rPr>
          <w:rFonts w:ascii="Times New Roman" w:eastAsia="AdvGulliv-R" w:hAnsi="Times New Roman" w:cs="Times New Roman"/>
          <w:bCs/>
          <w:sz w:val="32"/>
          <w:szCs w:val="32"/>
          <w:lang w:val="en-IN"/>
        </w:rPr>
        <w:t>This paper achieves the best performance in terms of line sensitivity in comparison with the other works except for, in which it benefits from a high supp</w:t>
      </w:r>
      <w:r w:rsidRPr="00675E42">
        <w:rPr>
          <w:rFonts w:ascii="Times New Roman" w:eastAsia="AdvGulliv-R" w:hAnsi="Times New Roman" w:cs="Times New Roman"/>
          <w:bCs/>
          <w:sz w:val="32"/>
          <w:szCs w:val="32"/>
          <w:lang w:val="en-IN"/>
        </w:rPr>
        <w:t>ly voltage architecture.</w:t>
      </w:r>
    </w:p>
    <w:p w:rsidR="00000000" w:rsidRPr="00675E42" w:rsidRDefault="002E02FA" w:rsidP="00675E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5E42">
        <w:rPr>
          <w:rFonts w:ascii="Times New Roman" w:eastAsia="AdvGulliv-R" w:hAnsi="Times New Roman" w:cs="Times New Roman"/>
          <w:bCs/>
          <w:sz w:val="32"/>
          <w:szCs w:val="32"/>
          <w:lang w:val="en-IN"/>
        </w:rPr>
        <w:t>In particular, it has a lower power consumption except for, which focus on a very low-power circuit design at the expense of a higher T.C. performance metric.</w:t>
      </w:r>
    </w:p>
    <w:p w:rsidR="00000000" w:rsidRPr="00675E42" w:rsidRDefault="002E02FA" w:rsidP="00675E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5E42">
        <w:rPr>
          <w:rFonts w:ascii="Times New Roman" w:eastAsia="AdvGulliv-R" w:hAnsi="Times New Roman" w:cs="Times New Roman"/>
          <w:bCs/>
          <w:sz w:val="32"/>
          <w:szCs w:val="32"/>
          <w:lang w:val="en-IN"/>
        </w:rPr>
        <w:t>This paper can offer good FOM values while providing a good balance in</w:t>
      </w:r>
      <w:r w:rsidRPr="00675E42">
        <w:rPr>
          <w:rFonts w:ascii="Times New Roman" w:eastAsia="AdvGulliv-R" w:hAnsi="Times New Roman" w:cs="Times New Roman"/>
          <w:bCs/>
          <w:sz w:val="32"/>
          <w:szCs w:val="32"/>
          <w:lang w:val="en-IN"/>
        </w:rPr>
        <w:t xml:space="preserve"> the performance metrics like low power consumption and reduced PVT variation.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A CMOS temperature compensated current reference</w:t>
            </w:r>
          </w:p>
        </w:tc>
        <w:tc>
          <w:tcPr>
            <w:tcW w:w="3192" w:type="dxa"/>
          </w:tcPr>
          <w:p w:rsidR="000C407B" w:rsidRPr="0010161A" w:rsidRDefault="0010161A" w:rsidP="0010161A">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 xml:space="preserve">W. M. Sansen, F. Op’t Eynde, and M. Steyaert, </w:t>
            </w:r>
          </w:p>
        </w:tc>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A temperature-compensated current reference for CMOS integrated circuits based on a MOSFET as current-defining element, is described.</w:t>
            </w:r>
          </w:p>
        </w:tc>
      </w:tr>
      <w:tr w:rsidR="000C407B" w:rsidTr="000C407B">
        <w:trPr>
          <w:trHeight w:val="2942"/>
        </w:trPr>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lastRenderedPageBreak/>
              <w:t>CMOS current reference without resistance</w:t>
            </w:r>
          </w:p>
        </w:tc>
        <w:tc>
          <w:tcPr>
            <w:tcW w:w="3192" w:type="dxa"/>
          </w:tcPr>
          <w:p w:rsidR="000C407B" w:rsidRPr="0010161A" w:rsidRDefault="0010161A" w:rsidP="0010161A">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H. J. Oguey and D. Aebischer,</w:t>
            </w:r>
          </w:p>
        </w:tc>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A micropower current reference in the range of 1 to 100 nA is built with CMOS transistors only, featuring low sensitivity with respect to technology and temperature.</w:t>
            </w:r>
          </w:p>
        </w:tc>
      </w:tr>
      <w:tr w:rsidR="000C407B" w:rsidTr="000C407B">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A 2-nW 1.1-V self-biased current reference in CMOS technology</w:t>
            </w:r>
          </w:p>
        </w:tc>
        <w:tc>
          <w:tcPr>
            <w:tcW w:w="3192" w:type="dxa"/>
          </w:tcPr>
          <w:p w:rsidR="000C407B" w:rsidRPr="0010161A" w:rsidRDefault="0010161A" w:rsidP="0010161A">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 xml:space="preserve">E. M. Camacho-Galeano, C. Galup-Montoro, and M. C. Schneider, </w:t>
            </w:r>
          </w:p>
        </w:tc>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We propose the use of a very simple topology along with a design methodology based on the concept of inversion level.</w:t>
            </w:r>
          </w:p>
        </w:tc>
      </w:tr>
      <w:tr w:rsidR="000C407B" w:rsidTr="000C407B">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A new compact temperature-compensated CMOS current reference</w:t>
            </w:r>
          </w:p>
        </w:tc>
        <w:tc>
          <w:tcPr>
            <w:tcW w:w="3192" w:type="dxa"/>
          </w:tcPr>
          <w:p w:rsidR="000C407B" w:rsidRPr="0010161A" w:rsidRDefault="0010161A" w:rsidP="0010161A">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 xml:space="preserve">F. Fiori and P. S. Crovetti, </w:t>
            </w:r>
          </w:p>
        </w:tc>
        <w:tc>
          <w:tcPr>
            <w:tcW w:w="3192" w:type="dxa"/>
          </w:tcPr>
          <w:p w:rsidR="000C407B" w:rsidRPr="0010161A" w:rsidRDefault="0010161A" w:rsidP="00E53AA4">
            <w:pPr>
              <w:tabs>
                <w:tab w:val="left" w:pos="720"/>
              </w:tabs>
              <w:spacing w:after="100" w:line="360" w:lineRule="auto"/>
              <w:jc w:val="both"/>
              <w:rPr>
                <w:rFonts w:ascii="Times New Roman" w:hAnsi="Times New Roman" w:cs="Times New Roman"/>
                <w:sz w:val="28"/>
                <w:szCs w:val="28"/>
              </w:rPr>
            </w:pPr>
            <w:r w:rsidRPr="0010161A">
              <w:rPr>
                <w:rFonts w:ascii="Times New Roman" w:hAnsi="Times New Roman" w:cs="Times New Roman"/>
                <w:sz w:val="28"/>
                <w:szCs w:val="28"/>
              </w:rPr>
              <w:t>The operation principle of the new circuits is described and the relationships between design and technology process parameters are derived.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48276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8276A" w:rsidP="00E53AA4">
      <w:pPr>
        <w:spacing w:after="0" w:line="360" w:lineRule="auto"/>
        <w:jc w:val="both"/>
        <w:rPr>
          <w:rFonts w:ascii="Times New Roman" w:hAnsi="Times New Roman" w:cs="Times New Roman"/>
        </w:rPr>
      </w:pPr>
      <w:r w:rsidRPr="0048276A">
        <w:rPr>
          <w:rFonts w:ascii="Times New Roman" w:hAnsi="Times New Roman" w:cs="Times New Roman"/>
        </w:rPr>
        <w:drawing>
          <wp:inline distT="0" distB="0" distL="0" distR="0">
            <wp:extent cx="5943600" cy="43408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4086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48276A" w:rsidRDefault="0048276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60E21" w:rsidRPr="00960E21" w:rsidRDefault="00960E21" w:rsidP="00960E21">
      <w:pPr>
        <w:pStyle w:val="BodyText"/>
        <w:rPr>
          <w:bCs/>
          <w:iCs/>
          <w:sz w:val="32"/>
          <w:szCs w:val="32"/>
          <w:lang w:val="en-IN"/>
        </w:rPr>
      </w:pPr>
      <w:r w:rsidRPr="00960E21">
        <w:rPr>
          <w:bCs/>
          <w:iCs/>
          <w:sz w:val="32"/>
          <w:szCs w:val="32"/>
          <w:lang w:val="en-IN"/>
        </w:rPr>
        <w:t xml:space="preserve">     A low-power constant current reference in the 65-nm CMOS is proposed. By matching the temperature characteristic of the dedicated reference compensation voltage with that of the output sense resistor in the op-amp-less VI converter, a constant current reference with lower T.C. over the operating temperature range and relatively lower sensitivity to the total PVT are achieved. With the embedded preregulator, the current reference gives good line sensitivity. The current reference offers one of the lowest values of the sensitivity FOM with respect to reported counterparts.</w:t>
      </w:r>
      <w:r w:rsidRPr="00960E2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960E21" w:rsidRDefault="00960E21" w:rsidP="00E53AA4">
      <w:pPr>
        <w:pStyle w:val="BodyText"/>
        <w:rPr>
          <w:b/>
          <w:iCs/>
          <w:sz w:val="28"/>
          <w:szCs w:val="28"/>
        </w:rPr>
      </w:pPr>
    </w:p>
    <w:p w:rsidR="00370D47" w:rsidRPr="003C0F6F" w:rsidRDefault="00370D47" w:rsidP="00960E21">
      <w:pPr>
        <w:pStyle w:val="BodyText"/>
        <w:jc w:val="center"/>
        <w:rPr>
          <w:b/>
          <w:iCs/>
          <w:sz w:val="40"/>
          <w:szCs w:val="40"/>
        </w:rPr>
      </w:pPr>
      <w:r w:rsidRPr="003C0F6F">
        <w:rPr>
          <w:b/>
          <w:iCs/>
          <w:sz w:val="40"/>
          <w:szCs w:val="40"/>
        </w:rPr>
        <w:lastRenderedPageBreak/>
        <w:t>CHAPTER-6</w:t>
      </w:r>
    </w:p>
    <w:p w:rsidR="00C02F10" w:rsidRDefault="00FE3487" w:rsidP="00960E21">
      <w:pPr>
        <w:pStyle w:val="BodyText"/>
        <w:jc w:val="center"/>
        <w:rPr>
          <w:b/>
          <w:iCs/>
          <w:sz w:val="40"/>
          <w:szCs w:val="40"/>
        </w:rPr>
      </w:pPr>
      <w:r w:rsidRPr="003C0F6F">
        <w:rPr>
          <w:b/>
          <w:iCs/>
          <w:sz w:val="40"/>
          <w:szCs w:val="40"/>
        </w:rPr>
        <w:t>REFERENCE</w:t>
      </w:r>
    </w:p>
    <w:p w:rsidR="00000000" w:rsidRPr="006760CD" w:rsidRDefault="002E02FA" w:rsidP="006760CD">
      <w:pPr>
        <w:pStyle w:val="BodyText"/>
        <w:numPr>
          <w:ilvl w:val="0"/>
          <w:numId w:val="42"/>
        </w:numPr>
        <w:rPr>
          <w:sz w:val="32"/>
          <w:szCs w:val="32"/>
          <w:lang w:val="en-IN"/>
        </w:rPr>
      </w:pPr>
      <w:r w:rsidRPr="006760CD">
        <w:rPr>
          <w:sz w:val="32"/>
          <w:szCs w:val="32"/>
          <w:lang w:val="en-IN"/>
        </w:rPr>
        <w:t>[1] C.-H. Lee and H.-J. Park, “All-CMOS temperature independent current reference,” Electron. Lett.,</w:t>
      </w:r>
      <w:r w:rsidRPr="006760CD">
        <w:rPr>
          <w:sz w:val="32"/>
          <w:szCs w:val="32"/>
          <w:lang w:val="en-IN"/>
        </w:rPr>
        <w:t xml:space="preserve"> vol. 32, no. 14, pp. 1280–1281, Jul. 1996. </w:t>
      </w:r>
    </w:p>
    <w:p w:rsidR="00000000" w:rsidRPr="006760CD" w:rsidRDefault="002E02FA" w:rsidP="006760CD">
      <w:pPr>
        <w:pStyle w:val="BodyText"/>
        <w:numPr>
          <w:ilvl w:val="0"/>
          <w:numId w:val="42"/>
        </w:numPr>
        <w:rPr>
          <w:sz w:val="32"/>
          <w:szCs w:val="32"/>
          <w:lang w:val="en-IN"/>
        </w:rPr>
      </w:pPr>
      <w:r w:rsidRPr="006760CD">
        <w:rPr>
          <w:sz w:val="32"/>
          <w:szCs w:val="32"/>
          <w:lang w:val="en-IN"/>
        </w:rPr>
        <w:t xml:space="preserve">[2] W. M. Sansen, F. Op’t Eynde, and M. Steyaert, “A CMOS temperaturecompensated current reference,” IEEE J. Solid-State Circuits, vol. 23, no. 3, pp. 821–824, Jun. 1988. </w:t>
      </w:r>
    </w:p>
    <w:p w:rsidR="00000000" w:rsidRPr="006760CD" w:rsidRDefault="002E02FA" w:rsidP="006760CD">
      <w:pPr>
        <w:pStyle w:val="BodyText"/>
        <w:numPr>
          <w:ilvl w:val="0"/>
          <w:numId w:val="42"/>
        </w:numPr>
        <w:rPr>
          <w:sz w:val="32"/>
          <w:szCs w:val="32"/>
          <w:lang w:val="en-IN"/>
        </w:rPr>
      </w:pPr>
      <w:r w:rsidRPr="006760CD">
        <w:rPr>
          <w:sz w:val="32"/>
          <w:szCs w:val="32"/>
          <w:lang w:val="en-IN"/>
        </w:rPr>
        <w:t>[3] H. J. Oguey and D. Aebischer, “CM</w:t>
      </w:r>
      <w:r w:rsidRPr="006760CD">
        <w:rPr>
          <w:sz w:val="32"/>
          <w:szCs w:val="32"/>
          <w:lang w:val="en-IN"/>
        </w:rPr>
        <w:t xml:space="preserve">OS current reference without resistance,” IEEE J. Solid-State Circuits, vol. 32, no. 7, pp. 1132–1135, Jul. 1997. </w:t>
      </w:r>
    </w:p>
    <w:p w:rsidR="00000000" w:rsidRPr="006760CD" w:rsidRDefault="002E02FA" w:rsidP="006760CD">
      <w:pPr>
        <w:pStyle w:val="BodyText"/>
        <w:numPr>
          <w:ilvl w:val="0"/>
          <w:numId w:val="42"/>
        </w:numPr>
        <w:rPr>
          <w:sz w:val="32"/>
          <w:szCs w:val="32"/>
          <w:lang w:val="en-IN"/>
        </w:rPr>
      </w:pPr>
      <w:r w:rsidRPr="006760CD">
        <w:rPr>
          <w:sz w:val="32"/>
          <w:szCs w:val="32"/>
          <w:lang w:val="en-IN"/>
        </w:rPr>
        <w:t>[4] E. M. Camacho-Galeano, C. Galup-Montoro, and M. C. Schneider, “A 2-nW 1.1-V self-biased current reference in CMOS technology,” IEEE Tran</w:t>
      </w:r>
      <w:r w:rsidRPr="006760CD">
        <w:rPr>
          <w:sz w:val="32"/>
          <w:szCs w:val="32"/>
          <w:lang w:val="en-IN"/>
        </w:rPr>
        <w:t xml:space="preserve">s. Circuits Syst. II, Express Briefs, vol. 52, no. 2, pp. 61–65, Feb. 2005. </w:t>
      </w:r>
    </w:p>
    <w:p w:rsidR="00000000" w:rsidRPr="006760CD" w:rsidRDefault="002E02FA" w:rsidP="006760CD">
      <w:pPr>
        <w:pStyle w:val="BodyText"/>
        <w:numPr>
          <w:ilvl w:val="0"/>
          <w:numId w:val="42"/>
        </w:numPr>
        <w:rPr>
          <w:sz w:val="32"/>
          <w:szCs w:val="32"/>
          <w:lang w:val="en-IN"/>
        </w:rPr>
      </w:pPr>
      <w:r w:rsidRPr="006760CD">
        <w:rPr>
          <w:sz w:val="32"/>
          <w:szCs w:val="32"/>
          <w:lang w:val="en-IN"/>
        </w:rPr>
        <w:t>[5] F. Fiori and P. S. Crovetti, “A new compact temperature-compensated CMOS current reference,” IEEE Trans. Circuits Syst. II, Express Briefs, vol. 52, no. 11, pp. 724–728, Nov.</w:t>
      </w:r>
      <w:r w:rsidRPr="006760CD">
        <w:rPr>
          <w:sz w:val="32"/>
          <w:szCs w:val="32"/>
          <w:lang w:val="en-IN"/>
        </w:rPr>
        <w:t xml:space="preserve"> 2005.</w:t>
      </w:r>
      <w:r w:rsidRPr="006760CD">
        <w:rPr>
          <w:sz w:val="32"/>
          <w:szCs w:val="32"/>
        </w:rPr>
        <w:t xml:space="preserve"> </w:t>
      </w:r>
    </w:p>
    <w:p w:rsidR="00000000" w:rsidRPr="006760CD" w:rsidRDefault="002E02FA" w:rsidP="006760CD">
      <w:pPr>
        <w:pStyle w:val="BodyText"/>
        <w:numPr>
          <w:ilvl w:val="0"/>
          <w:numId w:val="42"/>
        </w:numPr>
        <w:rPr>
          <w:sz w:val="32"/>
          <w:szCs w:val="32"/>
          <w:lang w:val="en-IN"/>
        </w:rPr>
      </w:pPr>
      <w:r w:rsidRPr="006760CD">
        <w:rPr>
          <w:sz w:val="32"/>
          <w:szCs w:val="32"/>
          <w:lang w:val="en-IN"/>
        </w:rPr>
        <w:t xml:space="preserve">[6] A. Bendali and Y. Audet, “A 1-V CMOS current reference with temperature and process compensation,” IEEE Trans. Circuits Syst. I, Reg. Papers, vol. 54, no. 7, pp. 1424–1429, Jul. 2007. </w:t>
      </w:r>
    </w:p>
    <w:p w:rsidR="00000000" w:rsidRPr="006760CD" w:rsidRDefault="002E02FA" w:rsidP="006760CD">
      <w:pPr>
        <w:pStyle w:val="BodyText"/>
        <w:numPr>
          <w:ilvl w:val="0"/>
          <w:numId w:val="42"/>
        </w:numPr>
        <w:rPr>
          <w:sz w:val="32"/>
          <w:szCs w:val="32"/>
          <w:lang w:val="en-IN"/>
        </w:rPr>
      </w:pPr>
      <w:r w:rsidRPr="006760CD">
        <w:rPr>
          <w:sz w:val="32"/>
          <w:szCs w:val="32"/>
          <w:lang w:val="en-IN"/>
        </w:rPr>
        <w:t xml:space="preserve">[7] K. Ueno et al., “A 46-ppm/°C temperature and process </w:t>
      </w:r>
      <w:r w:rsidRPr="006760CD">
        <w:rPr>
          <w:sz w:val="32"/>
          <w:szCs w:val="32"/>
          <w:lang w:val="en-IN"/>
        </w:rPr>
        <w:t xml:space="preserve">compensated current reference with on-chip threshold voltage </w:t>
      </w:r>
      <w:r w:rsidRPr="006760CD">
        <w:rPr>
          <w:sz w:val="32"/>
          <w:szCs w:val="32"/>
          <w:lang w:val="en-IN"/>
        </w:rPr>
        <w:lastRenderedPageBreak/>
        <w:t xml:space="preserve">monitoring circuit,” in Proc. IEEE Asian Solid-S tate Circuits Conf., Nov. 2008, pp. 161–164. </w:t>
      </w:r>
    </w:p>
    <w:p w:rsidR="00000000" w:rsidRPr="006760CD" w:rsidRDefault="002E02FA" w:rsidP="006760CD">
      <w:pPr>
        <w:pStyle w:val="BodyText"/>
        <w:numPr>
          <w:ilvl w:val="0"/>
          <w:numId w:val="42"/>
        </w:numPr>
        <w:rPr>
          <w:sz w:val="32"/>
          <w:szCs w:val="32"/>
          <w:lang w:val="en-IN"/>
        </w:rPr>
      </w:pPr>
      <w:r w:rsidRPr="006760CD">
        <w:rPr>
          <w:sz w:val="32"/>
          <w:szCs w:val="32"/>
          <w:lang w:val="en-IN"/>
        </w:rPr>
        <w:t>[8] K. Ueno, T. Hirose, T. Asai, and Y. Amemiya, “A 1-</w:t>
      </w:r>
      <w:r w:rsidRPr="006760CD">
        <w:rPr>
          <w:sz w:val="32"/>
          <w:szCs w:val="32"/>
          <w:lang w:val="el-GR"/>
        </w:rPr>
        <w:t>μ</w:t>
      </w:r>
      <w:r w:rsidRPr="006760CD">
        <w:rPr>
          <w:sz w:val="32"/>
          <w:szCs w:val="32"/>
          <w:lang w:val="en-IN"/>
        </w:rPr>
        <w:t xml:space="preserve">W </w:t>
      </w:r>
      <w:r w:rsidRPr="006760CD">
        <w:rPr>
          <w:sz w:val="32"/>
          <w:szCs w:val="32"/>
          <w:lang w:val="en-IN"/>
        </w:rPr>
        <w:t xml:space="preserve">600-ppm/°C current reference circuit consisting of subthreshold CMOS circuits,” IEEE Trans. Circuits Syst. II Express Briefs, vol. 57, no. 9, pp. 681–685, Sep. 2010. </w:t>
      </w:r>
    </w:p>
    <w:p w:rsidR="00000000" w:rsidRPr="006760CD" w:rsidRDefault="002E02FA" w:rsidP="006760CD">
      <w:pPr>
        <w:pStyle w:val="BodyText"/>
        <w:numPr>
          <w:ilvl w:val="0"/>
          <w:numId w:val="42"/>
        </w:numPr>
        <w:rPr>
          <w:sz w:val="32"/>
          <w:szCs w:val="32"/>
          <w:lang w:val="en-IN"/>
        </w:rPr>
      </w:pPr>
      <w:r w:rsidRPr="006760CD">
        <w:rPr>
          <w:sz w:val="32"/>
          <w:szCs w:val="32"/>
          <w:lang w:val="en-IN"/>
        </w:rPr>
        <w:t xml:space="preserve">[9] H. Kayahan, O. Ceylan, M. Yazici, S. Zihir, and Y. Gurbuz, “Wide range, process and </w:t>
      </w:r>
      <w:r w:rsidRPr="006760CD">
        <w:rPr>
          <w:sz w:val="32"/>
          <w:szCs w:val="32"/>
          <w:lang w:val="en-IN"/>
        </w:rPr>
        <w:t xml:space="preserve">temperature compensated voltage controlled current source,” IEEE Trans. Circuits Syst. I, Reg. Papers, vol. 60, no. 5, pp. 1345–1353, May 2013. </w:t>
      </w:r>
    </w:p>
    <w:p w:rsidR="00000000" w:rsidRPr="006760CD" w:rsidRDefault="002E02FA" w:rsidP="006760CD">
      <w:pPr>
        <w:pStyle w:val="BodyText"/>
        <w:numPr>
          <w:ilvl w:val="0"/>
          <w:numId w:val="42"/>
        </w:numPr>
        <w:rPr>
          <w:sz w:val="32"/>
          <w:szCs w:val="32"/>
          <w:lang w:val="en-IN"/>
        </w:rPr>
      </w:pPr>
      <w:r w:rsidRPr="006760CD">
        <w:rPr>
          <w:sz w:val="32"/>
          <w:szCs w:val="32"/>
          <w:lang w:val="en-IN"/>
        </w:rPr>
        <w:t>[10] C. Yoo and J. Park, “CMOS current reference with supply and temperature compensation,” Electron. Lett., v</w:t>
      </w:r>
      <w:r w:rsidRPr="006760CD">
        <w:rPr>
          <w:sz w:val="32"/>
          <w:szCs w:val="32"/>
          <w:lang w:val="en-IN"/>
        </w:rPr>
        <w:t xml:space="preserve">ol. 43, no. 25, pp. 1422–1424, Dec.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02FA" w:rsidRDefault="002E02FA" w:rsidP="003654DF">
      <w:pPr>
        <w:spacing w:after="0" w:line="240" w:lineRule="auto"/>
      </w:pPr>
      <w:r>
        <w:separator/>
      </w:r>
    </w:p>
  </w:endnote>
  <w:endnote w:type="continuationSeparator" w:id="1">
    <w:p w:rsidR="002E02FA" w:rsidRDefault="002E02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02FA" w:rsidRDefault="002E02FA" w:rsidP="003654DF">
      <w:pPr>
        <w:spacing w:after="0" w:line="240" w:lineRule="auto"/>
      </w:pPr>
      <w:r>
        <w:separator/>
      </w:r>
    </w:p>
  </w:footnote>
  <w:footnote w:type="continuationSeparator" w:id="1">
    <w:p w:rsidR="002E02FA" w:rsidRDefault="002E02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96B30">
        <w:pPr>
          <w:pStyle w:val="Header"/>
          <w:jc w:val="right"/>
        </w:pPr>
        <w:fldSimple w:instr=" PAGE   \* MERGEFORMAT ">
          <w:r w:rsidR="0048276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02272"/>
    <w:multiLevelType w:val="hybridMultilevel"/>
    <w:tmpl w:val="47AE53FE"/>
    <w:lvl w:ilvl="0" w:tplc="92F2B82A">
      <w:start w:val="1"/>
      <w:numFmt w:val="bullet"/>
      <w:lvlText w:val=""/>
      <w:lvlJc w:val="left"/>
      <w:pPr>
        <w:tabs>
          <w:tab w:val="num" w:pos="720"/>
        </w:tabs>
        <w:ind w:left="720" w:hanging="360"/>
      </w:pPr>
      <w:rPr>
        <w:rFonts w:ascii="Wingdings 2" w:hAnsi="Wingdings 2" w:hint="default"/>
      </w:rPr>
    </w:lvl>
    <w:lvl w:ilvl="1" w:tplc="B97ECDDE" w:tentative="1">
      <w:start w:val="1"/>
      <w:numFmt w:val="bullet"/>
      <w:lvlText w:val=""/>
      <w:lvlJc w:val="left"/>
      <w:pPr>
        <w:tabs>
          <w:tab w:val="num" w:pos="1440"/>
        </w:tabs>
        <w:ind w:left="1440" w:hanging="360"/>
      </w:pPr>
      <w:rPr>
        <w:rFonts w:ascii="Wingdings 2" w:hAnsi="Wingdings 2" w:hint="default"/>
      </w:rPr>
    </w:lvl>
    <w:lvl w:ilvl="2" w:tplc="50DC6CCA" w:tentative="1">
      <w:start w:val="1"/>
      <w:numFmt w:val="bullet"/>
      <w:lvlText w:val=""/>
      <w:lvlJc w:val="left"/>
      <w:pPr>
        <w:tabs>
          <w:tab w:val="num" w:pos="2160"/>
        </w:tabs>
        <w:ind w:left="2160" w:hanging="360"/>
      </w:pPr>
      <w:rPr>
        <w:rFonts w:ascii="Wingdings 2" w:hAnsi="Wingdings 2" w:hint="default"/>
      </w:rPr>
    </w:lvl>
    <w:lvl w:ilvl="3" w:tplc="F2D442B2" w:tentative="1">
      <w:start w:val="1"/>
      <w:numFmt w:val="bullet"/>
      <w:lvlText w:val=""/>
      <w:lvlJc w:val="left"/>
      <w:pPr>
        <w:tabs>
          <w:tab w:val="num" w:pos="2880"/>
        </w:tabs>
        <w:ind w:left="2880" w:hanging="360"/>
      </w:pPr>
      <w:rPr>
        <w:rFonts w:ascii="Wingdings 2" w:hAnsi="Wingdings 2" w:hint="default"/>
      </w:rPr>
    </w:lvl>
    <w:lvl w:ilvl="4" w:tplc="3A88F8AA" w:tentative="1">
      <w:start w:val="1"/>
      <w:numFmt w:val="bullet"/>
      <w:lvlText w:val=""/>
      <w:lvlJc w:val="left"/>
      <w:pPr>
        <w:tabs>
          <w:tab w:val="num" w:pos="3600"/>
        </w:tabs>
        <w:ind w:left="3600" w:hanging="360"/>
      </w:pPr>
      <w:rPr>
        <w:rFonts w:ascii="Wingdings 2" w:hAnsi="Wingdings 2" w:hint="default"/>
      </w:rPr>
    </w:lvl>
    <w:lvl w:ilvl="5" w:tplc="360CEB38" w:tentative="1">
      <w:start w:val="1"/>
      <w:numFmt w:val="bullet"/>
      <w:lvlText w:val=""/>
      <w:lvlJc w:val="left"/>
      <w:pPr>
        <w:tabs>
          <w:tab w:val="num" w:pos="4320"/>
        </w:tabs>
        <w:ind w:left="4320" w:hanging="360"/>
      </w:pPr>
      <w:rPr>
        <w:rFonts w:ascii="Wingdings 2" w:hAnsi="Wingdings 2" w:hint="default"/>
      </w:rPr>
    </w:lvl>
    <w:lvl w:ilvl="6" w:tplc="58D67312" w:tentative="1">
      <w:start w:val="1"/>
      <w:numFmt w:val="bullet"/>
      <w:lvlText w:val=""/>
      <w:lvlJc w:val="left"/>
      <w:pPr>
        <w:tabs>
          <w:tab w:val="num" w:pos="5040"/>
        </w:tabs>
        <w:ind w:left="5040" w:hanging="360"/>
      </w:pPr>
      <w:rPr>
        <w:rFonts w:ascii="Wingdings 2" w:hAnsi="Wingdings 2" w:hint="default"/>
      </w:rPr>
    </w:lvl>
    <w:lvl w:ilvl="7" w:tplc="F72E5490" w:tentative="1">
      <w:start w:val="1"/>
      <w:numFmt w:val="bullet"/>
      <w:lvlText w:val=""/>
      <w:lvlJc w:val="left"/>
      <w:pPr>
        <w:tabs>
          <w:tab w:val="num" w:pos="5760"/>
        </w:tabs>
        <w:ind w:left="5760" w:hanging="360"/>
      </w:pPr>
      <w:rPr>
        <w:rFonts w:ascii="Wingdings 2" w:hAnsi="Wingdings 2" w:hint="default"/>
      </w:rPr>
    </w:lvl>
    <w:lvl w:ilvl="8" w:tplc="70BC626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427675"/>
    <w:multiLevelType w:val="hybridMultilevel"/>
    <w:tmpl w:val="956CF962"/>
    <w:lvl w:ilvl="0" w:tplc="ADECA520">
      <w:start w:val="1"/>
      <w:numFmt w:val="bullet"/>
      <w:lvlText w:val=""/>
      <w:lvlJc w:val="left"/>
      <w:pPr>
        <w:tabs>
          <w:tab w:val="num" w:pos="720"/>
        </w:tabs>
        <w:ind w:left="720" w:hanging="360"/>
      </w:pPr>
      <w:rPr>
        <w:rFonts w:ascii="Wingdings 2" w:hAnsi="Wingdings 2" w:hint="default"/>
      </w:rPr>
    </w:lvl>
    <w:lvl w:ilvl="1" w:tplc="262228BE" w:tentative="1">
      <w:start w:val="1"/>
      <w:numFmt w:val="bullet"/>
      <w:lvlText w:val=""/>
      <w:lvlJc w:val="left"/>
      <w:pPr>
        <w:tabs>
          <w:tab w:val="num" w:pos="1440"/>
        </w:tabs>
        <w:ind w:left="1440" w:hanging="360"/>
      </w:pPr>
      <w:rPr>
        <w:rFonts w:ascii="Wingdings 2" w:hAnsi="Wingdings 2" w:hint="default"/>
      </w:rPr>
    </w:lvl>
    <w:lvl w:ilvl="2" w:tplc="56BE4630" w:tentative="1">
      <w:start w:val="1"/>
      <w:numFmt w:val="bullet"/>
      <w:lvlText w:val=""/>
      <w:lvlJc w:val="left"/>
      <w:pPr>
        <w:tabs>
          <w:tab w:val="num" w:pos="2160"/>
        </w:tabs>
        <w:ind w:left="2160" w:hanging="360"/>
      </w:pPr>
      <w:rPr>
        <w:rFonts w:ascii="Wingdings 2" w:hAnsi="Wingdings 2" w:hint="default"/>
      </w:rPr>
    </w:lvl>
    <w:lvl w:ilvl="3" w:tplc="F2C89424" w:tentative="1">
      <w:start w:val="1"/>
      <w:numFmt w:val="bullet"/>
      <w:lvlText w:val=""/>
      <w:lvlJc w:val="left"/>
      <w:pPr>
        <w:tabs>
          <w:tab w:val="num" w:pos="2880"/>
        </w:tabs>
        <w:ind w:left="2880" w:hanging="360"/>
      </w:pPr>
      <w:rPr>
        <w:rFonts w:ascii="Wingdings 2" w:hAnsi="Wingdings 2" w:hint="default"/>
      </w:rPr>
    </w:lvl>
    <w:lvl w:ilvl="4" w:tplc="B0A2B0FA" w:tentative="1">
      <w:start w:val="1"/>
      <w:numFmt w:val="bullet"/>
      <w:lvlText w:val=""/>
      <w:lvlJc w:val="left"/>
      <w:pPr>
        <w:tabs>
          <w:tab w:val="num" w:pos="3600"/>
        </w:tabs>
        <w:ind w:left="3600" w:hanging="360"/>
      </w:pPr>
      <w:rPr>
        <w:rFonts w:ascii="Wingdings 2" w:hAnsi="Wingdings 2" w:hint="default"/>
      </w:rPr>
    </w:lvl>
    <w:lvl w:ilvl="5" w:tplc="F1B8BCAA" w:tentative="1">
      <w:start w:val="1"/>
      <w:numFmt w:val="bullet"/>
      <w:lvlText w:val=""/>
      <w:lvlJc w:val="left"/>
      <w:pPr>
        <w:tabs>
          <w:tab w:val="num" w:pos="4320"/>
        </w:tabs>
        <w:ind w:left="4320" w:hanging="360"/>
      </w:pPr>
      <w:rPr>
        <w:rFonts w:ascii="Wingdings 2" w:hAnsi="Wingdings 2" w:hint="default"/>
      </w:rPr>
    </w:lvl>
    <w:lvl w:ilvl="6" w:tplc="63588546" w:tentative="1">
      <w:start w:val="1"/>
      <w:numFmt w:val="bullet"/>
      <w:lvlText w:val=""/>
      <w:lvlJc w:val="left"/>
      <w:pPr>
        <w:tabs>
          <w:tab w:val="num" w:pos="5040"/>
        </w:tabs>
        <w:ind w:left="5040" w:hanging="360"/>
      </w:pPr>
      <w:rPr>
        <w:rFonts w:ascii="Wingdings 2" w:hAnsi="Wingdings 2" w:hint="default"/>
      </w:rPr>
    </w:lvl>
    <w:lvl w:ilvl="7" w:tplc="384639B6" w:tentative="1">
      <w:start w:val="1"/>
      <w:numFmt w:val="bullet"/>
      <w:lvlText w:val=""/>
      <w:lvlJc w:val="left"/>
      <w:pPr>
        <w:tabs>
          <w:tab w:val="num" w:pos="5760"/>
        </w:tabs>
        <w:ind w:left="5760" w:hanging="360"/>
      </w:pPr>
      <w:rPr>
        <w:rFonts w:ascii="Wingdings 2" w:hAnsi="Wingdings 2" w:hint="default"/>
      </w:rPr>
    </w:lvl>
    <w:lvl w:ilvl="8" w:tplc="5BF2E2A4"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1E5CE8"/>
    <w:multiLevelType w:val="hybridMultilevel"/>
    <w:tmpl w:val="F5CE7210"/>
    <w:lvl w:ilvl="0" w:tplc="5234017A">
      <w:start w:val="1"/>
      <w:numFmt w:val="bullet"/>
      <w:lvlText w:val=""/>
      <w:lvlJc w:val="left"/>
      <w:pPr>
        <w:tabs>
          <w:tab w:val="num" w:pos="720"/>
        </w:tabs>
        <w:ind w:left="720" w:hanging="360"/>
      </w:pPr>
      <w:rPr>
        <w:rFonts w:ascii="Wingdings 2" w:hAnsi="Wingdings 2" w:hint="default"/>
      </w:rPr>
    </w:lvl>
    <w:lvl w:ilvl="1" w:tplc="F1E23248" w:tentative="1">
      <w:start w:val="1"/>
      <w:numFmt w:val="bullet"/>
      <w:lvlText w:val=""/>
      <w:lvlJc w:val="left"/>
      <w:pPr>
        <w:tabs>
          <w:tab w:val="num" w:pos="1440"/>
        </w:tabs>
        <w:ind w:left="1440" w:hanging="360"/>
      </w:pPr>
      <w:rPr>
        <w:rFonts w:ascii="Wingdings 2" w:hAnsi="Wingdings 2" w:hint="default"/>
      </w:rPr>
    </w:lvl>
    <w:lvl w:ilvl="2" w:tplc="7F9E36CE" w:tentative="1">
      <w:start w:val="1"/>
      <w:numFmt w:val="bullet"/>
      <w:lvlText w:val=""/>
      <w:lvlJc w:val="left"/>
      <w:pPr>
        <w:tabs>
          <w:tab w:val="num" w:pos="2160"/>
        </w:tabs>
        <w:ind w:left="2160" w:hanging="360"/>
      </w:pPr>
      <w:rPr>
        <w:rFonts w:ascii="Wingdings 2" w:hAnsi="Wingdings 2" w:hint="default"/>
      </w:rPr>
    </w:lvl>
    <w:lvl w:ilvl="3" w:tplc="F06870F2" w:tentative="1">
      <w:start w:val="1"/>
      <w:numFmt w:val="bullet"/>
      <w:lvlText w:val=""/>
      <w:lvlJc w:val="left"/>
      <w:pPr>
        <w:tabs>
          <w:tab w:val="num" w:pos="2880"/>
        </w:tabs>
        <w:ind w:left="2880" w:hanging="360"/>
      </w:pPr>
      <w:rPr>
        <w:rFonts w:ascii="Wingdings 2" w:hAnsi="Wingdings 2" w:hint="default"/>
      </w:rPr>
    </w:lvl>
    <w:lvl w:ilvl="4" w:tplc="7E448EE6" w:tentative="1">
      <w:start w:val="1"/>
      <w:numFmt w:val="bullet"/>
      <w:lvlText w:val=""/>
      <w:lvlJc w:val="left"/>
      <w:pPr>
        <w:tabs>
          <w:tab w:val="num" w:pos="3600"/>
        </w:tabs>
        <w:ind w:left="3600" w:hanging="360"/>
      </w:pPr>
      <w:rPr>
        <w:rFonts w:ascii="Wingdings 2" w:hAnsi="Wingdings 2" w:hint="default"/>
      </w:rPr>
    </w:lvl>
    <w:lvl w:ilvl="5" w:tplc="A5486012" w:tentative="1">
      <w:start w:val="1"/>
      <w:numFmt w:val="bullet"/>
      <w:lvlText w:val=""/>
      <w:lvlJc w:val="left"/>
      <w:pPr>
        <w:tabs>
          <w:tab w:val="num" w:pos="4320"/>
        </w:tabs>
        <w:ind w:left="4320" w:hanging="360"/>
      </w:pPr>
      <w:rPr>
        <w:rFonts w:ascii="Wingdings 2" w:hAnsi="Wingdings 2" w:hint="default"/>
      </w:rPr>
    </w:lvl>
    <w:lvl w:ilvl="6" w:tplc="0884E89C" w:tentative="1">
      <w:start w:val="1"/>
      <w:numFmt w:val="bullet"/>
      <w:lvlText w:val=""/>
      <w:lvlJc w:val="left"/>
      <w:pPr>
        <w:tabs>
          <w:tab w:val="num" w:pos="5040"/>
        </w:tabs>
        <w:ind w:left="5040" w:hanging="360"/>
      </w:pPr>
      <w:rPr>
        <w:rFonts w:ascii="Wingdings 2" w:hAnsi="Wingdings 2" w:hint="default"/>
      </w:rPr>
    </w:lvl>
    <w:lvl w:ilvl="7" w:tplc="43DA89E2" w:tentative="1">
      <w:start w:val="1"/>
      <w:numFmt w:val="bullet"/>
      <w:lvlText w:val=""/>
      <w:lvlJc w:val="left"/>
      <w:pPr>
        <w:tabs>
          <w:tab w:val="num" w:pos="5760"/>
        </w:tabs>
        <w:ind w:left="5760" w:hanging="360"/>
      </w:pPr>
      <w:rPr>
        <w:rFonts w:ascii="Wingdings 2" w:hAnsi="Wingdings 2" w:hint="default"/>
      </w:rPr>
    </w:lvl>
    <w:lvl w:ilvl="8" w:tplc="2D9E812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405775"/>
    <w:multiLevelType w:val="hybridMultilevel"/>
    <w:tmpl w:val="C088B9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0049A0"/>
    <w:multiLevelType w:val="hybridMultilevel"/>
    <w:tmpl w:val="71CC1216"/>
    <w:lvl w:ilvl="0" w:tplc="358A5342">
      <w:start w:val="1"/>
      <w:numFmt w:val="bullet"/>
      <w:lvlText w:val=""/>
      <w:lvlJc w:val="left"/>
      <w:pPr>
        <w:tabs>
          <w:tab w:val="num" w:pos="720"/>
        </w:tabs>
        <w:ind w:left="720" w:hanging="360"/>
      </w:pPr>
      <w:rPr>
        <w:rFonts w:ascii="Wingdings 2" w:hAnsi="Wingdings 2" w:hint="default"/>
      </w:rPr>
    </w:lvl>
    <w:lvl w:ilvl="1" w:tplc="9B023B6A" w:tentative="1">
      <w:start w:val="1"/>
      <w:numFmt w:val="bullet"/>
      <w:lvlText w:val=""/>
      <w:lvlJc w:val="left"/>
      <w:pPr>
        <w:tabs>
          <w:tab w:val="num" w:pos="1440"/>
        </w:tabs>
        <w:ind w:left="1440" w:hanging="360"/>
      </w:pPr>
      <w:rPr>
        <w:rFonts w:ascii="Wingdings 2" w:hAnsi="Wingdings 2" w:hint="default"/>
      </w:rPr>
    </w:lvl>
    <w:lvl w:ilvl="2" w:tplc="D89442A4" w:tentative="1">
      <w:start w:val="1"/>
      <w:numFmt w:val="bullet"/>
      <w:lvlText w:val=""/>
      <w:lvlJc w:val="left"/>
      <w:pPr>
        <w:tabs>
          <w:tab w:val="num" w:pos="2160"/>
        </w:tabs>
        <w:ind w:left="2160" w:hanging="360"/>
      </w:pPr>
      <w:rPr>
        <w:rFonts w:ascii="Wingdings 2" w:hAnsi="Wingdings 2" w:hint="default"/>
      </w:rPr>
    </w:lvl>
    <w:lvl w:ilvl="3" w:tplc="F096413E" w:tentative="1">
      <w:start w:val="1"/>
      <w:numFmt w:val="bullet"/>
      <w:lvlText w:val=""/>
      <w:lvlJc w:val="left"/>
      <w:pPr>
        <w:tabs>
          <w:tab w:val="num" w:pos="2880"/>
        </w:tabs>
        <w:ind w:left="2880" w:hanging="360"/>
      </w:pPr>
      <w:rPr>
        <w:rFonts w:ascii="Wingdings 2" w:hAnsi="Wingdings 2" w:hint="default"/>
      </w:rPr>
    </w:lvl>
    <w:lvl w:ilvl="4" w:tplc="3DA8EA78" w:tentative="1">
      <w:start w:val="1"/>
      <w:numFmt w:val="bullet"/>
      <w:lvlText w:val=""/>
      <w:lvlJc w:val="left"/>
      <w:pPr>
        <w:tabs>
          <w:tab w:val="num" w:pos="3600"/>
        </w:tabs>
        <w:ind w:left="3600" w:hanging="360"/>
      </w:pPr>
      <w:rPr>
        <w:rFonts w:ascii="Wingdings 2" w:hAnsi="Wingdings 2" w:hint="default"/>
      </w:rPr>
    </w:lvl>
    <w:lvl w:ilvl="5" w:tplc="9FDAEA34" w:tentative="1">
      <w:start w:val="1"/>
      <w:numFmt w:val="bullet"/>
      <w:lvlText w:val=""/>
      <w:lvlJc w:val="left"/>
      <w:pPr>
        <w:tabs>
          <w:tab w:val="num" w:pos="4320"/>
        </w:tabs>
        <w:ind w:left="4320" w:hanging="360"/>
      </w:pPr>
      <w:rPr>
        <w:rFonts w:ascii="Wingdings 2" w:hAnsi="Wingdings 2" w:hint="default"/>
      </w:rPr>
    </w:lvl>
    <w:lvl w:ilvl="6" w:tplc="7E9A799C" w:tentative="1">
      <w:start w:val="1"/>
      <w:numFmt w:val="bullet"/>
      <w:lvlText w:val=""/>
      <w:lvlJc w:val="left"/>
      <w:pPr>
        <w:tabs>
          <w:tab w:val="num" w:pos="5040"/>
        </w:tabs>
        <w:ind w:left="5040" w:hanging="360"/>
      </w:pPr>
      <w:rPr>
        <w:rFonts w:ascii="Wingdings 2" w:hAnsi="Wingdings 2" w:hint="default"/>
      </w:rPr>
    </w:lvl>
    <w:lvl w:ilvl="7" w:tplc="D1FC2A84" w:tentative="1">
      <w:start w:val="1"/>
      <w:numFmt w:val="bullet"/>
      <w:lvlText w:val=""/>
      <w:lvlJc w:val="left"/>
      <w:pPr>
        <w:tabs>
          <w:tab w:val="num" w:pos="5760"/>
        </w:tabs>
        <w:ind w:left="5760" w:hanging="360"/>
      </w:pPr>
      <w:rPr>
        <w:rFonts w:ascii="Wingdings 2" w:hAnsi="Wingdings 2" w:hint="default"/>
      </w:rPr>
    </w:lvl>
    <w:lvl w:ilvl="8" w:tplc="7514FF24" w:tentative="1">
      <w:start w:val="1"/>
      <w:numFmt w:val="bullet"/>
      <w:lvlText w:val=""/>
      <w:lvlJc w:val="left"/>
      <w:pPr>
        <w:tabs>
          <w:tab w:val="num" w:pos="6480"/>
        </w:tabs>
        <w:ind w:left="6480" w:hanging="360"/>
      </w:pPr>
      <w:rPr>
        <w:rFonts w:ascii="Wingdings 2" w:hAnsi="Wingdings 2" w:hint="default"/>
      </w:rPr>
    </w:lvl>
  </w:abstractNum>
  <w:abstractNum w:abstractNumId="43">
    <w:nsid w:val="78EE138D"/>
    <w:multiLevelType w:val="hybridMultilevel"/>
    <w:tmpl w:val="6180D848"/>
    <w:lvl w:ilvl="0" w:tplc="FA96D446">
      <w:start w:val="1"/>
      <w:numFmt w:val="bullet"/>
      <w:lvlText w:val=""/>
      <w:lvlJc w:val="left"/>
      <w:pPr>
        <w:tabs>
          <w:tab w:val="num" w:pos="720"/>
        </w:tabs>
        <w:ind w:left="720" w:hanging="360"/>
      </w:pPr>
      <w:rPr>
        <w:rFonts w:ascii="Wingdings 2" w:hAnsi="Wingdings 2" w:hint="default"/>
      </w:rPr>
    </w:lvl>
    <w:lvl w:ilvl="1" w:tplc="2870D6BC" w:tentative="1">
      <w:start w:val="1"/>
      <w:numFmt w:val="bullet"/>
      <w:lvlText w:val=""/>
      <w:lvlJc w:val="left"/>
      <w:pPr>
        <w:tabs>
          <w:tab w:val="num" w:pos="1440"/>
        </w:tabs>
        <w:ind w:left="1440" w:hanging="360"/>
      </w:pPr>
      <w:rPr>
        <w:rFonts w:ascii="Wingdings 2" w:hAnsi="Wingdings 2" w:hint="default"/>
      </w:rPr>
    </w:lvl>
    <w:lvl w:ilvl="2" w:tplc="91F03FD4" w:tentative="1">
      <w:start w:val="1"/>
      <w:numFmt w:val="bullet"/>
      <w:lvlText w:val=""/>
      <w:lvlJc w:val="left"/>
      <w:pPr>
        <w:tabs>
          <w:tab w:val="num" w:pos="2160"/>
        </w:tabs>
        <w:ind w:left="2160" w:hanging="360"/>
      </w:pPr>
      <w:rPr>
        <w:rFonts w:ascii="Wingdings 2" w:hAnsi="Wingdings 2" w:hint="default"/>
      </w:rPr>
    </w:lvl>
    <w:lvl w:ilvl="3" w:tplc="2628145E" w:tentative="1">
      <w:start w:val="1"/>
      <w:numFmt w:val="bullet"/>
      <w:lvlText w:val=""/>
      <w:lvlJc w:val="left"/>
      <w:pPr>
        <w:tabs>
          <w:tab w:val="num" w:pos="2880"/>
        </w:tabs>
        <w:ind w:left="2880" w:hanging="360"/>
      </w:pPr>
      <w:rPr>
        <w:rFonts w:ascii="Wingdings 2" w:hAnsi="Wingdings 2" w:hint="default"/>
      </w:rPr>
    </w:lvl>
    <w:lvl w:ilvl="4" w:tplc="B1B2AA96" w:tentative="1">
      <w:start w:val="1"/>
      <w:numFmt w:val="bullet"/>
      <w:lvlText w:val=""/>
      <w:lvlJc w:val="left"/>
      <w:pPr>
        <w:tabs>
          <w:tab w:val="num" w:pos="3600"/>
        </w:tabs>
        <w:ind w:left="3600" w:hanging="360"/>
      </w:pPr>
      <w:rPr>
        <w:rFonts w:ascii="Wingdings 2" w:hAnsi="Wingdings 2" w:hint="default"/>
      </w:rPr>
    </w:lvl>
    <w:lvl w:ilvl="5" w:tplc="D1A2E4E2" w:tentative="1">
      <w:start w:val="1"/>
      <w:numFmt w:val="bullet"/>
      <w:lvlText w:val=""/>
      <w:lvlJc w:val="left"/>
      <w:pPr>
        <w:tabs>
          <w:tab w:val="num" w:pos="4320"/>
        </w:tabs>
        <w:ind w:left="4320" w:hanging="360"/>
      </w:pPr>
      <w:rPr>
        <w:rFonts w:ascii="Wingdings 2" w:hAnsi="Wingdings 2" w:hint="default"/>
      </w:rPr>
    </w:lvl>
    <w:lvl w:ilvl="6" w:tplc="4748265E" w:tentative="1">
      <w:start w:val="1"/>
      <w:numFmt w:val="bullet"/>
      <w:lvlText w:val=""/>
      <w:lvlJc w:val="left"/>
      <w:pPr>
        <w:tabs>
          <w:tab w:val="num" w:pos="5040"/>
        </w:tabs>
        <w:ind w:left="5040" w:hanging="360"/>
      </w:pPr>
      <w:rPr>
        <w:rFonts w:ascii="Wingdings 2" w:hAnsi="Wingdings 2" w:hint="default"/>
      </w:rPr>
    </w:lvl>
    <w:lvl w:ilvl="7" w:tplc="6CBCFA72" w:tentative="1">
      <w:start w:val="1"/>
      <w:numFmt w:val="bullet"/>
      <w:lvlText w:val=""/>
      <w:lvlJc w:val="left"/>
      <w:pPr>
        <w:tabs>
          <w:tab w:val="num" w:pos="5760"/>
        </w:tabs>
        <w:ind w:left="5760" w:hanging="360"/>
      </w:pPr>
      <w:rPr>
        <w:rFonts w:ascii="Wingdings 2" w:hAnsi="Wingdings 2" w:hint="default"/>
      </w:rPr>
    </w:lvl>
    <w:lvl w:ilvl="8" w:tplc="72906FB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7"/>
  </w:num>
  <w:num w:numId="10">
    <w:abstractNumId w:val="1"/>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1"/>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43"/>
  </w:num>
  <w:num w:numId="43">
    <w:abstractNumId w:val="42"/>
  </w:num>
  <w:num w:numId="44">
    <w:abstractNumId w:val="6"/>
  </w:num>
  <w:num w:numId="45">
    <w:abstractNumId w:val="2"/>
  </w:num>
  <w:num w:numId="46">
    <w:abstractNumId w:val="23"/>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25F"/>
    <w:rsid w:val="0010161A"/>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33F"/>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02FA"/>
    <w:rsid w:val="002E16DB"/>
    <w:rsid w:val="002E6657"/>
    <w:rsid w:val="002F0C02"/>
    <w:rsid w:val="002F22C2"/>
    <w:rsid w:val="002F2B9A"/>
    <w:rsid w:val="002F3381"/>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276A"/>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5E42"/>
    <w:rsid w:val="006760CD"/>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D7C"/>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0E21"/>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6B30"/>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DD2"/>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1D1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5285803">
      <w:bodyDiv w:val="1"/>
      <w:marLeft w:val="0"/>
      <w:marRight w:val="0"/>
      <w:marTop w:val="0"/>
      <w:marBottom w:val="0"/>
      <w:divBdr>
        <w:top w:val="none" w:sz="0" w:space="0" w:color="auto"/>
        <w:left w:val="none" w:sz="0" w:space="0" w:color="auto"/>
        <w:bottom w:val="none" w:sz="0" w:space="0" w:color="auto"/>
        <w:right w:val="none" w:sz="0" w:space="0" w:color="auto"/>
      </w:divBdr>
      <w:divsChild>
        <w:div w:id="1822963673">
          <w:marLeft w:val="576"/>
          <w:marRight w:val="0"/>
          <w:marTop w:val="120"/>
          <w:marBottom w:val="0"/>
          <w:divBdr>
            <w:top w:val="none" w:sz="0" w:space="0" w:color="auto"/>
            <w:left w:val="none" w:sz="0" w:space="0" w:color="auto"/>
            <w:bottom w:val="none" w:sz="0" w:space="0" w:color="auto"/>
            <w:right w:val="none" w:sz="0" w:space="0" w:color="auto"/>
          </w:divBdr>
        </w:div>
        <w:div w:id="119997050">
          <w:marLeft w:val="576"/>
          <w:marRight w:val="0"/>
          <w:marTop w:val="120"/>
          <w:marBottom w:val="0"/>
          <w:divBdr>
            <w:top w:val="none" w:sz="0" w:space="0" w:color="auto"/>
            <w:left w:val="none" w:sz="0" w:space="0" w:color="auto"/>
            <w:bottom w:val="none" w:sz="0" w:space="0" w:color="auto"/>
            <w:right w:val="none" w:sz="0" w:space="0" w:color="auto"/>
          </w:divBdr>
        </w:div>
        <w:div w:id="121852627">
          <w:marLeft w:val="576"/>
          <w:marRight w:val="0"/>
          <w:marTop w:val="120"/>
          <w:marBottom w:val="0"/>
          <w:divBdr>
            <w:top w:val="none" w:sz="0" w:space="0" w:color="auto"/>
            <w:left w:val="none" w:sz="0" w:space="0" w:color="auto"/>
            <w:bottom w:val="none" w:sz="0" w:space="0" w:color="auto"/>
            <w:right w:val="none" w:sz="0" w:space="0" w:color="auto"/>
          </w:divBdr>
        </w:div>
        <w:div w:id="28145882">
          <w:marLeft w:val="576"/>
          <w:marRight w:val="0"/>
          <w:marTop w:val="120"/>
          <w:marBottom w:val="0"/>
          <w:divBdr>
            <w:top w:val="none" w:sz="0" w:space="0" w:color="auto"/>
            <w:left w:val="none" w:sz="0" w:space="0" w:color="auto"/>
            <w:bottom w:val="none" w:sz="0" w:space="0" w:color="auto"/>
            <w:right w:val="none" w:sz="0" w:space="0" w:color="auto"/>
          </w:divBdr>
        </w:div>
        <w:div w:id="175632141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986382">
      <w:bodyDiv w:val="1"/>
      <w:marLeft w:val="0"/>
      <w:marRight w:val="0"/>
      <w:marTop w:val="0"/>
      <w:marBottom w:val="0"/>
      <w:divBdr>
        <w:top w:val="none" w:sz="0" w:space="0" w:color="auto"/>
        <w:left w:val="none" w:sz="0" w:space="0" w:color="auto"/>
        <w:bottom w:val="none" w:sz="0" w:space="0" w:color="auto"/>
        <w:right w:val="none" w:sz="0" w:space="0" w:color="auto"/>
      </w:divBdr>
      <w:divsChild>
        <w:div w:id="1500078002">
          <w:marLeft w:val="576"/>
          <w:marRight w:val="0"/>
          <w:marTop w:val="120"/>
          <w:marBottom w:val="0"/>
          <w:divBdr>
            <w:top w:val="none" w:sz="0" w:space="0" w:color="auto"/>
            <w:left w:val="none" w:sz="0" w:space="0" w:color="auto"/>
            <w:bottom w:val="none" w:sz="0" w:space="0" w:color="auto"/>
            <w:right w:val="none" w:sz="0" w:space="0" w:color="auto"/>
          </w:divBdr>
        </w:div>
        <w:div w:id="1132092804">
          <w:marLeft w:val="576"/>
          <w:marRight w:val="0"/>
          <w:marTop w:val="120"/>
          <w:marBottom w:val="0"/>
          <w:divBdr>
            <w:top w:val="none" w:sz="0" w:space="0" w:color="auto"/>
            <w:left w:val="none" w:sz="0" w:space="0" w:color="auto"/>
            <w:bottom w:val="none" w:sz="0" w:space="0" w:color="auto"/>
            <w:right w:val="none" w:sz="0" w:space="0" w:color="auto"/>
          </w:divBdr>
        </w:div>
        <w:div w:id="1012343901">
          <w:marLeft w:val="576"/>
          <w:marRight w:val="0"/>
          <w:marTop w:val="120"/>
          <w:marBottom w:val="0"/>
          <w:divBdr>
            <w:top w:val="none" w:sz="0" w:space="0" w:color="auto"/>
            <w:left w:val="none" w:sz="0" w:space="0" w:color="auto"/>
            <w:bottom w:val="none" w:sz="0" w:space="0" w:color="auto"/>
            <w:right w:val="none" w:sz="0" w:space="0" w:color="auto"/>
          </w:divBdr>
        </w:div>
        <w:div w:id="548954663">
          <w:marLeft w:val="576"/>
          <w:marRight w:val="0"/>
          <w:marTop w:val="120"/>
          <w:marBottom w:val="0"/>
          <w:divBdr>
            <w:top w:val="none" w:sz="0" w:space="0" w:color="auto"/>
            <w:left w:val="none" w:sz="0" w:space="0" w:color="auto"/>
            <w:bottom w:val="none" w:sz="0" w:space="0" w:color="auto"/>
            <w:right w:val="none" w:sz="0" w:space="0" w:color="auto"/>
          </w:divBdr>
        </w:div>
        <w:div w:id="477037299">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4743789">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3624488">
      <w:bodyDiv w:val="1"/>
      <w:marLeft w:val="0"/>
      <w:marRight w:val="0"/>
      <w:marTop w:val="0"/>
      <w:marBottom w:val="0"/>
      <w:divBdr>
        <w:top w:val="none" w:sz="0" w:space="0" w:color="auto"/>
        <w:left w:val="none" w:sz="0" w:space="0" w:color="auto"/>
        <w:bottom w:val="none" w:sz="0" w:space="0" w:color="auto"/>
        <w:right w:val="none" w:sz="0" w:space="0" w:color="auto"/>
      </w:divBdr>
      <w:divsChild>
        <w:div w:id="1396507141">
          <w:marLeft w:val="576"/>
          <w:marRight w:val="0"/>
          <w:marTop w:val="120"/>
          <w:marBottom w:val="0"/>
          <w:divBdr>
            <w:top w:val="none" w:sz="0" w:space="0" w:color="auto"/>
            <w:left w:val="none" w:sz="0" w:space="0" w:color="auto"/>
            <w:bottom w:val="none" w:sz="0" w:space="0" w:color="auto"/>
            <w:right w:val="none" w:sz="0" w:space="0" w:color="auto"/>
          </w:divBdr>
        </w:div>
        <w:div w:id="62024001">
          <w:marLeft w:val="576"/>
          <w:marRight w:val="0"/>
          <w:marTop w:val="120"/>
          <w:marBottom w:val="0"/>
          <w:divBdr>
            <w:top w:val="none" w:sz="0" w:space="0" w:color="auto"/>
            <w:left w:val="none" w:sz="0" w:space="0" w:color="auto"/>
            <w:bottom w:val="none" w:sz="0" w:space="0" w:color="auto"/>
            <w:right w:val="none" w:sz="0" w:space="0" w:color="auto"/>
          </w:divBdr>
        </w:div>
        <w:div w:id="275531104">
          <w:marLeft w:val="576"/>
          <w:marRight w:val="0"/>
          <w:marTop w:val="120"/>
          <w:marBottom w:val="0"/>
          <w:divBdr>
            <w:top w:val="none" w:sz="0" w:space="0" w:color="auto"/>
            <w:left w:val="none" w:sz="0" w:space="0" w:color="auto"/>
            <w:bottom w:val="none" w:sz="0" w:space="0" w:color="auto"/>
            <w:right w:val="none" w:sz="0" w:space="0" w:color="auto"/>
          </w:divBdr>
        </w:div>
        <w:div w:id="466093913">
          <w:marLeft w:val="576"/>
          <w:marRight w:val="0"/>
          <w:marTop w:val="120"/>
          <w:marBottom w:val="0"/>
          <w:divBdr>
            <w:top w:val="none" w:sz="0" w:space="0" w:color="auto"/>
            <w:left w:val="none" w:sz="0" w:space="0" w:color="auto"/>
            <w:bottom w:val="none" w:sz="0" w:space="0" w:color="auto"/>
            <w:right w:val="none" w:sz="0" w:space="0" w:color="auto"/>
          </w:divBdr>
        </w:div>
        <w:div w:id="158082561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3981810">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301954">
      <w:bodyDiv w:val="1"/>
      <w:marLeft w:val="0"/>
      <w:marRight w:val="0"/>
      <w:marTop w:val="0"/>
      <w:marBottom w:val="0"/>
      <w:divBdr>
        <w:top w:val="none" w:sz="0" w:space="0" w:color="auto"/>
        <w:left w:val="none" w:sz="0" w:space="0" w:color="auto"/>
        <w:bottom w:val="none" w:sz="0" w:space="0" w:color="auto"/>
        <w:right w:val="none" w:sz="0" w:space="0" w:color="auto"/>
      </w:divBdr>
      <w:divsChild>
        <w:div w:id="488520895">
          <w:marLeft w:val="576"/>
          <w:marRight w:val="0"/>
          <w:marTop w:val="120"/>
          <w:marBottom w:val="0"/>
          <w:divBdr>
            <w:top w:val="none" w:sz="0" w:space="0" w:color="auto"/>
            <w:left w:val="none" w:sz="0" w:space="0" w:color="auto"/>
            <w:bottom w:val="none" w:sz="0" w:space="0" w:color="auto"/>
            <w:right w:val="none" w:sz="0" w:space="0" w:color="auto"/>
          </w:divBdr>
        </w:div>
        <w:div w:id="43915263">
          <w:marLeft w:val="576"/>
          <w:marRight w:val="0"/>
          <w:marTop w:val="120"/>
          <w:marBottom w:val="0"/>
          <w:divBdr>
            <w:top w:val="none" w:sz="0" w:space="0" w:color="auto"/>
            <w:left w:val="none" w:sz="0" w:space="0" w:color="auto"/>
            <w:bottom w:val="none" w:sz="0" w:space="0" w:color="auto"/>
            <w:right w:val="none" w:sz="0" w:space="0" w:color="auto"/>
          </w:divBdr>
        </w:div>
        <w:div w:id="454910409">
          <w:marLeft w:val="576"/>
          <w:marRight w:val="0"/>
          <w:marTop w:val="120"/>
          <w:marBottom w:val="0"/>
          <w:divBdr>
            <w:top w:val="none" w:sz="0" w:space="0" w:color="auto"/>
            <w:left w:val="none" w:sz="0" w:space="0" w:color="auto"/>
            <w:bottom w:val="none" w:sz="0" w:space="0" w:color="auto"/>
            <w:right w:val="none" w:sz="0" w:space="0" w:color="auto"/>
          </w:divBdr>
        </w:div>
        <w:div w:id="2111504904">
          <w:marLeft w:val="576"/>
          <w:marRight w:val="0"/>
          <w:marTop w:val="120"/>
          <w:marBottom w:val="0"/>
          <w:divBdr>
            <w:top w:val="none" w:sz="0" w:space="0" w:color="auto"/>
            <w:left w:val="none" w:sz="0" w:space="0" w:color="auto"/>
            <w:bottom w:val="none" w:sz="0" w:space="0" w:color="auto"/>
            <w:right w:val="none" w:sz="0" w:space="0" w:color="auto"/>
          </w:divBdr>
        </w:div>
      </w:divsChild>
    </w:div>
    <w:div w:id="1687125247">
      <w:bodyDiv w:val="1"/>
      <w:marLeft w:val="0"/>
      <w:marRight w:val="0"/>
      <w:marTop w:val="0"/>
      <w:marBottom w:val="0"/>
      <w:divBdr>
        <w:top w:val="none" w:sz="0" w:space="0" w:color="auto"/>
        <w:left w:val="none" w:sz="0" w:space="0" w:color="auto"/>
        <w:bottom w:val="none" w:sz="0" w:space="0" w:color="auto"/>
        <w:right w:val="none" w:sz="0" w:space="0" w:color="auto"/>
      </w:divBdr>
      <w:divsChild>
        <w:div w:id="1990788831">
          <w:marLeft w:val="576"/>
          <w:marRight w:val="0"/>
          <w:marTop w:val="120"/>
          <w:marBottom w:val="0"/>
          <w:divBdr>
            <w:top w:val="none" w:sz="0" w:space="0" w:color="auto"/>
            <w:left w:val="none" w:sz="0" w:space="0" w:color="auto"/>
            <w:bottom w:val="none" w:sz="0" w:space="0" w:color="auto"/>
            <w:right w:val="none" w:sz="0" w:space="0" w:color="auto"/>
          </w:divBdr>
        </w:div>
        <w:div w:id="313224356">
          <w:marLeft w:val="576"/>
          <w:marRight w:val="0"/>
          <w:marTop w:val="120"/>
          <w:marBottom w:val="0"/>
          <w:divBdr>
            <w:top w:val="none" w:sz="0" w:space="0" w:color="auto"/>
            <w:left w:val="none" w:sz="0" w:space="0" w:color="auto"/>
            <w:bottom w:val="none" w:sz="0" w:space="0" w:color="auto"/>
            <w:right w:val="none" w:sz="0" w:space="0" w:color="auto"/>
          </w:divBdr>
        </w:div>
        <w:div w:id="1705908466">
          <w:marLeft w:val="576"/>
          <w:marRight w:val="0"/>
          <w:marTop w:val="120"/>
          <w:marBottom w:val="0"/>
          <w:divBdr>
            <w:top w:val="none" w:sz="0" w:space="0" w:color="auto"/>
            <w:left w:val="none" w:sz="0" w:space="0" w:color="auto"/>
            <w:bottom w:val="none" w:sz="0" w:space="0" w:color="auto"/>
            <w:right w:val="none" w:sz="0" w:space="0" w:color="auto"/>
          </w:divBdr>
        </w:div>
        <w:div w:id="45221003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4797872">
      <w:bodyDiv w:val="1"/>
      <w:marLeft w:val="0"/>
      <w:marRight w:val="0"/>
      <w:marTop w:val="0"/>
      <w:marBottom w:val="0"/>
      <w:divBdr>
        <w:top w:val="none" w:sz="0" w:space="0" w:color="auto"/>
        <w:left w:val="none" w:sz="0" w:space="0" w:color="auto"/>
        <w:bottom w:val="none" w:sz="0" w:space="0" w:color="auto"/>
        <w:right w:val="none" w:sz="0" w:space="0" w:color="auto"/>
      </w:divBdr>
      <w:divsChild>
        <w:div w:id="1692998193">
          <w:marLeft w:val="576"/>
          <w:marRight w:val="0"/>
          <w:marTop w:val="120"/>
          <w:marBottom w:val="0"/>
          <w:divBdr>
            <w:top w:val="none" w:sz="0" w:space="0" w:color="auto"/>
            <w:left w:val="none" w:sz="0" w:space="0" w:color="auto"/>
            <w:bottom w:val="none" w:sz="0" w:space="0" w:color="auto"/>
            <w:right w:val="none" w:sz="0" w:space="0" w:color="auto"/>
          </w:divBdr>
        </w:div>
        <w:div w:id="1811053742">
          <w:marLeft w:val="576"/>
          <w:marRight w:val="0"/>
          <w:marTop w:val="120"/>
          <w:marBottom w:val="0"/>
          <w:divBdr>
            <w:top w:val="none" w:sz="0" w:space="0" w:color="auto"/>
            <w:left w:val="none" w:sz="0" w:space="0" w:color="auto"/>
            <w:bottom w:val="none" w:sz="0" w:space="0" w:color="auto"/>
            <w:right w:val="none" w:sz="0" w:space="0" w:color="auto"/>
          </w:divBdr>
        </w:div>
        <w:div w:id="1143934067">
          <w:marLeft w:val="576"/>
          <w:marRight w:val="0"/>
          <w:marTop w:val="120"/>
          <w:marBottom w:val="0"/>
          <w:divBdr>
            <w:top w:val="none" w:sz="0" w:space="0" w:color="auto"/>
            <w:left w:val="none" w:sz="0" w:space="0" w:color="auto"/>
            <w:bottom w:val="none" w:sz="0" w:space="0" w:color="auto"/>
            <w:right w:val="none" w:sz="0" w:space="0" w:color="auto"/>
          </w:divBdr>
        </w:div>
        <w:div w:id="73748185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2022-02-10T13:43:00Z</dcterms:modified>
</cp:coreProperties>
</file>