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11FE3" w:rsidRDefault="00A11FE3" w:rsidP="00A11FE3">
      <w:pPr>
        <w:spacing w:line="360" w:lineRule="auto"/>
        <w:jc w:val="center"/>
        <w:rPr>
          <w:rFonts w:ascii="Times New Roman" w:hAnsi="Times New Roman" w:cs="Times New Roman"/>
          <w:b/>
          <w:sz w:val="56"/>
          <w:szCs w:val="56"/>
        </w:rPr>
      </w:pPr>
      <w:r w:rsidRPr="00A11FE3">
        <w:rPr>
          <w:rFonts w:ascii="Times New Roman" w:hAnsi="Times New Roman" w:cs="Times New Roman"/>
          <w:b/>
          <w:sz w:val="56"/>
          <w:szCs w:val="56"/>
        </w:rPr>
        <w:t>HDL-Based Modeling Approach for Digital Simulation of Adiabatic Quantum Flux Parametron Logic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C245F" w:rsidRDefault="005C245F" w:rsidP="00E53AA4">
      <w:pPr>
        <w:spacing w:line="360" w:lineRule="auto"/>
        <w:jc w:val="both"/>
        <w:rPr>
          <w:rFonts w:ascii="Times New Roman" w:hAnsi="Times New Roman" w:cs="Times New Roman"/>
          <w:b/>
          <w:sz w:val="32"/>
          <w:szCs w:val="32"/>
        </w:rPr>
      </w:pPr>
      <w:r w:rsidRPr="005C245F">
        <w:rPr>
          <w:rFonts w:ascii="Times New Roman" w:hAnsi="Times New Roman" w:cs="Times New Roman"/>
          <w:sz w:val="32"/>
          <w:szCs w:val="32"/>
        </w:rPr>
        <w:t>AQFP (adiabatic quantum-flux-parametron) circuits are currently verified by analog-based simulation, which would be an obstacle for large-scale circuits design. In this paper, we present a logic simulation model for AQFP logic. We made a functional model based on a finite-state machine approach using a hardware description language (HDL), which enables the simulation of large-scale AQFP circuits using commercially available logic simulation tools. We have developed a library for logic simulation and implemented an 8-bit carry look-ahead adder, which is composed of over 1000 Josephson junctions (JJs). We also include timing information in our logic simulation models for timing analysis. Since the library is based on a parameterized approach, it can be easily modified for different fabrication technologies and low-level circuit parameters.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5C245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5C245F" w:rsidRDefault="005C245F" w:rsidP="005C245F">
      <w:pPr>
        <w:tabs>
          <w:tab w:val="left" w:pos="6210"/>
        </w:tabs>
        <w:spacing w:line="360" w:lineRule="auto"/>
        <w:jc w:val="both"/>
        <w:rPr>
          <w:rFonts w:ascii="Times New Roman" w:hAnsi="Times New Roman" w:cs="Times New Roman"/>
          <w:sz w:val="40"/>
          <w:szCs w:val="40"/>
        </w:rPr>
      </w:pPr>
    </w:p>
    <w:p w:rsidR="005C245F" w:rsidRDefault="005C245F" w:rsidP="005C245F">
      <w:pPr>
        <w:tabs>
          <w:tab w:val="left" w:pos="6210"/>
        </w:tabs>
        <w:spacing w:line="360" w:lineRule="auto"/>
        <w:jc w:val="both"/>
        <w:rPr>
          <w:rFonts w:ascii="Times New Roman" w:hAnsi="Times New Roman" w:cs="Times New Roman"/>
          <w:sz w:val="40"/>
          <w:szCs w:val="40"/>
        </w:rPr>
      </w:pPr>
    </w:p>
    <w:p w:rsidR="006A300A" w:rsidRPr="003D03F4" w:rsidRDefault="006A300A" w:rsidP="005C245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4000A" w:rsidRDefault="00FF0E20" w:rsidP="00440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000A">
        <w:rPr>
          <w:rFonts w:ascii="Times New Roman" w:hAnsi="Times New Roman" w:cs="Times New Roman"/>
          <w:sz w:val="32"/>
          <w:szCs w:val="32"/>
          <w:lang w:val="en-IN"/>
        </w:rPr>
        <w:t>We have investigated this on AQFP buffer chains and found that incorrect output occurs w</w:t>
      </w:r>
      <w:r w:rsidRPr="0044000A">
        <w:rPr>
          <w:rFonts w:ascii="Times New Roman" w:hAnsi="Times New Roman" w:cs="Times New Roman"/>
          <w:sz w:val="32"/>
          <w:szCs w:val="32"/>
          <w:lang w:val="en-IN"/>
        </w:rPr>
        <w:t>hen the excitation current is delayed by a certain period which means a timing window exists between input current (input) and excitation current (clock).</w:t>
      </w:r>
    </w:p>
    <w:p w:rsidR="00000000" w:rsidRPr="0044000A" w:rsidRDefault="00FF0E20" w:rsidP="00440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000A">
        <w:rPr>
          <w:rFonts w:ascii="Times New Roman" w:hAnsi="Times New Roman" w:cs="Times New Roman"/>
          <w:sz w:val="32"/>
          <w:szCs w:val="32"/>
          <w:lang w:val="en-IN"/>
        </w:rPr>
        <w:t>Though it is in existence for more than two decades, still, its full potential has not been explored</w:t>
      </w:r>
      <w:r w:rsidRPr="0044000A">
        <w:rPr>
          <w:rFonts w:ascii="Times New Roman" w:hAnsi="Times New Roman" w:cs="Times New Roman"/>
          <w:sz w:val="32"/>
          <w:szCs w:val="32"/>
          <w:lang w:val="en-IN"/>
        </w:rPr>
        <w:t>.</w:t>
      </w:r>
    </w:p>
    <w:p w:rsidR="00000000" w:rsidRPr="0044000A" w:rsidRDefault="00FF0E20" w:rsidP="00440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000A">
        <w:rPr>
          <w:rFonts w:ascii="Times New Roman" w:hAnsi="Times New Roman" w:cs="Times New Roman"/>
          <w:sz w:val="32"/>
          <w:szCs w:val="32"/>
          <w:lang w:val="en-IN"/>
        </w:rPr>
        <w:t>The design of adiabatic circuits requires much more efforts in contrast to the non-adiabatic logic for which well-developed tools exist.</w:t>
      </w:r>
    </w:p>
    <w:p w:rsidR="00000000" w:rsidRPr="0044000A" w:rsidRDefault="00FF0E20" w:rsidP="00440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000A">
        <w:rPr>
          <w:rFonts w:ascii="Times New Roman" w:hAnsi="Times New Roman" w:cs="Times New Roman"/>
          <w:sz w:val="32"/>
          <w:szCs w:val="32"/>
          <w:lang w:val="en-IN"/>
        </w:rPr>
        <w:t>The future scope exists in developing an energy model such that the energy consumption of any 4-phase adiabatic log</w:t>
      </w:r>
      <w:r w:rsidRPr="0044000A">
        <w:rPr>
          <w:rFonts w:ascii="Times New Roman" w:hAnsi="Times New Roman" w:cs="Times New Roman"/>
          <w:sz w:val="32"/>
          <w:szCs w:val="32"/>
          <w:lang w:val="en-IN"/>
        </w:rPr>
        <w:t>ic families can be fairly approximated before the design of the circuits at transistor level are performed.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61186" w:rsidRDefault="00FF0E20" w:rsidP="00861186">
      <w:pPr>
        <w:numPr>
          <w:ilvl w:val="0"/>
          <w:numId w:val="45"/>
        </w:numPr>
        <w:spacing w:line="360" w:lineRule="auto"/>
        <w:jc w:val="both"/>
        <w:rPr>
          <w:rFonts w:ascii="Times New Roman" w:hAnsi="Times New Roman" w:cs="Times New Roman"/>
          <w:bCs/>
          <w:sz w:val="32"/>
          <w:szCs w:val="32"/>
          <w:lang w:val="en-IN"/>
        </w:rPr>
      </w:pPr>
      <w:r w:rsidRPr="00861186">
        <w:rPr>
          <w:rFonts w:ascii="Times New Roman" w:hAnsi="Times New Roman" w:cs="Times New Roman"/>
          <w:bCs/>
          <w:sz w:val="32"/>
          <w:szCs w:val="32"/>
          <w:lang w:val="en-IN"/>
        </w:rPr>
        <w:t>The significant amount of energy consumption has become a critical problem in modern society, and arouses us of the urgent requirement for energy-e</w:t>
      </w:r>
      <w:r w:rsidRPr="00861186">
        <w:rPr>
          <w:rFonts w:ascii="Times New Roman" w:hAnsi="Times New Roman" w:cs="Times New Roman"/>
          <w:bCs/>
          <w:sz w:val="32"/>
          <w:szCs w:val="32"/>
          <w:lang w:val="en-IN"/>
        </w:rPr>
        <w:t>f</w:t>
      </w:r>
      <w:r w:rsidR="00861186">
        <w:rPr>
          <w:rFonts w:ascii="Times New Roman" w:hAnsi="Times New Roman" w:cs="Times New Roman"/>
          <w:bCs/>
          <w:sz w:val="32"/>
          <w:szCs w:val="32"/>
          <w:lang w:val="en-IN"/>
        </w:rPr>
        <w:t>fi</w:t>
      </w:r>
      <w:r w:rsidRPr="00861186">
        <w:rPr>
          <w:rFonts w:ascii="Times New Roman" w:hAnsi="Times New Roman" w:cs="Times New Roman"/>
          <w:bCs/>
          <w:sz w:val="32"/>
          <w:szCs w:val="32"/>
          <w:lang w:val="en-IN"/>
        </w:rPr>
        <w:t>cient computing technologies.</w:t>
      </w:r>
    </w:p>
    <w:p w:rsidR="00000000" w:rsidRPr="00861186" w:rsidRDefault="00FF0E20" w:rsidP="00861186">
      <w:pPr>
        <w:numPr>
          <w:ilvl w:val="0"/>
          <w:numId w:val="45"/>
        </w:numPr>
        <w:spacing w:line="360" w:lineRule="auto"/>
        <w:jc w:val="both"/>
        <w:rPr>
          <w:rFonts w:ascii="Times New Roman" w:hAnsi="Times New Roman" w:cs="Times New Roman"/>
          <w:bCs/>
          <w:sz w:val="32"/>
          <w:szCs w:val="32"/>
          <w:lang w:val="en-IN"/>
        </w:rPr>
      </w:pPr>
      <w:r w:rsidRPr="00861186">
        <w:rPr>
          <w:rFonts w:ascii="Times New Roman" w:hAnsi="Times New Roman" w:cs="Times New Roman"/>
          <w:bCs/>
          <w:sz w:val="32"/>
          <w:szCs w:val="32"/>
          <w:lang w:val="en-IN"/>
        </w:rPr>
        <w:lastRenderedPageBreak/>
        <w:t xml:space="preserve">Although excitation currents serve as clocks and synchronize the AQFP logic gates, timing issues still exist due to clock skews and signal delay, especially when the circuit scale becomes large. </w:t>
      </w:r>
    </w:p>
    <w:p w:rsidR="00000000" w:rsidRPr="00861186" w:rsidRDefault="00FF0E20" w:rsidP="00861186">
      <w:pPr>
        <w:numPr>
          <w:ilvl w:val="0"/>
          <w:numId w:val="45"/>
        </w:numPr>
        <w:spacing w:line="360" w:lineRule="auto"/>
        <w:jc w:val="both"/>
        <w:rPr>
          <w:rFonts w:ascii="Times New Roman" w:hAnsi="Times New Roman" w:cs="Times New Roman"/>
          <w:bCs/>
          <w:sz w:val="32"/>
          <w:szCs w:val="32"/>
          <w:lang w:val="en-IN"/>
        </w:rPr>
      </w:pPr>
      <w:r w:rsidRPr="00861186">
        <w:rPr>
          <w:rFonts w:ascii="Times New Roman" w:hAnsi="Times New Roman" w:cs="Times New Roman"/>
          <w:bCs/>
          <w:sz w:val="32"/>
          <w:szCs w:val="32"/>
          <w:lang w:val="en-IN"/>
        </w:rPr>
        <w:t>This will lead to an increa</w:t>
      </w:r>
      <w:r w:rsidRPr="00861186">
        <w:rPr>
          <w:rFonts w:ascii="Times New Roman" w:hAnsi="Times New Roman" w:cs="Times New Roman"/>
          <w:bCs/>
          <w:sz w:val="32"/>
          <w:szCs w:val="32"/>
          <w:lang w:val="en-IN"/>
        </w:rPr>
        <w:t xml:space="preserve">sing static power as the circuit scale expands, and makes power dissipation a disadvantage of RSFQ. </w:t>
      </w:r>
    </w:p>
    <w:p w:rsidR="00F94960" w:rsidRPr="00861186" w:rsidRDefault="00FF0E20" w:rsidP="00E53AA4">
      <w:pPr>
        <w:numPr>
          <w:ilvl w:val="0"/>
          <w:numId w:val="45"/>
        </w:numPr>
        <w:spacing w:line="360" w:lineRule="auto"/>
        <w:jc w:val="both"/>
        <w:rPr>
          <w:rFonts w:ascii="Times New Roman" w:hAnsi="Times New Roman" w:cs="Times New Roman"/>
          <w:bCs/>
          <w:sz w:val="32"/>
          <w:szCs w:val="32"/>
          <w:lang w:val="en-IN"/>
        </w:rPr>
      </w:pPr>
      <w:r w:rsidRPr="00861186">
        <w:rPr>
          <w:rFonts w:ascii="Times New Roman" w:hAnsi="Times New Roman" w:cs="Times New Roman"/>
          <w:bCs/>
          <w:sz w:val="32"/>
          <w:szCs w:val="32"/>
          <w:lang w:val="en-IN"/>
        </w:rPr>
        <w:t>The proposed HDL model can easily identify the errors caused by the complementary inputs when both are at logic ‘0’, which the SPICE simulation fails to i</w:t>
      </w:r>
      <w:r w:rsidRPr="00861186">
        <w:rPr>
          <w:rFonts w:ascii="Times New Roman" w:hAnsi="Times New Roman" w:cs="Times New Roman"/>
          <w:bCs/>
          <w:sz w:val="32"/>
          <w:szCs w:val="32"/>
          <w:lang w:val="en-IN"/>
        </w:rPr>
        <w:t>dentify.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D6933" w:rsidRPr="009D6933" w:rsidRDefault="009D6933" w:rsidP="009D6933">
      <w:pPr>
        <w:pStyle w:val="NormalWeb"/>
        <w:numPr>
          <w:ilvl w:val="0"/>
          <w:numId w:val="46"/>
        </w:numPr>
        <w:spacing w:before="0" w:beforeAutospacing="0" w:after="0" w:afterAutospacing="0" w:line="360" w:lineRule="auto"/>
        <w:ind w:left="426"/>
        <w:jc w:val="both"/>
        <w:rPr>
          <w:sz w:val="32"/>
          <w:szCs w:val="32"/>
        </w:rPr>
      </w:pPr>
      <w:r w:rsidRPr="009D6933">
        <w:rPr>
          <w:sz w:val="32"/>
          <w:szCs w:val="32"/>
        </w:rPr>
        <w:t>Adiabatic Quantum-Flux-Parametron (AQFP) logic is an adiabatic superconductor logic family that has been proposed as a future technology towards building extremely energy-efcient computing systems.</w:t>
      </w:r>
    </w:p>
    <w:p w:rsidR="009D6933" w:rsidRPr="009D6933" w:rsidRDefault="009D6933" w:rsidP="009D6933">
      <w:pPr>
        <w:pStyle w:val="NormalWeb"/>
        <w:numPr>
          <w:ilvl w:val="0"/>
          <w:numId w:val="46"/>
        </w:numPr>
        <w:spacing w:before="0" w:beforeAutospacing="0" w:after="0" w:afterAutospacing="0" w:line="360" w:lineRule="auto"/>
        <w:ind w:left="426"/>
        <w:jc w:val="both"/>
        <w:rPr>
          <w:sz w:val="32"/>
          <w:szCs w:val="32"/>
        </w:rPr>
      </w:pPr>
      <w:r w:rsidRPr="009D6933">
        <w:rPr>
          <w:sz w:val="32"/>
          <w:szCs w:val="32"/>
        </w:rPr>
        <w:t>In order to mitigate the power consumption overhead of DC bias, the Adiabatic Quantum-Flux-Parametron (AQFP) technology has been proposed using AC bias/excitation currents as both (multi-phase) clock signal and power supply.</w:t>
      </w:r>
    </w:p>
    <w:p w:rsidR="009D6933" w:rsidRPr="009D6933" w:rsidRDefault="009D6933" w:rsidP="009D6933">
      <w:pPr>
        <w:pStyle w:val="NormalWeb"/>
        <w:numPr>
          <w:ilvl w:val="0"/>
          <w:numId w:val="46"/>
        </w:numPr>
        <w:spacing w:before="0" w:beforeAutospacing="0" w:after="0" w:afterAutospacing="0" w:line="360" w:lineRule="auto"/>
        <w:ind w:left="426"/>
        <w:jc w:val="both"/>
        <w:rPr>
          <w:sz w:val="32"/>
          <w:szCs w:val="32"/>
        </w:rPr>
      </w:pPr>
      <w:r w:rsidRPr="009D6933">
        <w:rPr>
          <w:sz w:val="32"/>
          <w:szCs w:val="32"/>
        </w:rPr>
        <w:t xml:space="preserve">Te proposed energy consumption estimation methodology is accurate and specifcally designed for AQFP circuits. </w:t>
      </w:r>
    </w:p>
    <w:p w:rsidR="003A5D44" w:rsidRDefault="009D6933" w:rsidP="00E53AA4">
      <w:pPr>
        <w:pStyle w:val="NormalWeb"/>
        <w:numPr>
          <w:ilvl w:val="0"/>
          <w:numId w:val="46"/>
        </w:numPr>
        <w:spacing w:before="0" w:beforeAutospacing="0" w:after="0" w:afterAutospacing="0" w:line="360" w:lineRule="auto"/>
        <w:ind w:left="426"/>
        <w:jc w:val="both"/>
        <w:rPr>
          <w:sz w:val="32"/>
          <w:szCs w:val="32"/>
        </w:rPr>
      </w:pPr>
      <w:r w:rsidRPr="009D6933">
        <w:rPr>
          <w:sz w:val="32"/>
          <w:szCs w:val="32"/>
        </w:rPr>
        <w:t>We have proposed a design flow for AQFP VLSI circuit design, which includes logic synthesis, semi-automatic routing and HDL-based back-end verification.</w:t>
      </w:r>
    </w:p>
    <w:p w:rsidR="009D6933" w:rsidRPr="009D6933" w:rsidRDefault="009D6933" w:rsidP="009D6933">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50338" w:rsidRDefault="00FF0E20" w:rsidP="00A50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0338">
        <w:rPr>
          <w:rFonts w:ascii="Times New Roman" w:eastAsia="AdvGulliv-R" w:hAnsi="Times New Roman" w:cs="Times New Roman"/>
          <w:bCs/>
          <w:sz w:val="32"/>
          <w:szCs w:val="32"/>
          <w:lang w:val="en-IN"/>
        </w:rPr>
        <w:t xml:space="preserve">Adiabatic quantum-flux-parametron (AQFP) logic is one kind of novel superconductor logic offering extremely </w:t>
      </w:r>
      <w:r w:rsidRPr="00A50338">
        <w:rPr>
          <w:rFonts w:ascii="Times New Roman" w:eastAsia="AdvGulliv-R" w:hAnsi="Times New Roman" w:cs="Times New Roman"/>
          <w:bCs/>
          <w:sz w:val="32"/>
          <w:szCs w:val="32"/>
          <w:lang w:val="en-IN"/>
        </w:rPr>
        <w:t>high-energy efficiency for building high-performance computing systems.</w:t>
      </w:r>
    </w:p>
    <w:p w:rsidR="00000000" w:rsidRPr="00A50338" w:rsidRDefault="00FF0E20" w:rsidP="00A50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0338">
        <w:rPr>
          <w:rFonts w:ascii="Times New Roman" w:eastAsia="AdvGulliv-R" w:hAnsi="Times New Roman" w:cs="Times New Roman"/>
          <w:bCs/>
          <w:sz w:val="32"/>
          <w:szCs w:val="32"/>
          <w:lang w:val="en-IN"/>
        </w:rPr>
        <w:t>It is easy to invert a normal input by negating the coupling coefficient of the output transformer of the logic gate without any other cost, which is an attractive feature of the AQFP</w:t>
      </w:r>
      <w:r w:rsidRPr="00A50338">
        <w:rPr>
          <w:rFonts w:ascii="Times New Roman" w:eastAsia="AdvGulliv-R" w:hAnsi="Times New Roman" w:cs="Times New Roman"/>
          <w:bCs/>
          <w:sz w:val="32"/>
          <w:szCs w:val="32"/>
          <w:lang w:val="en-IN"/>
        </w:rPr>
        <w:t xml:space="preserve"> logic family.</w:t>
      </w:r>
    </w:p>
    <w:p w:rsidR="00000000" w:rsidRPr="00A50338" w:rsidRDefault="00FF0E20" w:rsidP="00A50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0338">
        <w:rPr>
          <w:rFonts w:ascii="Times New Roman" w:eastAsia="AdvGulliv-R" w:hAnsi="Times New Roman" w:cs="Times New Roman"/>
          <w:bCs/>
          <w:sz w:val="32"/>
          <w:szCs w:val="32"/>
          <w:lang w:val="en-IN"/>
        </w:rPr>
        <w:t>However, the static energy dissipated from the dc-bias current flowing through bias resistors eliminates the advantage of superconducting circuits when integrated to system scales.</w:t>
      </w:r>
    </w:p>
    <w:p w:rsidR="00000000" w:rsidRPr="00A50338" w:rsidRDefault="00FF0E20" w:rsidP="00A503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0338">
        <w:rPr>
          <w:rFonts w:ascii="Times New Roman" w:eastAsia="AdvGulliv-R" w:hAnsi="Times New Roman" w:cs="Times New Roman"/>
          <w:bCs/>
          <w:sz w:val="32"/>
          <w:szCs w:val="32"/>
          <w:lang w:val="en-IN"/>
        </w:rPr>
        <w:t>The HDL-state ‘x’, which is the undetermined state, is use</w:t>
      </w:r>
      <w:r w:rsidRPr="00A50338">
        <w:rPr>
          <w:rFonts w:ascii="Times New Roman" w:eastAsia="AdvGulliv-R" w:hAnsi="Times New Roman" w:cs="Times New Roman"/>
          <w:bCs/>
          <w:sz w:val="32"/>
          <w:szCs w:val="32"/>
          <w:lang w:val="en-IN"/>
        </w:rPr>
        <w:t xml:space="preserve">d to describe the random output of an AQFP gate.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RSFQ logic/memory family: a new Josephson-junction technology for sub-terahertz-clock-frequency digital systems</w:t>
            </w:r>
          </w:p>
        </w:tc>
        <w:tc>
          <w:tcPr>
            <w:tcW w:w="3192" w:type="dxa"/>
          </w:tcPr>
          <w:p w:rsidR="000C407B" w:rsidRPr="002E2A37" w:rsidRDefault="002E2A37" w:rsidP="002E2A37">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 xml:space="preserve">. K. Likharev and V. K. Semenov, </w:t>
            </w:r>
          </w:p>
        </w:tc>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Hand-shaking style of local exchange by the clock pulses enables one to increase complexity of the LSI RSFQ systems without loss of operating speed.</w:t>
            </w:r>
          </w:p>
        </w:tc>
      </w:tr>
      <w:tr w:rsidR="000C407B" w:rsidTr="002E2A37">
        <w:trPr>
          <w:trHeight w:val="2268"/>
        </w:trPr>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lastRenderedPageBreak/>
              <w:t>An adiabatic quantum flux parametron as an ultra-low-power logic device</w:t>
            </w:r>
          </w:p>
        </w:tc>
        <w:tc>
          <w:tcPr>
            <w:tcW w:w="3192" w:type="dxa"/>
          </w:tcPr>
          <w:p w:rsidR="000C407B" w:rsidRPr="002E2A37" w:rsidRDefault="002E2A37" w:rsidP="002E2A37">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 xml:space="preserve">N. Takeuchi, D. Ozawa, Y. Yamanashi, and N. Yoshikawa, </w:t>
            </w:r>
          </w:p>
        </w:tc>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In this approach, nonhysteretic QFPs are operated slowly to prevent nonadiabatic energy dissipation occurring during switching events.</w:t>
            </w:r>
          </w:p>
        </w:tc>
      </w:tr>
      <w:tr w:rsidR="000C407B" w:rsidTr="000C407B">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Energy-Efficient Single Flux Quantum Technology</w:t>
            </w:r>
          </w:p>
        </w:tc>
        <w:tc>
          <w:tcPr>
            <w:tcW w:w="3192" w:type="dxa"/>
          </w:tcPr>
          <w:p w:rsidR="000C407B" w:rsidRPr="002E2A37" w:rsidRDefault="002E2A37" w:rsidP="002E2A37">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 xml:space="preserve">O. A. Mukhanov, </w:t>
            </w:r>
          </w:p>
        </w:tc>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In this paper, we review and compare different superconductor digital technology approaches and logic families addressing this problem.</w:t>
            </w:r>
          </w:p>
        </w:tc>
      </w:tr>
      <w:tr w:rsidR="000C407B" w:rsidTr="000C407B">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Ultra-low-power superconductor logic</w:t>
            </w:r>
          </w:p>
        </w:tc>
        <w:tc>
          <w:tcPr>
            <w:tcW w:w="3192" w:type="dxa"/>
          </w:tcPr>
          <w:p w:rsidR="000C407B" w:rsidRPr="002E2A37" w:rsidRDefault="002E2A37" w:rsidP="002E2A37">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sz w:val="28"/>
                <w:szCs w:val="28"/>
              </w:rPr>
              <w:t xml:space="preserve">Q.P. Herr, A.Y. Herr, O.T. Oberg, and A.G. Ioannidis, </w:t>
            </w:r>
          </w:p>
        </w:tc>
        <w:tc>
          <w:tcPr>
            <w:tcW w:w="3192" w:type="dxa"/>
          </w:tcPr>
          <w:p w:rsidR="000C407B" w:rsidRPr="002E2A37" w:rsidRDefault="002E2A37" w:rsidP="00E53AA4">
            <w:pPr>
              <w:tabs>
                <w:tab w:val="left" w:pos="720"/>
              </w:tabs>
              <w:spacing w:after="100" w:line="360" w:lineRule="auto"/>
              <w:jc w:val="both"/>
              <w:rPr>
                <w:rFonts w:ascii="Times New Roman" w:hAnsi="Times New Roman" w:cs="Times New Roman"/>
                <w:sz w:val="28"/>
                <w:szCs w:val="28"/>
              </w:rPr>
            </w:pPr>
            <w:r w:rsidRPr="002E2A37">
              <w:rPr>
                <w:rFonts w:ascii="Times New Roman" w:hAnsi="Times New Roman" w:cs="Times New Roman"/>
                <w:color w:val="333333"/>
                <w:sz w:val="28"/>
                <w:szCs w:val="28"/>
                <w:shd w:val="clear" w:color="auto" w:fill="FFFFFF"/>
              </w:rPr>
              <w:t>These features indicate that the technology is scalable to far more complex circuits at a significant level of integration.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D0F84" w:rsidP="00E53AA4">
      <w:pPr>
        <w:spacing w:after="0" w:line="360" w:lineRule="auto"/>
        <w:jc w:val="both"/>
        <w:rPr>
          <w:rFonts w:ascii="Times New Roman" w:hAnsi="Times New Roman" w:cs="Times New Roman"/>
        </w:rPr>
      </w:pPr>
      <w:r w:rsidRPr="002D0F84">
        <w:rPr>
          <w:rFonts w:ascii="Times New Roman" w:hAnsi="Times New Roman" w:cs="Times New Roman"/>
        </w:rPr>
        <w:drawing>
          <wp:inline distT="0" distB="0" distL="0" distR="0">
            <wp:extent cx="5943600" cy="430403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0403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D0F84" w:rsidRDefault="002D0F8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7058E" w:rsidRPr="0037058E" w:rsidRDefault="0037058E" w:rsidP="0037058E">
      <w:pPr>
        <w:pStyle w:val="BodyText"/>
        <w:rPr>
          <w:bCs/>
          <w:iCs/>
          <w:sz w:val="32"/>
          <w:szCs w:val="32"/>
          <w:lang w:val="en-IN"/>
        </w:rPr>
      </w:pPr>
      <w:r w:rsidRPr="0037058E">
        <w:rPr>
          <w:b/>
          <w:iCs/>
          <w:sz w:val="28"/>
          <w:szCs w:val="28"/>
          <w:lang w:val="en-IN"/>
        </w:rPr>
        <w:t xml:space="preserve">   </w:t>
      </w:r>
      <w:r w:rsidRPr="0037058E">
        <w:rPr>
          <w:bCs/>
          <w:iCs/>
          <w:sz w:val="32"/>
          <w:szCs w:val="32"/>
          <w:lang w:val="en-IN"/>
        </w:rPr>
        <w:t>We have developed a digital simulation environment for AQFP VLSI design using the cell-based methodology. This is the first step towards VLSI design in AQFP logic. Several circuits have already been designed using this digital simulation approach and fabricated into chips. Bencmark test have been run by using an 8-bit carry-look ahead adder, which shows the robustness and reliability of our designed cell library. We will also look into System Verilog instead of Verilog to gain more flexbilities and enhance our verification methodologies.</w:t>
      </w:r>
      <w:r w:rsidRPr="0037058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58E" w:rsidRDefault="0037058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9256A" w:rsidRDefault="00FF0E20" w:rsidP="0029256A">
      <w:pPr>
        <w:pStyle w:val="BodyText"/>
        <w:numPr>
          <w:ilvl w:val="0"/>
          <w:numId w:val="42"/>
        </w:numPr>
        <w:rPr>
          <w:sz w:val="32"/>
          <w:szCs w:val="32"/>
          <w:lang w:val="en-IN"/>
        </w:rPr>
      </w:pPr>
      <w:r w:rsidRPr="0029256A">
        <w:rPr>
          <w:sz w:val="32"/>
          <w:szCs w:val="32"/>
          <w:lang w:val="en-IN"/>
        </w:rPr>
        <w:t>[1] K. K. Likhar</w:t>
      </w:r>
      <w:r w:rsidRPr="0029256A">
        <w:rPr>
          <w:sz w:val="32"/>
          <w:szCs w:val="32"/>
          <w:lang w:val="en-IN"/>
        </w:rPr>
        <w:t xml:space="preserve">ev and V. K. Semenov, “RSFQ logic/memory family: a new Josephson-junction technology for sub-terahertz-clock-frequency digital systems,” IEEE Trans. Appl. Supercond., vol. 1, no. 1, pp. 3–28, Mar. 1991. </w:t>
      </w:r>
    </w:p>
    <w:p w:rsidR="00000000" w:rsidRPr="0029256A" w:rsidRDefault="00FF0E20" w:rsidP="0029256A">
      <w:pPr>
        <w:pStyle w:val="BodyText"/>
        <w:numPr>
          <w:ilvl w:val="0"/>
          <w:numId w:val="42"/>
        </w:numPr>
        <w:rPr>
          <w:sz w:val="32"/>
          <w:szCs w:val="32"/>
          <w:lang w:val="en-IN"/>
        </w:rPr>
      </w:pPr>
      <w:r w:rsidRPr="0029256A">
        <w:rPr>
          <w:sz w:val="32"/>
          <w:szCs w:val="32"/>
          <w:lang w:val="en-IN"/>
        </w:rPr>
        <w:t>[2] N. Takeuchi, D. Ozawa, Y. Yamanashi, and N. Yos</w:t>
      </w:r>
      <w:r w:rsidRPr="0029256A">
        <w:rPr>
          <w:sz w:val="32"/>
          <w:szCs w:val="32"/>
          <w:lang w:val="en-IN"/>
        </w:rPr>
        <w:t xml:space="preserve">hikawa, “An adiabatic quantum flux parametron as an ultra-low-power logic device,” Supercond. Sci. Technol., vol. 26, no. 3, p. 035010, Mar. 2013. </w:t>
      </w:r>
    </w:p>
    <w:p w:rsidR="00000000" w:rsidRPr="0029256A" w:rsidRDefault="00FF0E20" w:rsidP="0029256A">
      <w:pPr>
        <w:pStyle w:val="BodyText"/>
        <w:numPr>
          <w:ilvl w:val="0"/>
          <w:numId w:val="42"/>
        </w:numPr>
        <w:rPr>
          <w:sz w:val="32"/>
          <w:szCs w:val="32"/>
          <w:lang w:val="en-IN"/>
        </w:rPr>
      </w:pPr>
      <w:r w:rsidRPr="0029256A">
        <w:rPr>
          <w:sz w:val="32"/>
          <w:szCs w:val="32"/>
          <w:lang w:val="en-IN"/>
        </w:rPr>
        <w:t>[3] O. A. Mukhanov, “Energy-Efficient Single Flux Quantum Technology”, IEEE Trans. Appl. Supercond., vol. 2</w:t>
      </w:r>
      <w:r w:rsidRPr="0029256A">
        <w:rPr>
          <w:sz w:val="32"/>
          <w:szCs w:val="32"/>
          <w:lang w:val="en-IN"/>
        </w:rPr>
        <w:t xml:space="preserve">1, no. 3, pp. 760–769, Jan. 2011. </w:t>
      </w:r>
    </w:p>
    <w:p w:rsidR="00000000" w:rsidRPr="0029256A" w:rsidRDefault="00FF0E20" w:rsidP="0029256A">
      <w:pPr>
        <w:pStyle w:val="BodyText"/>
        <w:numPr>
          <w:ilvl w:val="0"/>
          <w:numId w:val="42"/>
        </w:numPr>
        <w:rPr>
          <w:sz w:val="32"/>
          <w:szCs w:val="32"/>
          <w:lang w:val="en-IN"/>
        </w:rPr>
      </w:pPr>
      <w:r w:rsidRPr="0029256A">
        <w:rPr>
          <w:sz w:val="32"/>
          <w:szCs w:val="32"/>
          <w:lang w:val="en-IN"/>
        </w:rPr>
        <w:t xml:space="preserve">[4] Q.P. Herr, A.Y. Herr, O.T. Oberg, and A.G. Ioannidis, “Ultra-low-power superconductor logic”, J. Appl. Phys. vol. 109, pp. 103903-103910, 2011. </w:t>
      </w:r>
    </w:p>
    <w:p w:rsidR="00000000" w:rsidRPr="0029256A" w:rsidRDefault="00FF0E20" w:rsidP="0029256A">
      <w:pPr>
        <w:pStyle w:val="BodyText"/>
        <w:numPr>
          <w:ilvl w:val="0"/>
          <w:numId w:val="42"/>
        </w:numPr>
        <w:rPr>
          <w:sz w:val="32"/>
          <w:szCs w:val="32"/>
          <w:lang w:val="en-IN"/>
        </w:rPr>
      </w:pPr>
      <w:r w:rsidRPr="0029256A">
        <w:rPr>
          <w:sz w:val="32"/>
          <w:szCs w:val="32"/>
          <w:lang w:val="en-IN"/>
        </w:rPr>
        <w:t>[5] N Yoshikawa and Y Kato, “Reduction of power consumption of RSFQ ci</w:t>
      </w:r>
      <w:r w:rsidRPr="0029256A">
        <w:rPr>
          <w:sz w:val="32"/>
          <w:szCs w:val="32"/>
          <w:lang w:val="en-IN"/>
        </w:rPr>
        <w:t>rcuits by inductance-load biasing,” Supercond. Sci. Technol., vol.12, pp.918-920, Nov. 1999.</w:t>
      </w:r>
      <w:r w:rsidRPr="0029256A">
        <w:rPr>
          <w:sz w:val="32"/>
          <w:szCs w:val="32"/>
        </w:rPr>
        <w:t xml:space="preserve"> </w:t>
      </w:r>
    </w:p>
    <w:p w:rsidR="00000000" w:rsidRPr="0029256A" w:rsidRDefault="00FF0E20" w:rsidP="0029256A">
      <w:pPr>
        <w:pStyle w:val="BodyText"/>
        <w:numPr>
          <w:ilvl w:val="0"/>
          <w:numId w:val="42"/>
        </w:numPr>
        <w:rPr>
          <w:sz w:val="32"/>
          <w:szCs w:val="32"/>
          <w:lang w:val="en-IN"/>
        </w:rPr>
      </w:pPr>
      <w:r w:rsidRPr="0029256A">
        <w:rPr>
          <w:sz w:val="32"/>
          <w:szCs w:val="32"/>
          <w:lang w:val="en-IN"/>
        </w:rPr>
        <w:t>[6] M. Tanaka, M. Ito, A. Kitayama, T. Kouketsu, and A. Fujimaki, “18-GHz, 4.0-aJ/bit operation of ultra-low-energy rapid single-flux-quantum shift registers,” J</w:t>
      </w:r>
      <w:r w:rsidRPr="0029256A">
        <w:rPr>
          <w:sz w:val="32"/>
          <w:szCs w:val="32"/>
          <w:lang w:val="en-IN"/>
        </w:rPr>
        <w:t xml:space="preserve">pn. J. Appl. Phys., vol. 51, p. 053102, May 2012. </w:t>
      </w:r>
    </w:p>
    <w:p w:rsidR="00000000" w:rsidRPr="0029256A" w:rsidRDefault="00FF0E20" w:rsidP="0029256A">
      <w:pPr>
        <w:pStyle w:val="BodyText"/>
        <w:numPr>
          <w:ilvl w:val="0"/>
          <w:numId w:val="42"/>
        </w:numPr>
        <w:rPr>
          <w:sz w:val="32"/>
          <w:szCs w:val="32"/>
          <w:lang w:val="en-IN"/>
        </w:rPr>
      </w:pPr>
      <w:r w:rsidRPr="0029256A">
        <w:rPr>
          <w:sz w:val="32"/>
          <w:szCs w:val="32"/>
          <w:lang w:val="en-IN"/>
        </w:rPr>
        <w:lastRenderedPageBreak/>
        <w:t>[7] E. S. Fang and T. Van Duzer, “A Josephson integrated circuit simulator (JSIM) for superconductive electronics application,” in Extended Abstracts of 1989 Intl. Superconductivity Electronics Conf. (ISE</w:t>
      </w:r>
      <w:r w:rsidRPr="0029256A">
        <w:rPr>
          <w:sz w:val="32"/>
          <w:szCs w:val="32"/>
          <w:lang w:val="en-IN"/>
        </w:rPr>
        <w:t xml:space="preserve">C '89), Tokyo, Japan: JSAP, 1989, pp. 407-410. </w:t>
      </w:r>
    </w:p>
    <w:p w:rsidR="00000000" w:rsidRPr="0029256A" w:rsidRDefault="00FF0E20" w:rsidP="0029256A">
      <w:pPr>
        <w:pStyle w:val="BodyText"/>
        <w:numPr>
          <w:ilvl w:val="0"/>
          <w:numId w:val="42"/>
        </w:numPr>
        <w:rPr>
          <w:sz w:val="32"/>
          <w:szCs w:val="32"/>
          <w:lang w:val="en-IN"/>
        </w:rPr>
      </w:pPr>
      <w:r w:rsidRPr="0029256A">
        <w:rPr>
          <w:sz w:val="32"/>
          <w:szCs w:val="32"/>
          <w:lang w:val="en-IN"/>
        </w:rPr>
        <w:t xml:space="preserve">[8] F. Matsuzaki, N. Yoshikawa, M. Tanaka, A. Fujimaki, Y. Takai, “A behavioral-level HDL description of SFQ logic circuits for quantitative performance analysis of large-scale SFQ digital systems”, Physica </w:t>
      </w:r>
      <w:r w:rsidRPr="0029256A">
        <w:rPr>
          <w:sz w:val="32"/>
          <w:szCs w:val="32"/>
          <w:lang w:val="en-IN"/>
        </w:rPr>
        <w:t xml:space="preserve">C, no. 392, pp. 1495-1500, 2003. </w:t>
      </w:r>
    </w:p>
    <w:p w:rsidR="00000000" w:rsidRPr="0029256A" w:rsidRDefault="00FF0E20" w:rsidP="0029256A">
      <w:pPr>
        <w:pStyle w:val="BodyText"/>
        <w:numPr>
          <w:ilvl w:val="0"/>
          <w:numId w:val="42"/>
        </w:numPr>
        <w:rPr>
          <w:sz w:val="32"/>
          <w:szCs w:val="32"/>
          <w:lang w:val="en-IN"/>
        </w:rPr>
      </w:pPr>
      <w:r w:rsidRPr="0029256A">
        <w:rPr>
          <w:sz w:val="32"/>
          <w:szCs w:val="32"/>
          <w:lang w:val="en-IN"/>
        </w:rPr>
        <w:t xml:space="preserve">[9] V. Adler, C. Cheah, K. Gaj, D. K. Brock, and E. G. Friedman, “A Cadence-Based Design Enviorment for Single Flux Quantum Circuits,” IEEE Trans. Appl. Supercond., vol. 7, no. 2, pp. 3294–3297, June. 1997. </w:t>
      </w:r>
    </w:p>
    <w:p w:rsidR="00000000" w:rsidRPr="0029256A" w:rsidRDefault="00FF0E20" w:rsidP="0029256A">
      <w:pPr>
        <w:pStyle w:val="BodyText"/>
        <w:numPr>
          <w:ilvl w:val="0"/>
          <w:numId w:val="42"/>
        </w:numPr>
        <w:rPr>
          <w:sz w:val="32"/>
          <w:szCs w:val="32"/>
          <w:lang w:val="en-IN"/>
        </w:rPr>
      </w:pPr>
      <w:r w:rsidRPr="0029256A">
        <w:rPr>
          <w:sz w:val="32"/>
          <w:szCs w:val="32"/>
          <w:lang w:val="en-IN"/>
        </w:rPr>
        <w:t>[10] N. Take</w:t>
      </w:r>
      <w:r w:rsidRPr="0029256A">
        <w:rPr>
          <w:sz w:val="32"/>
          <w:szCs w:val="32"/>
          <w:lang w:val="en-IN"/>
        </w:rPr>
        <w:t xml:space="preserve">uchi, Y. Yamanashi, and N. Yoshikawa, “Adiabatic quantum-flux-parametron cell library adopting minimalist design,” J. Appl. Phys., vol. 117, no. 17, p. 173912,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E20" w:rsidRDefault="00FF0E20" w:rsidP="003654DF">
      <w:pPr>
        <w:spacing w:after="0" w:line="240" w:lineRule="auto"/>
      </w:pPr>
      <w:r>
        <w:separator/>
      </w:r>
    </w:p>
  </w:endnote>
  <w:endnote w:type="continuationSeparator" w:id="1">
    <w:p w:rsidR="00FF0E20" w:rsidRDefault="00FF0E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E20" w:rsidRDefault="00FF0E20" w:rsidP="003654DF">
      <w:pPr>
        <w:spacing w:after="0" w:line="240" w:lineRule="auto"/>
      </w:pPr>
      <w:r>
        <w:separator/>
      </w:r>
    </w:p>
  </w:footnote>
  <w:footnote w:type="continuationSeparator" w:id="1">
    <w:p w:rsidR="00FF0E20" w:rsidRDefault="00FF0E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073C">
        <w:pPr>
          <w:pStyle w:val="Header"/>
          <w:jc w:val="right"/>
        </w:pPr>
        <w:fldSimple w:instr=" PAGE   \* MERGEFORMAT ">
          <w:r w:rsidR="002D0F8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E36B63"/>
    <w:multiLevelType w:val="hybridMultilevel"/>
    <w:tmpl w:val="06289D76"/>
    <w:lvl w:ilvl="0" w:tplc="37225A80">
      <w:start w:val="1"/>
      <w:numFmt w:val="bullet"/>
      <w:lvlText w:val=""/>
      <w:lvlJc w:val="left"/>
      <w:pPr>
        <w:tabs>
          <w:tab w:val="num" w:pos="720"/>
        </w:tabs>
        <w:ind w:left="720" w:hanging="360"/>
      </w:pPr>
      <w:rPr>
        <w:rFonts w:ascii="Wingdings 2" w:hAnsi="Wingdings 2" w:hint="default"/>
      </w:rPr>
    </w:lvl>
    <w:lvl w:ilvl="1" w:tplc="632AD018" w:tentative="1">
      <w:start w:val="1"/>
      <w:numFmt w:val="bullet"/>
      <w:lvlText w:val=""/>
      <w:lvlJc w:val="left"/>
      <w:pPr>
        <w:tabs>
          <w:tab w:val="num" w:pos="1440"/>
        </w:tabs>
        <w:ind w:left="1440" w:hanging="360"/>
      </w:pPr>
      <w:rPr>
        <w:rFonts w:ascii="Wingdings 2" w:hAnsi="Wingdings 2" w:hint="default"/>
      </w:rPr>
    </w:lvl>
    <w:lvl w:ilvl="2" w:tplc="C9125A98" w:tentative="1">
      <w:start w:val="1"/>
      <w:numFmt w:val="bullet"/>
      <w:lvlText w:val=""/>
      <w:lvlJc w:val="left"/>
      <w:pPr>
        <w:tabs>
          <w:tab w:val="num" w:pos="2160"/>
        </w:tabs>
        <w:ind w:left="2160" w:hanging="360"/>
      </w:pPr>
      <w:rPr>
        <w:rFonts w:ascii="Wingdings 2" w:hAnsi="Wingdings 2" w:hint="default"/>
      </w:rPr>
    </w:lvl>
    <w:lvl w:ilvl="3" w:tplc="F27C14C0" w:tentative="1">
      <w:start w:val="1"/>
      <w:numFmt w:val="bullet"/>
      <w:lvlText w:val=""/>
      <w:lvlJc w:val="left"/>
      <w:pPr>
        <w:tabs>
          <w:tab w:val="num" w:pos="2880"/>
        </w:tabs>
        <w:ind w:left="2880" w:hanging="360"/>
      </w:pPr>
      <w:rPr>
        <w:rFonts w:ascii="Wingdings 2" w:hAnsi="Wingdings 2" w:hint="default"/>
      </w:rPr>
    </w:lvl>
    <w:lvl w:ilvl="4" w:tplc="92BCD56E" w:tentative="1">
      <w:start w:val="1"/>
      <w:numFmt w:val="bullet"/>
      <w:lvlText w:val=""/>
      <w:lvlJc w:val="left"/>
      <w:pPr>
        <w:tabs>
          <w:tab w:val="num" w:pos="3600"/>
        </w:tabs>
        <w:ind w:left="3600" w:hanging="360"/>
      </w:pPr>
      <w:rPr>
        <w:rFonts w:ascii="Wingdings 2" w:hAnsi="Wingdings 2" w:hint="default"/>
      </w:rPr>
    </w:lvl>
    <w:lvl w:ilvl="5" w:tplc="92DA17F4" w:tentative="1">
      <w:start w:val="1"/>
      <w:numFmt w:val="bullet"/>
      <w:lvlText w:val=""/>
      <w:lvlJc w:val="left"/>
      <w:pPr>
        <w:tabs>
          <w:tab w:val="num" w:pos="4320"/>
        </w:tabs>
        <w:ind w:left="4320" w:hanging="360"/>
      </w:pPr>
      <w:rPr>
        <w:rFonts w:ascii="Wingdings 2" w:hAnsi="Wingdings 2" w:hint="default"/>
      </w:rPr>
    </w:lvl>
    <w:lvl w:ilvl="6" w:tplc="5B80923C" w:tentative="1">
      <w:start w:val="1"/>
      <w:numFmt w:val="bullet"/>
      <w:lvlText w:val=""/>
      <w:lvlJc w:val="left"/>
      <w:pPr>
        <w:tabs>
          <w:tab w:val="num" w:pos="5040"/>
        </w:tabs>
        <w:ind w:left="5040" w:hanging="360"/>
      </w:pPr>
      <w:rPr>
        <w:rFonts w:ascii="Wingdings 2" w:hAnsi="Wingdings 2" w:hint="default"/>
      </w:rPr>
    </w:lvl>
    <w:lvl w:ilvl="7" w:tplc="6F069606" w:tentative="1">
      <w:start w:val="1"/>
      <w:numFmt w:val="bullet"/>
      <w:lvlText w:val=""/>
      <w:lvlJc w:val="left"/>
      <w:pPr>
        <w:tabs>
          <w:tab w:val="num" w:pos="5760"/>
        </w:tabs>
        <w:ind w:left="5760" w:hanging="360"/>
      </w:pPr>
      <w:rPr>
        <w:rFonts w:ascii="Wingdings 2" w:hAnsi="Wingdings 2" w:hint="default"/>
      </w:rPr>
    </w:lvl>
    <w:lvl w:ilvl="8" w:tplc="0832B39E"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F57633"/>
    <w:multiLevelType w:val="hybridMultilevel"/>
    <w:tmpl w:val="89F05D0A"/>
    <w:lvl w:ilvl="0" w:tplc="B0925338">
      <w:start w:val="1"/>
      <w:numFmt w:val="bullet"/>
      <w:lvlText w:val=""/>
      <w:lvlJc w:val="left"/>
      <w:pPr>
        <w:tabs>
          <w:tab w:val="num" w:pos="720"/>
        </w:tabs>
        <w:ind w:left="720" w:hanging="360"/>
      </w:pPr>
      <w:rPr>
        <w:rFonts w:ascii="Wingdings 2" w:hAnsi="Wingdings 2" w:hint="default"/>
      </w:rPr>
    </w:lvl>
    <w:lvl w:ilvl="1" w:tplc="06AA0914" w:tentative="1">
      <w:start w:val="1"/>
      <w:numFmt w:val="bullet"/>
      <w:lvlText w:val=""/>
      <w:lvlJc w:val="left"/>
      <w:pPr>
        <w:tabs>
          <w:tab w:val="num" w:pos="1440"/>
        </w:tabs>
        <w:ind w:left="1440" w:hanging="360"/>
      </w:pPr>
      <w:rPr>
        <w:rFonts w:ascii="Wingdings 2" w:hAnsi="Wingdings 2" w:hint="default"/>
      </w:rPr>
    </w:lvl>
    <w:lvl w:ilvl="2" w:tplc="897CE1F8" w:tentative="1">
      <w:start w:val="1"/>
      <w:numFmt w:val="bullet"/>
      <w:lvlText w:val=""/>
      <w:lvlJc w:val="left"/>
      <w:pPr>
        <w:tabs>
          <w:tab w:val="num" w:pos="2160"/>
        </w:tabs>
        <w:ind w:left="2160" w:hanging="360"/>
      </w:pPr>
      <w:rPr>
        <w:rFonts w:ascii="Wingdings 2" w:hAnsi="Wingdings 2" w:hint="default"/>
      </w:rPr>
    </w:lvl>
    <w:lvl w:ilvl="3" w:tplc="97A65202" w:tentative="1">
      <w:start w:val="1"/>
      <w:numFmt w:val="bullet"/>
      <w:lvlText w:val=""/>
      <w:lvlJc w:val="left"/>
      <w:pPr>
        <w:tabs>
          <w:tab w:val="num" w:pos="2880"/>
        </w:tabs>
        <w:ind w:left="2880" w:hanging="360"/>
      </w:pPr>
      <w:rPr>
        <w:rFonts w:ascii="Wingdings 2" w:hAnsi="Wingdings 2" w:hint="default"/>
      </w:rPr>
    </w:lvl>
    <w:lvl w:ilvl="4" w:tplc="781A102A" w:tentative="1">
      <w:start w:val="1"/>
      <w:numFmt w:val="bullet"/>
      <w:lvlText w:val=""/>
      <w:lvlJc w:val="left"/>
      <w:pPr>
        <w:tabs>
          <w:tab w:val="num" w:pos="3600"/>
        </w:tabs>
        <w:ind w:left="3600" w:hanging="360"/>
      </w:pPr>
      <w:rPr>
        <w:rFonts w:ascii="Wingdings 2" w:hAnsi="Wingdings 2" w:hint="default"/>
      </w:rPr>
    </w:lvl>
    <w:lvl w:ilvl="5" w:tplc="6D76A8A2" w:tentative="1">
      <w:start w:val="1"/>
      <w:numFmt w:val="bullet"/>
      <w:lvlText w:val=""/>
      <w:lvlJc w:val="left"/>
      <w:pPr>
        <w:tabs>
          <w:tab w:val="num" w:pos="4320"/>
        </w:tabs>
        <w:ind w:left="4320" w:hanging="360"/>
      </w:pPr>
      <w:rPr>
        <w:rFonts w:ascii="Wingdings 2" w:hAnsi="Wingdings 2" w:hint="default"/>
      </w:rPr>
    </w:lvl>
    <w:lvl w:ilvl="6" w:tplc="DB18ABA6" w:tentative="1">
      <w:start w:val="1"/>
      <w:numFmt w:val="bullet"/>
      <w:lvlText w:val=""/>
      <w:lvlJc w:val="left"/>
      <w:pPr>
        <w:tabs>
          <w:tab w:val="num" w:pos="5040"/>
        </w:tabs>
        <w:ind w:left="5040" w:hanging="360"/>
      </w:pPr>
      <w:rPr>
        <w:rFonts w:ascii="Wingdings 2" w:hAnsi="Wingdings 2" w:hint="default"/>
      </w:rPr>
    </w:lvl>
    <w:lvl w:ilvl="7" w:tplc="B4F48150" w:tentative="1">
      <w:start w:val="1"/>
      <w:numFmt w:val="bullet"/>
      <w:lvlText w:val=""/>
      <w:lvlJc w:val="left"/>
      <w:pPr>
        <w:tabs>
          <w:tab w:val="num" w:pos="5760"/>
        </w:tabs>
        <w:ind w:left="5760" w:hanging="360"/>
      </w:pPr>
      <w:rPr>
        <w:rFonts w:ascii="Wingdings 2" w:hAnsi="Wingdings 2" w:hint="default"/>
      </w:rPr>
    </w:lvl>
    <w:lvl w:ilvl="8" w:tplc="751C0CC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812009"/>
    <w:multiLevelType w:val="hybridMultilevel"/>
    <w:tmpl w:val="554473A4"/>
    <w:lvl w:ilvl="0" w:tplc="F9804876">
      <w:start w:val="1"/>
      <w:numFmt w:val="bullet"/>
      <w:lvlText w:val=""/>
      <w:lvlJc w:val="left"/>
      <w:pPr>
        <w:tabs>
          <w:tab w:val="num" w:pos="720"/>
        </w:tabs>
        <w:ind w:left="720" w:hanging="360"/>
      </w:pPr>
      <w:rPr>
        <w:rFonts w:ascii="Wingdings 2" w:hAnsi="Wingdings 2" w:hint="default"/>
      </w:rPr>
    </w:lvl>
    <w:lvl w:ilvl="1" w:tplc="4B7AFD5A" w:tentative="1">
      <w:start w:val="1"/>
      <w:numFmt w:val="bullet"/>
      <w:lvlText w:val=""/>
      <w:lvlJc w:val="left"/>
      <w:pPr>
        <w:tabs>
          <w:tab w:val="num" w:pos="1440"/>
        </w:tabs>
        <w:ind w:left="1440" w:hanging="360"/>
      </w:pPr>
      <w:rPr>
        <w:rFonts w:ascii="Wingdings 2" w:hAnsi="Wingdings 2" w:hint="default"/>
      </w:rPr>
    </w:lvl>
    <w:lvl w:ilvl="2" w:tplc="0DCE0F6A" w:tentative="1">
      <w:start w:val="1"/>
      <w:numFmt w:val="bullet"/>
      <w:lvlText w:val=""/>
      <w:lvlJc w:val="left"/>
      <w:pPr>
        <w:tabs>
          <w:tab w:val="num" w:pos="2160"/>
        </w:tabs>
        <w:ind w:left="2160" w:hanging="360"/>
      </w:pPr>
      <w:rPr>
        <w:rFonts w:ascii="Wingdings 2" w:hAnsi="Wingdings 2" w:hint="default"/>
      </w:rPr>
    </w:lvl>
    <w:lvl w:ilvl="3" w:tplc="AD66CDFC" w:tentative="1">
      <w:start w:val="1"/>
      <w:numFmt w:val="bullet"/>
      <w:lvlText w:val=""/>
      <w:lvlJc w:val="left"/>
      <w:pPr>
        <w:tabs>
          <w:tab w:val="num" w:pos="2880"/>
        </w:tabs>
        <w:ind w:left="2880" w:hanging="360"/>
      </w:pPr>
      <w:rPr>
        <w:rFonts w:ascii="Wingdings 2" w:hAnsi="Wingdings 2" w:hint="default"/>
      </w:rPr>
    </w:lvl>
    <w:lvl w:ilvl="4" w:tplc="B8426BB6" w:tentative="1">
      <w:start w:val="1"/>
      <w:numFmt w:val="bullet"/>
      <w:lvlText w:val=""/>
      <w:lvlJc w:val="left"/>
      <w:pPr>
        <w:tabs>
          <w:tab w:val="num" w:pos="3600"/>
        </w:tabs>
        <w:ind w:left="3600" w:hanging="360"/>
      </w:pPr>
      <w:rPr>
        <w:rFonts w:ascii="Wingdings 2" w:hAnsi="Wingdings 2" w:hint="default"/>
      </w:rPr>
    </w:lvl>
    <w:lvl w:ilvl="5" w:tplc="9EFC9E58" w:tentative="1">
      <w:start w:val="1"/>
      <w:numFmt w:val="bullet"/>
      <w:lvlText w:val=""/>
      <w:lvlJc w:val="left"/>
      <w:pPr>
        <w:tabs>
          <w:tab w:val="num" w:pos="4320"/>
        </w:tabs>
        <w:ind w:left="4320" w:hanging="360"/>
      </w:pPr>
      <w:rPr>
        <w:rFonts w:ascii="Wingdings 2" w:hAnsi="Wingdings 2" w:hint="default"/>
      </w:rPr>
    </w:lvl>
    <w:lvl w:ilvl="6" w:tplc="2F58B3EC" w:tentative="1">
      <w:start w:val="1"/>
      <w:numFmt w:val="bullet"/>
      <w:lvlText w:val=""/>
      <w:lvlJc w:val="left"/>
      <w:pPr>
        <w:tabs>
          <w:tab w:val="num" w:pos="5040"/>
        </w:tabs>
        <w:ind w:left="5040" w:hanging="360"/>
      </w:pPr>
      <w:rPr>
        <w:rFonts w:ascii="Wingdings 2" w:hAnsi="Wingdings 2" w:hint="default"/>
      </w:rPr>
    </w:lvl>
    <w:lvl w:ilvl="7" w:tplc="F63AD5B6" w:tentative="1">
      <w:start w:val="1"/>
      <w:numFmt w:val="bullet"/>
      <w:lvlText w:val=""/>
      <w:lvlJc w:val="left"/>
      <w:pPr>
        <w:tabs>
          <w:tab w:val="num" w:pos="5760"/>
        </w:tabs>
        <w:ind w:left="5760" w:hanging="360"/>
      </w:pPr>
      <w:rPr>
        <w:rFonts w:ascii="Wingdings 2" w:hAnsi="Wingdings 2" w:hint="default"/>
      </w:rPr>
    </w:lvl>
    <w:lvl w:ilvl="8" w:tplc="539888E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E30977"/>
    <w:multiLevelType w:val="hybridMultilevel"/>
    <w:tmpl w:val="B2AAB368"/>
    <w:lvl w:ilvl="0" w:tplc="50822554">
      <w:start w:val="1"/>
      <w:numFmt w:val="bullet"/>
      <w:lvlText w:val=""/>
      <w:lvlJc w:val="left"/>
      <w:pPr>
        <w:tabs>
          <w:tab w:val="num" w:pos="720"/>
        </w:tabs>
        <w:ind w:left="720" w:hanging="360"/>
      </w:pPr>
      <w:rPr>
        <w:rFonts w:ascii="Wingdings 2" w:hAnsi="Wingdings 2" w:hint="default"/>
      </w:rPr>
    </w:lvl>
    <w:lvl w:ilvl="1" w:tplc="59209A28" w:tentative="1">
      <w:start w:val="1"/>
      <w:numFmt w:val="bullet"/>
      <w:lvlText w:val=""/>
      <w:lvlJc w:val="left"/>
      <w:pPr>
        <w:tabs>
          <w:tab w:val="num" w:pos="1440"/>
        </w:tabs>
        <w:ind w:left="1440" w:hanging="360"/>
      </w:pPr>
      <w:rPr>
        <w:rFonts w:ascii="Wingdings 2" w:hAnsi="Wingdings 2" w:hint="default"/>
      </w:rPr>
    </w:lvl>
    <w:lvl w:ilvl="2" w:tplc="55ECB6B0" w:tentative="1">
      <w:start w:val="1"/>
      <w:numFmt w:val="bullet"/>
      <w:lvlText w:val=""/>
      <w:lvlJc w:val="left"/>
      <w:pPr>
        <w:tabs>
          <w:tab w:val="num" w:pos="2160"/>
        </w:tabs>
        <w:ind w:left="2160" w:hanging="360"/>
      </w:pPr>
      <w:rPr>
        <w:rFonts w:ascii="Wingdings 2" w:hAnsi="Wingdings 2" w:hint="default"/>
      </w:rPr>
    </w:lvl>
    <w:lvl w:ilvl="3" w:tplc="0EB45B42" w:tentative="1">
      <w:start w:val="1"/>
      <w:numFmt w:val="bullet"/>
      <w:lvlText w:val=""/>
      <w:lvlJc w:val="left"/>
      <w:pPr>
        <w:tabs>
          <w:tab w:val="num" w:pos="2880"/>
        </w:tabs>
        <w:ind w:left="2880" w:hanging="360"/>
      </w:pPr>
      <w:rPr>
        <w:rFonts w:ascii="Wingdings 2" w:hAnsi="Wingdings 2" w:hint="default"/>
      </w:rPr>
    </w:lvl>
    <w:lvl w:ilvl="4" w:tplc="84F2AB40" w:tentative="1">
      <w:start w:val="1"/>
      <w:numFmt w:val="bullet"/>
      <w:lvlText w:val=""/>
      <w:lvlJc w:val="left"/>
      <w:pPr>
        <w:tabs>
          <w:tab w:val="num" w:pos="3600"/>
        </w:tabs>
        <w:ind w:left="3600" w:hanging="360"/>
      </w:pPr>
      <w:rPr>
        <w:rFonts w:ascii="Wingdings 2" w:hAnsi="Wingdings 2" w:hint="default"/>
      </w:rPr>
    </w:lvl>
    <w:lvl w:ilvl="5" w:tplc="4CBC3582" w:tentative="1">
      <w:start w:val="1"/>
      <w:numFmt w:val="bullet"/>
      <w:lvlText w:val=""/>
      <w:lvlJc w:val="left"/>
      <w:pPr>
        <w:tabs>
          <w:tab w:val="num" w:pos="4320"/>
        </w:tabs>
        <w:ind w:left="4320" w:hanging="360"/>
      </w:pPr>
      <w:rPr>
        <w:rFonts w:ascii="Wingdings 2" w:hAnsi="Wingdings 2" w:hint="default"/>
      </w:rPr>
    </w:lvl>
    <w:lvl w:ilvl="6" w:tplc="1A220724" w:tentative="1">
      <w:start w:val="1"/>
      <w:numFmt w:val="bullet"/>
      <w:lvlText w:val=""/>
      <w:lvlJc w:val="left"/>
      <w:pPr>
        <w:tabs>
          <w:tab w:val="num" w:pos="5040"/>
        </w:tabs>
        <w:ind w:left="5040" w:hanging="360"/>
      </w:pPr>
      <w:rPr>
        <w:rFonts w:ascii="Wingdings 2" w:hAnsi="Wingdings 2" w:hint="default"/>
      </w:rPr>
    </w:lvl>
    <w:lvl w:ilvl="7" w:tplc="5268DDC8" w:tentative="1">
      <w:start w:val="1"/>
      <w:numFmt w:val="bullet"/>
      <w:lvlText w:val=""/>
      <w:lvlJc w:val="left"/>
      <w:pPr>
        <w:tabs>
          <w:tab w:val="num" w:pos="5760"/>
        </w:tabs>
        <w:ind w:left="5760" w:hanging="360"/>
      </w:pPr>
      <w:rPr>
        <w:rFonts w:ascii="Wingdings 2" w:hAnsi="Wingdings 2" w:hint="default"/>
      </w:rPr>
    </w:lvl>
    <w:lvl w:ilvl="8" w:tplc="E21289C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A13744"/>
    <w:multiLevelType w:val="hybridMultilevel"/>
    <w:tmpl w:val="E82431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3278C7"/>
    <w:multiLevelType w:val="hybridMultilevel"/>
    <w:tmpl w:val="7C4ACAD0"/>
    <w:lvl w:ilvl="0" w:tplc="053AD5CC">
      <w:start w:val="1"/>
      <w:numFmt w:val="bullet"/>
      <w:lvlText w:val=""/>
      <w:lvlJc w:val="left"/>
      <w:pPr>
        <w:tabs>
          <w:tab w:val="num" w:pos="720"/>
        </w:tabs>
        <w:ind w:left="720" w:hanging="360"/>
      </w:pPr>
      <w:rPr>
        <w:rFonts w:ascii="Wingdings 2" w:hAnsi="Wingdings 2" w:hint="default"/>
      </w:rPr>
    </w:lvl>
    <w:lvl w:ilvl="1" w:tplc="775C6AE6" w:tentative="1">
      <w:start w:val="1"/>
      <w:numFmt w:val="bullet"/>
      <w:lvlText w:val=""/>
      <w:lvlJc w:val="left"/>
      <w:pPr>
        <w:tabs>
          <w:tab w:val="num" w:pos="1440"/>
        </w:tabs>
        <w:ind w:left="1440" w:hanging="360"/>
      </w:pPr>
      <w:rPr>
        <w:rFonts w:ascii="Wingdings 2" w:hAnsi="Wingdings 2" w:hint="default"/>
      </w:rPr>
    </w:lvl>
    <w:lvl w:ilvl="2" w:tplc="718692B4" w:tentative="1">
      <w:start w:val="1"/>
      <w:numFmt w:val="bullet"/>
      <w:lvlText w:val=""/>
      <w:lvlJc w:val="left"/>
      <w:pPr>
        <w:tabs>
          <w:tab w:val="num" w:pos="2160"/>
        </w:tabs>
        <w:ind w:left="2160" w:hanging="360"/>
      </w:pPr>
      <w:rPr>
        <w:rFonts w:ascii="Wingdings 2" w:hAnsi="Wingdings 2" w:hint="default"/>
      </w:rPr>
    </w:lvl>
    <w:lvl w:ilvl="3" w:tplc="89B8E26E" w:tentative="1">
      <w:start w:val="1"/>
      <w:numFmt w:val="bullet"/>
      <w:lvlText w:val=""/>
      <w:lvlJc w:val="left"/>
      <w:pPr>
        <w:tabs>
          <w:tab w:val="num" w:pos="2880"/>
        </w:tabs>
        <w:ind w:left="2880" w:hanging="360"/>
      </w:pPr>
      <w:rPr>
        <w:rFonts w:ascii="Wingdings 2" w:hAnsi="Wingdings 2" w:hint="default"/>
      </w:rPr>
    </w:lvl>
    <w:lvl w:ilvl="4" w:tplc="59522348" w:tentative="1">
      <w:start w:val="1"/>
      <w:numFmt w:val="bullet"/>
      <w:lvlText w:val=""/>
      <w:lvlJc w:val="left"/>
      <w:pPr>
        <w:tabs>
          <w:tab w:val="num" w:pos="3600"/>
        </w:tabs>
        <w:ind w:left="3600" w:hanging="360"/>
      </w:pPr>
      <w:rPr>
        <w:rFonts w:ascii="Wingdings 2" w:hAnsi="Wingdings 2" w:hint="default"/>
      </w:rPr>
    </w:lvl>
    <w:lvl w:ilvl="5" w:tplc="CAB65438" w:tentative="1">
      <w:start w:val="1"/>
      <w:numFmt w:val="bullet"/>
      <w:lvlText w:val=""/>
      <w:lvlJc w:val="left"/>
      <w:pPr>
        <w:tabs>
          <w:tab w:val="num" w:pos="4320"/>
        </w:tabs>
        <w:ind w:left="4320" w:hanging="360"/>
      </w:pPr>
      <w:rPr>
        <w:rFonts w:ascii="Wingdings 2" w:hAnsi="Wingdings 2" w:hint="default"/>
      </w:rPr>
    </w:lvl>
    <w:lvl w:ilvl="6" w:tplc="600AB890" w:tentative="1">
      <w:start w:val="1"/>
      <w:numFmt w:val="bullet"/>
      <w:lvlText w:val=""/>
      <w:lvlJc w:val="left"/>
      <w:pPr>
        <w:tabs>
          <w:tab w:val="num" w:pos="5040"/>
        </w:tabs>
        <w:ind w:left="5040" w:hanging="360"/>
      </w:pPr>
      <w:rPr>
        <w:rFonts w:ascii="Wingdings 2" w:hAnsi="Wingdings 2" w:hint="default"/>
      </w:rPr>
    </w:lvl>
    <w:lvl w:ilvl="7" w:tplc="DBC48AC2" w:tentative="1">
      <w:start w:val="1"/>
      <w:numFmt w:val="bullet"/>
      <w:lvlText w:val=""/>
      <w:lvlJc w:val="left"/>
      <w:pPr>
        <w:tabs>
          <w:tab w:val="num" w:pos="5760"/>
        </w:tabs>
        <w:ind w:left="5760" w:hanging="360"/>
      </w:pPr>
      <w:rPr>
        <w:rFonts w:ascii="Wingdings 2" w:hAnsi="Wingdings 2" w:hint="default"/>
      </w:rPr>
    </w:lvl>
    <w:lvl w:ilvl="8" w:tplc="AFBA23C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8"/>
  </w:num>
  <w:num w:numId="43">
    <w:abstractNumId w:val="10"/>
  </w:num>
  <w:num w:numId="44">
    <w:abstractNumId w:val="44"/>
  </w:num>
  <w:num w:numId="45">
    <w:abstractNumId w:val="23"/>
  </w:num>
  <w:num w:numId="46">
    <w:abstractNumId w:val="28"/>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286"/>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256A"/>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0F84"/>
    <w:rsid w:val="002D12D4"/>
    <w:rsid w:val="002D151D"/>
    <w:rsid w:val="002D383C"/>
    <w:rsid w:val="002D60F5"/>
    <w:rsid w:val="002D631C"/>
    <w:rsid w:val="002D6D60"/>
    <w:rsid w:val="002D731D"/>
    <w:rsid w:val="002D7C05"/>
    <w:rsid w:val="002E16DB"/>
    <w:rsid w:val="002E2A37"/>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58E"/>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00A"/>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45F"/>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1186"/>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933"/>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1FE3"/>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338"/>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73C"/>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0E20"/>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9089254">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1071507">
      <w:bodyDiv w:val="1"/>
      <w:marLeft w:val="0"/>
      <w:marRight w:val="0"/>
      <w:marTop w:val="0"/>
      <w:marBottom w:val="0"/>
      <w:divBdr>
        <w:top w:val="none" w:sz="0" w:space="0" w:color="auto"/>
        <w:left w:val="none" w:sz="0" w:space="0" w:color="auto"/>
        <w:bottom w:val="none" w:sz="0" w:space="0" w:color="auto"/>
        <w:right w:val="none" w:sz="0" w:space="0" w:color="auto"/>
      </w:divBdr>
      <w:divsChild>
        <w:div w:id="1408579357">
          <w:marLeft w:val="576"/>
          <w:marRight w:val="0"/>
          <w:marTop w:val="120"/>
          <w:marBottom w:val="0"/>
          <w:divBdr>
            <w:top w:val="none" w:sz="0" w:space="0" w:color="auto"/>
            <w:left w:val="none" w:sz="0" w:space="0" w:color="auto"/>
            <w:bottom w:val="none" w:sz="0" w:space="0" w:color="auto"/>
            <w:right w:val="none" w:sz="0" w:space="0" w:color="auto"/>
          </w:divBdr>
        </w:div>
        <w:div w:id="1534807023">
          <w:marLeft w:val="576"/>
          <w:marRight w:val="0"/>
          <w:marTop w:val="120"/>
          <w:marBottom w:val="0"/>
          <w:divBdr>
            <w:top w:val="none" w:sz="0" w:space="0" w:color="auto"/>
            <w:left w:val="none" w:sz="0" w:space="0" w:color="auto"/>
            <w:bottom w:val="none" w:sz="0" w:space="0" w:color="auto"/>
            <w:right w:val="none" w:sz="0" w:space="0" w:color="auto"/>
          </w:divBdr>
        </w:div>
        <w:div w:id="1058742320">
          <w:marLeft w:val="576"/>
          <w:marRight w:val="0"/>
          <w:marTop w:val="120"/>
          <w:marBottom w:val="0"/>
          <w:divBdr>
            <w:top w:val="none" w:sz="0" w:space="0" w:color="auto"/>
            <w:left w:val="none" w:sz="0" w:space="0" w:color="auto"/>
            <w:bottom w:val="none" w:sz="0" w:space="0" w:color="auto"/>
            <w:right w:val="none" w:sz="0" w:space="0" w:color="auto"/>
          </w:divBdr>
        </w:div>
        <w:div w:id="169365082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7510532">
      <w:bodyDiv w:val="1"/>
      <w:marLeft w:val="0"/>
      <w:marRight w:val="0"/>
      <w:marTop w:val="0"/>
      <w:marBottom w:val="0"/>
      <w:divBdr>
        <w:top w:val="none" w:sz="0" w:space="0" w:color="auto"/>
        <w:left w:val="none" w:sz="0" w:space="0" w:color="auto"/>
        <w:bottom w:val="none" w:sz="0" w:space="0" w:color="auto"/>
        <w:right w:val="none" w:sz="0" w:space="0" w:color="auto"/>
      </w:divBdr>
      <w:divsChild>
        <w:div w:id="1587417400">
          <w:marLeft w:val="576"/>
          <w:marRight w:val="0"/>
          <w:marTop w:val="120"/>
          <w:marBottom w:val="0"/>
          <w:divBdr>
            <w:top w:val="none" w:sz="0" w:space="0" w:color="auto"/>
            <w:left w:val="none" w:sz="0" w:space="0" w:color="auto"/>
            <w:bottom w:val="none" w:sz="0" w:space="0" w:color="auto"/>
            <w:right w:val="none" w:sz="0" w:space="0" w:color="auto"/>
          </w:divBdr>
        </w:div>
        <w:div w:id="662243731">
          <w:marLeft w:val="576"/>
          <w:marRight w:val="0"/>
          <w:marTop w:val="120"/>
          <w:marBottom w:val="0"/>
          <w:divBdr>
            <w:top w:val="none" w:sz="0" w:space="0" w:color="auto"/>
            <w:left w:val="none" w:sz="0" w:space="0" w:color="auto"/>
            <w:bottom w:val="none" w:sz="0" w:space="0" w:color="auto"/>
            <w:right w:val="none" w:sz="0" w:space="0" w:color="auto"/>
          </w:divBdr>
        </w:div>
        <w:div w:id="1160845571">
          <w:marLeft w:val="576"/>
          <w:marRight w:val="0"/>
          <w:marTop w:val="120"/>
          <w:marBottom w:val="0"/>
          <w:divBdr>
            <w:top w:val="none" w:sz="0" w:space="0" w:color="auto"/>
            <w:left w:val="none" w:sz="0" w:space="0" w:color="auto"/>
            <w:bottom w:val="none" w:sz="0" w:space="0" w:color="auto"/>
            <w:right w:val="none" w:sz="0" w:space="0" w:color="auto"/>
          </w:divBdr>
        </w:div>
        <w:div w:id="181403708">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465005">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3427139">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2938536">
      <w:bodyDiv w:val="1"/>
      <w:marLeft w:val="0"/>
      <w:marRight w:val="0"/>
      <w:marTop w:val="0"/>
      <w:marBottom w:val="0"/>
      <w:divBdr>
        <w:top w:val="none" w:sz="0" w:space="0" w:color="auto"/>
        <w:left w:val="none" w:sz="0" w:space="0" w:color="auto"/>
        <w:bottom w:val="none" w:sz="0" w:space="0" w:color="auto"/>
        <w:right w:val="none" w:sz="0" w:space="0" w:color="auto"/>
      </w:divBdr>
      <w:divsChild>
        <w:div w:id="553397661">
          <w:marLeft w:val="576"/>
          <w:marRight w:val="0"/>
          <w:marTop w:val="120"/>
          <w:marBottom w:val="0"/>
          <w:divBdr>
            <w:top w:val="none" w:sz="0" w:space="0" w:color="auto"/>
            <w:left w:val="none" w:sz="0" w:space="0" w:color="auto"/>
            <w:bottom w:val="none" w:sz="0" w:space="0" w:color="auto"/>
            <w:right w:val="none" w:sz="0" w:space="0" w:color="auto"/>
          </w:divBdr>
        </w:div>
        <w:div w:id="1894461955">
          <w:marLeft w:val="576"/>
          <w:marRight w:val="0"/>
          <w:marTop w:val="120"/>
          <w:marBottom w:val="0"/>
          <w:divBdr>
            <w:top w:val="none" w:sz="0" w:space="0" w:color="auto"/>
            <w:left w:val="none" w:sz="0" w:space="0" w:color="auto"/>
            <w:bottom w:val="none" w:sz="0" w:space="0" w:color="auto"/>
            <w:right w:val="none" w:sz="0" w:space="0" w:color="auto"/>
          </w:divBdr>
        </w:div>
        <w:div w:id="1014302531">
          <w:marLeft w:val="576"/>
          <w:marRight w:val="0"/>
          <w:marTop w:val="120"/>
          <w:marBottom w:val="0"/>
          <w:divBdr>
            <w:top w:val="none" w:sz="0" w:space="0" w:color="auto"/>
            <w:left w:val="none" w:sz="0" w:space="0" w:color="auto"/>
            <w:bottom w:val="none" w:sz="0" w:space="0" w:color="auto"/>
            <w:right w:val="none" w:sz="0" w:space="0" w:color="auto"/>
          </w:divBdr>
        </w:div>
        <w:div w:id="696931275">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60778">
      <w:bodyDiv w:val="1"/>
      <w:marLeft w:val="0"/>
      <w:marRight w:val="0"/>
      <w:marTop w:val="0"/>
      <w:marBottom w:val="0"/>
      <w:divBdr>
        <w:top w:val="none" w:sz="0" w:space="0" w:color="auto"/>
        <w:left w:val="none" w:sz="0" w:space="0" w:color="auto"/>
        <w:bottom w:val="none" w:sz="0" w:space="0" w:color="auto"/>
        <w:right w:val="none" w:sz="0" w:space="0" w:color="auto"/>
      </w:divBdr>
      <w:divsChild>
        <w:div w:id="1954555367">
          <w:marLeft w:val="576"/>
          <w:marRight w:val="0"/>
          <w:marTop w:val="120"/>
          <w:marBottom w:val="0"/>
          <w:divBdr>
            <w:top w:val="none" w:sz="0" w:space="0" w:color="auto"/>
            <w:left w:val="none" w:sz="0" w:space="0" w:color="auto"/>
            <w:bottom w:val="none" w:sz="0" w:space="0" w:color="auto"/>
            <w:right w:val="none" w:sz="0" w:space="0" w:color="auto"/>
          </w:divBdr>
        </w:div>
        <w:div w:id="798106450">
          <w:marLeft w:val="576"/>
          <w:marRight w:val="0"/>
          <w:marTop w:val="120"/>
          <w:marBottom w:val="0"/>
          <w:divBdr>
            <w:top w:val="none" w:sz="0" w:space="0" w:color="auto"/>
            <w:left w:val="none" w:sz="0" w:space="0" w:color="auto"/>
            <w:bottom w:val="none" w:sz="0" w:space="0" w:color="auto"/>
            <w:right w:val="none" w:sz="0" w:space="0" w:color="auto"/>
          </w:divBdr>
        </w:div>
        <w:div w:id="547762702">
          <w:marLeft w:val="576"/>
          <w:marRight w:val="0"/>
          <w:marTop w:val="120"/>
          <w:marBottom w:val="0"/>
          <w:divBdr>
            <w:top w:val="none" w:sz="0" w:space="0" w:color="auto"/>
            <w:left w:val="none" w:sz="0" w:space="0" w:color="auto"/>
            <w:bottom w:val="none" w:sz="0" w:space="0" w:color="auto"/>
            <w:right w:val="none" w:sz="0" w:space="0" w:color="auto"/>
          </w:divBdr>
        </w:div>
        <w:div w:id="1670255260">
          <w:marLeft w:val="576"/>
          <w:marRight w:val="0"/>
          <w:marTop w:val="120"/>
          <w:marBottom w:val="0"/>
          <w:divBdr>
            <w:top w:val="none" w:sz="0" w:space="0" w:color="auto"/>
            <w:left w:val="none" w:sz="0" w:space="0" w:color="auto"/>
            <w:bottom w:val="none" w:sz="0" w:space="0" w:color="auto"/>
            <w:right w:val="none" w:sz="0" w:space="0" w:color="auto"/>
          </w:divBdr>
        </w:div>
        <w:div w:id="15657717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896278">
      <w:bodyDiv w:val="1"/>
      <w:marLeft w:val="0"/>
      <w:marRight w:val="0"/>
      <w:marTop w:val="0"/>
      <w:marBottom w:val="0"/>
      <w:divBdr>
        <w:top w:val="none" w:sz="0" w:space="0" w:color="auto"/>
        <w:left w:val="none" w:sz="0" w:space="0" w:color="auto"/>
        <w:bottom w:val="none" w:sz="0" w:space="0" w:color="auto"/>
        <w:right w:val="none" w:sz="0" w:space="0" w:color="auto"/>
      </w:divBdr>
      <w:divsChild>
        <w:div w:id="823162372">
          <w:marLeft w:val="576"/>
          <w:marRight w:val="0"/>
          <w:marTop w:val="120"/>
          <w:marBottom w:val="0"/>
          <w:divBdr>
            <w:top w:val="none" w:sz="0" w:space="0" w:color="auto"/>
            <w:left w:val="none" w:sz="0" w:space="0" w:color="auto"/>
            <w:bottom w:val="none" w:sz="0" w:space="0" w:color="auto"/>
            <w:right w:val="none" w:sz="0" w:space="0" w:color="auto"/>
          </w:divBdr>
        </w:div>
        <w:div w:id="706877607">
          <w:marLeft w:val="576"/>
          <w:marRight w:val="0"/>
          <w:marTop w:val="120"/>
          <w:marBottom w:val="0"/>
          <w:divBdr>
            <w:top w:val="none" w:sz="0" w:space="0" w:color="auto"/>
            <w:left w:val="none" w:sz="0" w:space="0" w:color="auto"/>
            <w:bottom w:val="none" w:sz="0" w:space="0" w:color="auto"/>
            <w:right w:val="none" w:sz="0" w:space="0" w:color="auto"/>
          </w:divBdr>
        </w:div>
        <w:div w:id="1171599216">
          <w:marLeft w:val="576"/>
          <w:marRight w:val="0"/>
          <w:marTop w:val="120"/>
          <w:marBottom w:val="0"/>
          <w:divBdr>
            <w:top w:val="none" w:sz="0" w:space="0" w:color="auto"/>
            <w:left w:val="none" w:sz="0" w:space="0" w:color="auto"/>
            <w:bottom w:val="none" w:sz="0" w:space="0" w:color="auto"/>
            <w:right w:val="none" w:sz="0" w:space="0" w:color="auto"/>
          </w:divBdr>
        </w:div>
        <w:div w:id="1798912764">
          <w:marLeft w:val="576"/>
          <w:marRight w:val="0"/>
          <w:marTop w:val="120"/>
          <w:marBottom w:val="0"/>
          <w:divBdr>
            <w:top w:val="none" w:sz="0" w:space="0" w:color="auto"/>
            <w:left w:val="none" w:sz="0" w:space="0" w:color="auto"/>
            <w:bottom w:val="none" w:sz="0" w:space="0" w:color="auto"/>
            <w:right w:val="none" w:sz="0" w:space="0" w:color="auto"/>
          </w:divBdr>
        </w:div>
        <w:div w:id="207069199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3181383">
      <w:bodyDiv w:val="1"/>
      <w:marLeft w:val="0"/>
      <w:marRight w:val="0"/>
      <w:marTop w:val="0"/>
      <w:marBottom w:val="0"/>
      <w:divBdr>
        <w:top w:val="none" w:sz="0" w:space="0" w:color="auto"/>
        <w:left w:val="none" w:sz="0" w:space="0" w:color="auto"/>
        <w:bottom w:val="none" w:sz="0" w:space="0" w:color="auto"/>
        <w:right w:val="none" w:sz="0" w:space="0" w:color="auto"/>
      </w:divBdr>
      <w:divsChild>
        <w:div w:id="904993851">
          <w:marLeft w:val="576"/>
          <w:marRight w:val="0"/>
          <w:marTop w:val="120"/>
          <w:marBottom w:val="0"/>
          <w:divBdr>
            <w:top w:val="none" w:sz="0" w:space="0" w:color="auto"/>
            <w:left w:val="none" w:sz="0" w:space="0" w:color="auto"/>
            <w:bottom w:val="none" w:sz="0" w:space="0" w:color="auto"/>
            <w:right w:val="none" w:sz="0" w:space="0" w:color="auto"/>
          </w:divBdr>
        </w:div>
        <w:div w:id="231745404">
          <w:marLeft w:val="576"/>
          <w:marRight w:val="0"/>
          <w:marTop w:val="120"/>
          <w:marBottom w:val="0"/>
          <w:divBdr>
            <w:top w:val="none" w:sz="0" w:space="0" w:color="auto"/>
            <w:left w:val="none" w:sz="0" w:space="0" w:color="auto"/>
            <w:bottom w:val="none" w:sz="0" w:space="0" w:color="auto"/>
            <w:right w:val="none" w:sz="0" w:space="0" w:color="auto"/>
          </w:divBdr>
        </w:div>
        <w:div w:id="1603612085">
          <w:marLeft w:val="576"/>
          <w:marRight w:val="0"/>
          <w:marTop w:val="120"/>
          <w:marBottom w:val="0"/>
          <w:divBdr>
            <w:top w:val="none" w:sz="0" w:space="0" w:color="auto"/>
            <w:left w:val="none" w:sz="0" w:space="0" w:color="auto"/>
            <w:bottom w:val="none" w:sz="0" w:space="0" w:color="auto"/>
            <w:right w:val="none" w:sz="0" w:space="0" w:color="auto"/>
          </w:divBdr>
        </w:div>
        <w:div w:id="32717117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14</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2022-02-08T12:06:00Z</dcterms:modified>
</cp:coreProperties>
</file>