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92DEE" w:rsidRDefault="00992DEE" w:rsidP="00992DEE">
      <w:pPr>
        <w:spacing w:line="360" w:lineRule="auto"/>
        <w:jc w:val="center"/>
        <w:rPr>
          <w:rFonts w:ascii="Times New Roman" w:hAnsi="Times New Roman" w:cs="Times New Roman"/>
          <w:b/>
          <w:sz w:val="56"/>
          <w:szCs w:val="56"/>
        </w:rPr>
      </w:pPr>
      <w:r w:rsidRPr="00992DEE">
        <w:rPr>
          <w:rFonts w:ascii="Times New Roman" w:hAnsi="Times New Roman" w:cs="Times New Roman"/>
          <w:b/>
          <w:sz w:val="56"/>
          <w:szCs w:val="56"/>
        </w:rPr>
        <w:t>Flexible DSP Accelerator Architecture Exploiting Carry-Save Arithmetic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92DEE" w:rsidRDefault="00992DE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16992" w:rsidRDefault="00A16992" w:rsidP="00E53AA4">
      <w:pPr>
        <w:spacing w:line="360" w:lineRule="auto"/>
        <w:jc w:val="both"/>
        <w:rPr>
          <w:rFonts w:ascii="Times New Roman" w:hAnsi="Times New Roman" w:cs="Times New Roman"/>
          <w:b/>
          <w:sz w:val="52"/>
          <w:szCs w:val="52"/>
        </w:rPr>
      </w:pPr>
      <w:r w:rsidRPr="00A16992">
        <w:rPr>
          <w:rFonts w:ascii="Times New Roman" w:hAnsi="Times New Roman" w:cs="Times New Roman"/>
          <w:sz w:val="32"/>
          <w:szCs w:val="32"/>
        </w:rPr>
        <w:t>Hardware acceleration has been proved an extremely promising implementation strategy for the digital signal processing (DSP) domain. Rather than adopting a monolithic application-specific integrated circuit design approach, in this brief, we present a novel accelerator architecture comprising flexible computational units that support the execution of a large set of operation templates found in DSP kernels. We differentiate from previous works on flexible accelerators by enabling computations to be aggressively performed with carry-save (CS) formatted data. Advanced arithmetic design concepts, i.e., recoding techniques, are utilized enabling CS optimizations to be performed in a larger scope than in previous approaches. Extensive experimental evaluations show that the proposed accelerator architecture delivers average gains of up to 61.91% in area-delay product and 54.43% in energy consumption compared with the state-of-art flexible datapaths.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A16992" w:rsidRDefault="00A16992" w:rsidP="00E53AA4">
      <w:pPr>
        <w:spacing w:line="360" w:lineRule="auto"/>
        <w:jc w:val="both"/>
        <w:rPr>
          <w:rFonts w:ascii="Times New Roman" w:hAnsi="Times New Roman" w:cs="Times New Roman"/>
          <w:sz w:val="40"/>
          <w:szCs w:val="40"/>
        </w:rPr>
      </w:pPr>
    </w:p>
    <w:p w:rsidR="006A300A" w:rsidRPr="003D03F4" w:rsidRDefault="006A300A" w:rsidP="00A1699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95432" w:rsidRDefault="00D949EC" w:rsidP="000954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432">
        <w:rPr>
          <w:rFonts w:ascii="Times New Roman" w:hAnsi="Times New Roman" w:cs="Times New Roman"/>
          <w:sz w:val="32"/>
          <w:szCs w:val="32"/>
          <w:lang w:val="en-IN"/>
        </w:rPr>
        <w:t>Existing works on coarse-grained reconfigurable data paths mainly exploit architecture-level optimizations, e.g., increased inst</w:t>
      </w:r>
      <w:r w:rsidR="00095432">
        <w:rPr>
          <w:rFonts w:ascii="Times New Roman" w:hAnsi="Times New Roman" w:cs="Times New Roman"/>
          <w:sz w:val="32"/>
          <w:szCs w:val="32"/>
          <w:lang w:val="en-IN"/>
        </w:rPr>
        <w:t>ruction-level parallelism (ILP)</w:t>
      </w:r>
      <w:r w:rsidRPr="00095432">
        <w:rPr>
          <w:rFonts w:ascii="Times New Roman" w:hAnsi="Times New Roman" w:cs="Times New Roman"/>
          <w:sz w:val="32"/>
          <w:szCs w:val="32"/>
          <w:lang w:val="en-IN"/>
        </w:rPr>
        <w:t>.</w:t>
      </w:r>
    </w:p>
    <w:p w:rsidR="00000000" w:rsidRPr="00095432" w:rsidRDefault="00D949EC" w:rsidP="000954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432">
        <w:rPr>
          <w:rFonts w:ascii="Times New Roman" w:hAnsi="Times New Roman" w:cs="Times New Roman"/>
          <w:sz w:val="32"/>
          <w:szCs w:val="32"/>
          <w:lang w:val="en-IN"/>
        </w:rPr>
        <w:t>The existing accelerator</w:t>
      </w:r>
      <w:r w:rsidRPr="00095432">
        <w:rPr>
          <w:rFonts w:ascii="Times New Roman" w:hAnsi="Times New Roman" w:cs="Times New Roman"/>
          <w:sz w:val="32"/>
          <w:szCs w:val="32"/>
          <w:lang w:val="en-IN"/>
        </w:rPr>
        <w:t xml:space="preserve"> architecture comprises flexible computational units (FCUs), which enable the execution of a large set of operation templates found in DSP kernels.</w:t>
      </w:r>
    </w:p>
    <w:p w:rsidR="00000000" w:rsidRPr="00095432" w:rsidRDefault="00D949EC" w:rsidP="000954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432">
        <w:rPr>
          <w:rFonts w:ascii="Times New Roman" w:hAnsi="Times New Roman" w:cs="Times New Roman"/>
          <w:sz w:val="32"/>
          <w:szCs w:val="32"/>
          <w:lang w:val="en-IN"/>
        </w:rPr>
        <w:t>The main constraint of existing DSP systems is its inflexibility. The main focus of my work is to implement</w:t>
      </w:r>
      <w:r w:rsidRPr="00095432">
        <w:rPr>
          <w:rFonts w:ascii="Times New Roman" w:hAnsi="Times New Roman" w:cs="Times New Roman"/>
          <w:sz w:val="32"/>
          <w:szCs w:val="32"/>
          <w:lang w:val="en-IN"/>
        </w:rPr>
        <w:t xml:space="preserve"> reconfigurable DSP functions. </w:t>
      </w:r>
    </w:p>
    <w:p w:rsidR="00000000" w:rsidRPr="00095432" w:rsidRDefault="00D949EC" w:rsidP="0009543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95432">
        <w:rPr>
          <w:rFonts w:ascii="Times New Roman" w:hAnsi="Times New Roman" w:cs="Times New Roman"/>
          <w:sz w:val="32"/>
          <w:szCs w:val="32"/>
          <w:lang w:val="en-IN"/>
        </w:rPr>
        <w:t>An astounding use methodology has been shown up by the hardware animating operator for the DSP space.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23695" w:rsidRDefault="00D949EC" w:rsidP="00223695">
      <w:pPr>
        <w:numPr>
          <w:ilvl w:val="0"/>
          <w:numId w:val="45"/>
        </w:numPr>
        <w:spacing w:line="360" w:lineRule="auto"/>
        <w:jc w:val="both"/>
        <w:rPr>
          <w:rFonts w:ascii="Times New Roman" w:hAnsi="Times New Roman" w:cs="Times New Roman"/>
          <w:bCs/>
          <w:sz w:val="32"/>
          <w:szCs w:val="32"/>
          <w:lang w:val="en-IN"/>
        </w:rPr>
      </w:pPr>
      <w:r w:rsidRPr="00223695">
        <w:rPr>
          <w:rFonts w:ascii="Times New Roman" w:hAnsi="Times New Roman" w:cs="Times New Roman"/>
          <w:bCs/>
          <w:sz w:val="32"/>
          <w:szCs w:val="32"/>
          <w:lang w:val="en-IN"/>
        </w:rPr>
        <w:t>Design decisions on the accelerator’s datapath highly impact its efficiency.</w:t>
      </w:r>
    </w:p>
    <w:p w:rsidR="00000000" w:rsidRPr="00223695" w:rsidRDefault="00D949EC" w:rsidP="00223695">
      <w:pPr>
        <w:numPr>
          <w:ilvl w:val="0"/>
          <w:numId w:val="45"/>
        </w:numPr>
        <w:spacing w:line="360" w:lineRule="auto"/>
        <w:jc w:val="both"/>
        <w:rPr>
          <w:rFonts w:ascii="Times New Roman" w:hAnsi="Times New Roman" w:cs="Times New Roman"/>
          <w:bCs/>
          <w:sz w:val="32"/>
          <w:szCs w:val="32"/>
          <w:lang w:val="en-IN"/>
        </w:rPr>
      </w:pPr>
      <w:r w:rsidRPr="00223695">
        <w:rPr>
          <w:rFonts w:ascii="Times New Roman" w:hAnsi="Times New Roman" w:cs="Times New Roman"/>
          <w:bCs/>
          <w:sz w:val="32"/>
          <w:szCs w:val="32"/>
          <w:lang w:val="en-IN"/>
        </w:rPr>
        <w:t xml:space="preserve">However, research activities have shown </w:t>
      </w:r>
      <w:r w:rsidRPr="00223695">
        <w:rPr>
          <w:rFonts w:ascii="Times New Roman" w:hAnsi="Times New Roman" w:cs="Times New Roman"/>
          <w:bCs/>
          <w:sz w:val="32"/>
          <w:szCs w:val="32"/>
          <w:lang w:val="en-IN"/>
        </w:rPr>
        <w:t>that the arithmetic optimizations at higher abstraction levels than the structural circuit one significantly impact on the datapath performance.</w:t>
      </w:r>
    </w:p>
    <w:p w:rsidR="00000000" w:rsidRPr="00223695" w:rsidRDefault="00D949EC" w:rsidP="00223695">
      <w:pPr>
        <w:numPr>
          <w:ilvl w:val="0"/>
          <w:numId w:val="45"/>
        </w:numPr>
        <w:spacing w:line="360" w:lineRule="auto"/>
        <w:jc w:val="both"/>
        <w:rPr>
          <w:rFonts w:ascii="Times New Roman" w:hAnsi="Times New Roman" w:cs="Times New Roman"/>
          <w:bCs/>
          <w:sz w:val="32"/>
          <w:szCs w:val="32"/>
          <w:lang w:val="en-IN"/>
        </w:rPr>
      </w:pPr>
      <w:r w:rsidRPr="00223695">
        <w:rPr>
          <w:rFonts w:ascii="Times New Roman" w:hAnsi="Times New Roman" w:cs="Times New Roman"/>
          <w:bCs/>
          <w:sz w:val="32"/>
          <w:szCs w:val="32"/>
          <w:lang w:val="en-IN"/>
        </w:rPr>
        <w:lastRenderedPageBreak/>
        <w:t xml:space="preserve">The aforementioned CS optimization approaches have limited impact on DFGs dominated by multiplications, e.g., </w:t>
      </w:r>
      <w:r w:rsidRPr="00223695">
        <w:rPr>
          <w:rFonts w:ascii="Times New Roman" w:hAnsi="Times New Roman" w:cs="Times New Roman"/>
          <w:bCs/>
          <w:sz w:val="32"/>
          <w:szCs w:val="32"/>
          <w:lang w:val="en-IN"/>
        </w:rPr>
        <w:t>filtering DSP applications.</w:t>
      </w:r>
    </w:p>
    <w:p w:rsidR="00F94960" w:rsidRPr="00223695" w:rsidRDefault="00D949EC" w:rsidP="00E53AA4">
      <w:pPr>
        <w:numPr>
          <w:ilvl w:val="0"/>
          <w:numId w:val="45"/>
        </w:numPr>
        <w:spacing w:line="360" w:lineRule="auto"/>
        <w:jc w:val="both"/>
        <w:rPr>
          <w:rFonts w:ascii="Times New Roman" w:hAnsi="Times New Roman" w:cs="Times New Roman"/>
          <w:bCs/>
          <w:sz w:val="32"/>
          <w:szCs w:val="32"/>
          <w:lang w:val="en-IN"/>
        </w:rPr>
      </w:pPr>
      <w:r w:rsidRPr="00223695">
        <w:rPr>
          <w:rFonts w:ascii="Times New Roman" w:hAnsi="Times New Roman" w:cs="Times New Roman"/>
          <w:bCs/>
          <w:sz w:val="32"/>
          <w:szCs w:val="32"/>
          <w:lang w:val="en-IN"/>
        </w:rPr>
        <w:t>This experimentation targets to show that the scaling impact on the performance does not eliminate the benefits of using CS arithmetic.</w:t>
      </w:r>
      <w:r w:rsidRPr="0022369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15F56" w:rsidRPr="00A15F56" w:rsidRDefault="00A15F56" w:rsidP="00A15F56">
      <w:pPr>
        <w:pStyle w:val="NormalWeb"/>
        <w:numPr>
          <w:ilvl w:val="0"/>
          <w:numId w:val="46"/>
        </w:numPr>
        <w:spacing w:before="0" w:beforeAutospacing="0" w:after="0" w:afterAutospacing="0" w:line="360" w:lineRule="auto"/>
        <w:ind w:left="426"/>
        <w:jc w:val="both"/>
        <w:rPr>
          <w:sz w:val="32"/>
          <w:szCs w:val="32"/>
        </w:rPr>
      </w:pPr>
      <w:r w:rsidRPr="00A15F56">
        <w:rPr>
          <w:sz w:val="32"/>
          <w:szCs w:val="32"/>
        </w:rPr>
        <w:t xml:space="preserve">The proposed accelerator architecture delivers average gains in area-delay product and in energy consumption compared to state-of-art flexible datapaths , sustaining efficiency toward scaled technologies. </w:t>
      </w:r>
    </w:p>
    <w:p w:rsidR="00A15F56" w:rsidRPr="00A15F56" w:rsidRDefault="00A15F56" w:rsidP="00A15F56">
      <w:pPr>
        <w:pStyle w:val="NormalWeb"/>
        <w:numPr>
          <w:ilvl w:val="0"/>
          <w:numId w:val="46"/>
        </w:numPr>
        <w:spacing w:before="0" w:beforeAutospacing="0" w:after="0" w:afterAutospacing="0" w:line="360" w:lineRule="auto"/>
        <w:ind w:left="426"/>
        <w:jc w:val="both"/>
        <w:rPr>
          <w:sz w:val="32"/>
          <w:szCs w:val="32"/>
        </w:rPr>
      </w:pPr>
      <w:r w:rsidRPr="00A15F56">
        <w:rPr>
          <w:sz w:val="32"/>
          <w:szCs w:val="32"/>
        </w:rPr>
        <w:t xml:space="preserve">There are many different types of fast adder like carry skip adder( CSK ), carry-select adder( CSL) and carry-look-ahead adder( CLA) has been developed and also there are many low-power adder design techniques that have been proposed. </w:t>
      </w:r>
    </w:p>
    <w:p w:rsidR="00A15F56" w:rsidRPr="00A15F56" w:rsidRDefault="00A15F56" w:rsidP="00A15F56">
      <w:pPr>
        <w:pStyle w:val="NormalWeb"/>
        <w:numPr>
          <w:ilvl w:val="0"/>
          <w:numId w:val="46"/>
        </w:numPr>
        <w:spacing w:before="0" w:beforeAutospacing="0" w:after="0" w:afterAutospacing="0" w:line="360" w:lineRule="auto"/>
        <w:ind w:left="426"/>
        <w:jc w:val="both"/>
        <w:rPr>
          <w:sz w:val="32"/>
          <w:szCs w:val="32"/>
        </w:rPr>
      </w:pPr>
      <w:r w:rsidRPr="00A15F56">
        <w:rPr>
          <w:sz w:val="32"/>
          <w:szCs w:val="32"/>
        </w:rPr>
        <w:t>The multiplier comprises a CS-to-MB module, which adopts a recently proposed technique to recode the 17-bit P ̽in its respective MB digits with minimal carry propagation.</w:t>
      </w:r>
    </w:p>
    <w:p w:rsidR="003A5D44" w:rsidRPr="00A15F56" w:rsidRDefault="00A15F56" w:rsidP="00E53AA4">
      <w:pPr>
        <w:pStyle w:val="NormalWeb"/>
        <w:numPr>
          <w:ilvl w:val="0"/>
          <w:numId w:val="46"/>
        </w:numPr>
        <w:spacing w:before="0" w:beforeAutospacing="0" w:after="0" w:afterAutospacing="0" w:line="360" w:lineRule="auto"/>
        <w:ind w:left="426"/>
        <w:jc w:val="both"/>
        <w:rPr>
          <w:sz w:val="32"/>
          <w:szCs w:val="32"/>
        </w:rPr>
      </w:pPr>
      <w:r w:rsidRPr="00A15F56">
        <w:rPr>
          <w:sz w:val="32"/>
          <w:szCs w:val="32"/>
        </w:rPr>
        <w:t>The proposed multirate processor exploits the features of this flexible ALU.</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C3EA4" w:rsidRDefault="00D949EC" w:rsidP="008C3E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3EA4">
        <w:rPr>
          <w:rFonts w:ascii="Times New Roman" w:eastAsia="AdvGulliv-R" w:hAnsi="Times New Roman" w:cs="Times New Roman"/>
          <w:bCs/>
          <w:sz w:val="32"/>
          <w:szCs w:val="32"/>
          <w:lang w:val="en-IN"/>
        </w:rPr>
        <w:t xml:space="preserve">Many researchers have proposed the use of domain-specific coarse-grained reconfigurable accelerators in order to increase </w:t>
      </w:r>
      <w:r w:rsidRPr="008C3EA4">
        <w:rPr>
          <w:rFonts w:ascii="Times New Roman" w:eastAsia="AdvGulliv-R" w:hAnsi="Times New Roman" w:cs="Times New Roman"/>
          <w:bCs/>
          <w:sz w:val="32"/>
          <w:szCs w:val="32"/>
          <w:lang w:val="en-IN"/>
        </w:rPr>
        <w:lastRenderedPageBreak/>
        <w:t>ASICs’ flexibility without significantly compromising their performance.</w:t>
      </w:r>
    </w:p>
    <w:p w:rsidR="00000000" w:rsidRPr="008C3EA4" w:rsidRDefault="00D949EC" w:rsidP="008C3E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3EA4">
        <w:rPr>
          <w:rFonts w:ascii="Times New Roman" w:eastAsia="AdvGulliv-R" w:hAnsi="Times New Roman" w:cs="Times New Roman"/>
          <w:bCs/>
          <w:sz w:val="32"/>
          <w:szCs w:val="32"/>
          <w:lang w:val="en-IN"/>
        </w:rPr>
        <w:t>However, research activities have show</w:t>
      </w:r>
      <w:r w:rsidRPr="008C3EA4">
        <w:rPr>
          <w:rFonts w:ascii="Times New Roman" w:eastAsia="AdvGulliv-R" w:hAnsi="Times New Roman" w:cs="Times New Roman"/>
          <w:bCs/>
          <w:sz w:val="32"/>
          <w:szCs w:val="32"/>
          <w:lang w:val="en-IN"/>
        </w:rPr>
        <w:t>n that the arithmetic optimizations at higher abstraction levels than the structural circuit one significantly impact on the datapath performance.</w:t>
      </w:r>
    </w:p>
    <w:p w:rsidR="00000000" w:rsidRPr="008C3EA4" w:rsidRDefault="00D949EC" w:rsidP="008C3E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3EA4">
        <w:rPr>
          <w:rFonts w:ascii="Times New Roman" w:eastAsia="AdvGulliv-R" w:hAnsi="Times New Roman" w:cs="Times New Roman"/>
          <w:bCs/>
          <w:sz w:val="32"/>
          <w:szCs w:val="32"/>
          <w:lang w:val="en-IN"/>
        </w:rPr>
        <w:t>A CS to binary conversion is inserted before each operation that differs from addition/subtraction, e.g., mu</w:t>
      </w:r>
      <w:r w:rsidRPr="008C3EA4">
        <w:rPr>
          <w:rFonts w:ascii="Times New Roman" w:eastAsia="AdvGulliv-R" w:hAnsi="Times New Roman" w:cs="Times New Roman"/>
          <w:bCs/>
          <w:sz w:val="32"/>
          <w:szCs w:val="32"/>
          <w:lang w:val="en-IN"/>
        </w:rPr>
        <w:t>ltiplication, thus, allocating multiple CS to binary conversions that heavily degrades performance due to time-consuming carry propagations.</w:t>
      </w:r>
    </w:p>
    <w:p w:rsidR="00B31569" w:rsidRPr="008C3EA4" w:rsidRDefault="00D949E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3EA4">
        <w:rPr>
          <w:rFonts w:ascii="Times New Roman" w:eastAsia="AdvGulliv-R" w:hAnsi="Times New Roman" w:cs="Times New Roman"/>
          <w:bCs/>
          <w:sz w:val="32"/>
          <w:szCs w:val="32"/>
          <w:lang w:val="en-IN"/>
        </w:rPr>
        <w:t>Modern embedded systems target high-end application domains requiring efficient implementations of computationally</w:t>
      </w:r>
      <w:r w:rsidRPr="008C3EA4">
        <w:rPr>
          <w:rFonts w:ascii="Times New Roman" w:eastAsia="AdvGulliv-R" w:hAnsi="Times New Roman" w:cs="Times New Roman"/>
          <w:bCs/>
          <w:sz w:val="32"/>
          <w:szCs w:val="32"/>
          <w:lang w:val="en-IN"/>
        </w:rPr>
        <w:t xml:space="preserve"> intensive digital signal processing (DSP) functions.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019"/>
        <w:gridCol w:w="4365"/>
      </w:tblGrid>
      <w:tr w:rsidR="000C407B" w:rsidTr="006E41E6">
        <w:tc>
          <w:tcPr>
            <w:tcW w:w="3192" w:type="dxa"/>
          </w:tcPr>
          <w:p w:rsidR="000C407B" w:rsidRDefault="000C407B" w:rsidP="006E41E6">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019" w:type="dxa"/>
          </w:tcPr>
          <w:p w:rsidR="000C407B" w:rsidRDefault="000C407B" w:rsidP="006E41E6">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365" w:type="dxa"/>
          </w:tcPr>
          <w:p w:rsidR="000C407B" w:rsidRDefault="000C407B" w:rsidP="006E41E6">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6E41E6">
        <w:trPr>
          <w:trHeight w:val="2780"/>
        </w:trPr>
        <w:tc>
          <w:tcPr>
            <w:tcW w:w="3192" w:type="dxa"/>
          </w:tcPr>
          <w:p w:rsidR="000C407B" w:rsidRPr="006E41E6" w:rsidRDefault="00867BFA"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A flexible and energy-efficient coarse-grained reconfigurable architecture for mobile systems</w:t>
            </w:r>
          </w:p>
        </w:tc>
        <w:tc>
          <w:tcPr>
            <w:tcW w:w="2019" w:type="dxa"/>
          </w:tcPr>
          <w:p w:rsidR="000C407B" w:rsidRPr="006E41E6" w:rsidRDefault="00867BFA" w:rsidP="00867BFA">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 xml:space="preserve">P. M. Heysters, G. J. M. Smit, and E. Molenkamp, </w:t>
            </w:r>
          </w:p>
        </w:tc>
        <w:tc>
          <w:tcPr>
            <w:tcW w:w="4365" w:type="dxa"/>
          </w:tcPr>
          <w:p w:rsidR="000C407B" w:rsidRPr="006E41E6" w:rsidRDefault="00867BFA"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color w:val="333333"/>
                <w:sz w:val="28"/>
                <w:szCs w:val="28"/>
                <w:shd w:val="clear" w:color="auto" w:fill="FFFFFF"/>
              </w:rPr>
              <w:t>The focal point is the coarse-grained reconfigurable architecture of the Montium processing tile, which is designed to execute digital signal processing algorithms energy-efficiently.</w:t>
            </w:r>
          </w:p>
        </w:tc>
      </w:tr>
      <w:tr w:rsidR="000C407B" w:rsidTr="006E41E6">
        <w:trPr>
          <w:trHeight w:val="1981"/>
        </w:trPr>
        <w:tc>
          <w:tcPr>
            <w:tcW w:w="3192" w:type="dxa"/>
          </w:tcPr>
          <w:p w:rsidR="000C407B" w:rsidRPr="006E41E6" w:rsidRDefault="006E41E6"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ADRES: An architecture with tightly coupled VLIW processor and coarse-grained reconfigurable matrix</w:t>
            </w:r>
          </w:p>
        </w:tc>
        <w:tc>
          <w:tcPr>
            <w:tcW w:w="2019" w:type="dxa"/>
          </w:tcPr>
          <w:p w:rsidR="000C407B" w:rsidRPr="006E41E6" w:rsidRDefault="006E41E6" w:rsidP="006E41E6">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 xml:space="preserve">B. Mei, S. Vernalde, D. Verkest, H. D. Man, and R. Lauwereins, </w:t>
            </w:r>
          </w:p>
        </w:tc>
        <w:tc>
          <w:tcPr>
            <w:tcW w:w="4365" w:type="dxa"/>
          </w:tcPr>
          <w:p w:rsidR="000C407B" w:rsidRPr="006E41E6" w:rsidRDefault="006E41E6"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color w:val="333333"/>
                <w:sz w:val="28"/>
                <w:szCs w:val="28"/>
                <w:shd w:val="clear" w:color="auto" w:fill="FFFFFF"/>
              </w:rPr>
              <w:t>To address this problem, we propose a novel architecture with tightly coupled very long instruction word (VLIW) processor and coarse-grained reconfigurable matrix.</w:t>
            </w:r>
          </w:p>
        </w:tc>
      </w:tr>
      <w:tr w:rsidR="000C407B" w:rsidTr="006E41E6">
        <w:tc>
          <w:tcPr>
            <w:tcW w:w="3192" w:type="dxa"/>
          </w:tcPr>
          <w:p w:rsidR="000C407B" w:rsidRPr="006E41E6" w:rsidRDefault="006E41E6"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lastRenderedPageBreak/>
              <w:t>A high-performance data path for synthesizing DSP kernels</w:t>
            </w:r>
          </w:p>
        </w:tc>
        <w:tc>
          <w:tcPr>
            <w:tcW w:w="2019" w:type="dxa"/>
          </w:tcPr>
          <w:p w:rsidR="000C407B" w:rsidRPr="006E41E6" w:rsidRDefault="006E41E6" w:rsidP="006E41E6">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 xml:space="preserve">M. D. Galanis, G. Theodoridis, S. Tragoudas, and C. E. Goutis, </w:t>
            </w:r>
          </w:p>
        </w:tc>
        <w:tc>
          <w:tcPr>
            <w:tcW w:w="4365" w:type="dxa"/>
          </w:tcPr>
          <w:p w:rsidR="000C407B" w:rsidRPr="006E41E6" w:rsidRDefault="006E41E6"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color w:val="2E414F"/>
                <w:sz w:val="28"/>
                <w:szCs w:val="28"/>
              </w:rPr>
              <w:t>Due to the universality and flexibility of the FCC, simple and efficient algorithms perform scheduling and binding of the data flow graph (DFG).</w:t>
            </w:r>
          </w:p>
        </w:tc>
      </w:tr>
      <w:tr w:rsidR="000C407B" w:rsidTr="006E41E6">
        <w:tc>
          <w:tcPr>
            <w:tcW w:w="3192" w:type="dxa"/>
          </w:tcPr>
          <w:p w:rsidR="000C407B" w:rsidRPr="006E41E6" w:rsidRDefault="006E41E6"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Automatic design of reconfigurable domain specific flexible cores</w:t>
            </w:r>
          </w:p>
        </w:tc>
        <w:tc>
          <w:tcPr>
            <w:tcW w:w="2019" w:type="dxa"/>
          </w:tcPr>
          <w:p w:rsidR="000C407B" w:rsidRPr="006E41E6" w:rsidRDefault="006E41E6" w:rsidP="006E41E6">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 xml:space="preserve">K. Compton and S. Hauck, </w:t>
            </w:r>
          </w:p>
        </w:tc>
        <w:tc>
          <w:tcPr>
            <w:tcW w:w="4365" w:type="dxa"/>
          </w:tcPr>
          <w:p w:rsidR="000C407B" w:rsidRPr="006E41E6" w:rsidRDefault="006E41E6" w:rsidP="00E53AA4">
            <w:pPr>
              <w:tabs>
                <w:tab w:val="left" w:pos="720"/>
              </w:tabs>
              <w:spacing w:after="100" w:line="360" w:lineRule="auto"/>
              <w:jc w:val="both"/>
              <w:rPr>
                <w:rFonts w:ascii="Times New Roman" w:hAnsi="Times New Roman" w:cs="Times New Roman"/>
                <w:sz w:val="28"/>
                <w:szCs w:val="28"/>
              </w:rPr>
            </w:pPr>
            <w:r w:rsidRPr="006E41E6">
              <w:rPr>
                <w:rFonts w:ascii="Times New Roman" w:hAnsi="Times New Roman" w:cs="Times New Roman"/>
                <w:sz w:val="28"/>
                <w:szCs w:val="28"/>
              </w:rPr>
              <w:t>Reconfigurable hardware is ideal for use in systems-on-a-chip (SoC), as it provides both hardware-level performance and post-fabrication flexibility.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E4DF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5E4DF6"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E4DF6" w:rsidP="00E53AA4">
      <w:pPr>
        <w:spacing w:after="0" w:line="360" w:lineRule="auto"/>
        <w:jc w:val="both"/>
        <w:rPr>
          <w:rFonts w:ascii="Times New Roman" w:hAnsi="Times New Roman" w:cs="Times New Roman"/>
        </w:rPr>
      </w:pPr>
      <w:r w:rsidRPr="005E4DF6">
        <w:rPr>
          <w:rFonts w:ascii="Times New Roman" w:hAnsi="Times New Roman" w:cs="Times New Roman"/>
        </w:rPr>
        <w:drawing>
          <wp:inline distT="0" distB="0" distL="0" distR="0">
            <wp:extent cx="5943600" cy="39833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33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5E4DF6" w:rsidRDefault="005E4DF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B78DD" w:rsidRPr="008B78DD" w:rsidRDefault="008B78DD" w:rsidP="008B78DD">
      <w:pPr>
        <w:pStyle w:val="BodyText"/>
        <w:rPr>
          <w:bCs/>
          <w:iCs/>
          <w:sz w:val="32"/>
          <w:szCs w:val="32"/>
          <w:lang w:val="en-IN"/>
        </w:rPr>
      </w:pPr>
      <w:r w:rsidRPr="008B78DD">
        <w:rPr>
          <w:b/>
          <w:iCs/>
          <w:sz w:val="28"/>
          <w:szCs w:val="28"/>
          <w:lang w:val="en-IN"/>
        </w:rPr>
        <w:t xml:space="preserve">    </w:t>
      </w:r>
      <w:r w:rsidRPr="008B78DD">
        <w:rPr>
          <w:bCs/>
          <w:iCs/>
          <w:sz w:val="32"/>
          <w:szCs w:val="32"/>
          <w:lang w:val="en-IN"/>
        </w:rPr>
        <w:t>In this brief, we introduced a flexible accelerator architecture that exploits the incorporation of CS arithmetic optimizations to enable fast chaining of additive and multiplicative operations. The proposed flexible accelerator architecture is able to operate on both conventional two’s complement and CS-formatted data operands, thus enabling high degrees of computational density to be achieved. Theoretical and experimental analyses have shown that the proposed solution forms an efficient design tradeoff point delivering optimized latency/area and energy implementations.</w:t>
      </w:r>
      <w:r w:rsidRPr="008B78DD">
        <w:rPr>
          <w:bCs/>
          <w:iCs/>
          <w:sz w:val="32"/>
          <w:szCs w:val="32"/>
        </w:rPr>
        <w:t xml:space="preserve"> </w:t>
      </w:r>
    </w:p>
    <w:p w:rsidR="001F1E5A" w:rsidRPr="008B78DD" w:rsidRDefault="001F1E5A" w:rsidP="00E53AA4">
      <w:pPr>
        <w:pStyle w:val="BodyText"/>
        <w:rPr>
          <w:bCs/>
          <w:iCs/>
          <w:sz w:val="32"/>
          <w:szCs w:val="32"/>
        </w:rPr>
      </w:pPr>
    </w:p>
    <w:p w:rsidR="003C0F6F" w:rsidRDefault="003C0F6F"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8B78DD" w:rsidRDefault="008B78D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F71A4" w:rsidRDefault="00D949EC" w:rsidP="001F71A4">
      <w:pPr>
        <w:pStyle w:val="BodyText"/>
        <w:numPr>
          <w:ilvl w:val="0"/>
          <w:numId w:val="42"/>
        </w:numPr>
        <w:rPr>
          <w:sz w:val="32"/>
          <w:szCs w:val="32"/>
          <w:lang w:val="en-IN"/>
        </w:rPr>
      </w:pPr>
      <w:r w:rsidRPr="001F71A4">
        <w:rPr>
          <w:sz w:val="32"/>
          <w:szCs w:val="32"/>
          <w:lang w:val="en-IN"/>
        </w:rPr>
        <w:t xml:space="preserve">[1] P. Ienne and R. Leupers, Customizable Embedded Processors: Design Technologies and Applications. San Francisco, CA, USA: Morgan Kaufmann, 2007. </w:t>
      </w:r>
    </w:p>
    <w:p w:rsidR="00000000" w:rsidRPr="001F71A4" w:rsidRDefault="00D949EC" w:rsidP="001F71A4">
      <w:pPr>
        <w:pStyle w:val="BodyText"/>
        <w:numPr>
          <w:ilvl w:val="0"/>
          <w:numId w:val="42"/>
        </w:numPr>
        <w:rPr>
          <w:sz w:val="32"/>
          <w:szCs w:val="32"/>
          <w:lang w:val="en-IN"/>
        </w:rPr>
      </w:pPr>
      <w:r w:rsidRPr="001F71A4">
        <w:rPr>
          <w:sz w:val="32"/>
          <w:szCs w:val="32"/>
          <w:lang w:val="en-IN"/>
        </w:rPr>
        <w:t>[2] P. M. Heysters, G. J. M. Smit, and E. Molenkamp, “A flexible and energy-efficient coarse-grained</w:t>
      </w:r>
      <w:r w:rsidRPr="001F71A4">
        <w:rPr>
          <w:sz w:val="32"/>
          <w:szCs w:val="32"/>
          <w:lang w:val="en-IN"/>
        </w:rPr>
        <w:t xml:space="preserve"> reconfigurable architecture for mobile systems,” J. Supercomput., vol. 26, no. 3, pp. 283–308, 2003. </w:t>
      </w:r>
    </w:p>
    <w:p w:rsidR="00000000" w:rsidRPr="001F71A4" w:rsidRDefault="00D949EC" w:rsidP="001F71A4">
      <w:pPr>
        <w:pStyle w:val="BodyText"/>
        <w:numPr>
          <w:ilvl w:val="0"/>
          <w:numId w:val="42"/>
        </w:numPr>
        <w:rPr>
          <w:sz w:val="32"/>
          <w:szCs w:val="32"/>
          <w:lang w:val="en-IN"/>
        </w:rPr>
      </w:pPr>
      <w:r w:rsidRPr="001F71A4">
        <w:rPr>
          <w:sz w:val="32"/>
          <w:szCs w:val="32"/>
          <w:lang w:val="en-IN"/>
        </w:rPr>
        <w:t>[3] B. Mei, S. Vernalde, D. Verkest, H. D. Man, and R. Lauwereins, “ADRES: An architecture with tightly coupled VLIW processor and coarse-grained reconf</w:t>
      </w:r>
      <w:r w:rsidRPr="001F71A4">
        <w:rPr>
          <w:sz w:val="32"/>
          <w:szCs w:val="32"/>
          <w:lang w:val="en-IN"/>
        </w:rPr>
        <w:t xml:space="preserve">igurable matrix,” in Proc. 13th Int. Conf. Field Program. Logic Appl., vol. 2778. 2003, pp. 61–70. </w:t>
      </w:r>
    </w:p>
    <w:p w:rsidR="00000000" w:rsidRPr="001F71A4" w:rsidRDefault="00D949EC" w:rsidP="001F71A4">
      <w:pPr>
        <w:pStyle w:val="BodyText"/>
        <w:numPr>
          <w:ilvl w:val="0"/>
          <w:numId w:val="42"/>
        </w:numPr>
        <w:rPr>
          <w:sz w:val="32"/>
          <w:szCs w:val="32"/>
          <w:lang w:val="en-IN"/>
        </w:rPr>
      </w:pPr>
      <w:r w:rsidRPr="001F71A4">
        <w:rPr>
          <w:sz w:val="32"/>
          <w:szCs w:val="32"/>
          <w:lang w:val="en-IN"/>
        </w:rPr>
        <w:t>[4] M. D. Galanis, G. Theodoridis, S. Tragoudas, and C. E. Goutis, “A high-performance data path for synthesizing DSP kernels,” IEEE Trans. Comput.-Aided D</w:t>
      </w:r>
      <w:r w:rsidRPr="001F71A4">
        <w:rPr>
          <w:sz w:val="32"/>
          <w:szCs w:val="32"/>
          <w:lang w:val="en-IN"/>
        </w:rPr>
        <w:t xml:space="preserve">esign Integr. Circuits Syst., vol. 25, no. 6, pp. 1154–1162, Jun. 2006. </w:t>
      </w:r>
    </w:p>
    <w:p w:rsidR="00000000" w:rsidRPr="001F71A4" w:rsidRDefault="00D949EC" w:rsidP="001F71A4">
      <w:pPr>
        <w:pStyle w:val="BodyText"/>
        <w:numPr>
          <w:ilvl w:val="0"/>
          <w:numId w:val="42"/>
        </w:numPr>
        <w:rPr>
          <w:sz w:val="32"/>
          <w:szCs w:val="32"/>
          <w:lang w:val="en-IN"/>
        </w:rPr>
      </w:pPr>
      <w:r w:rsidRPr="001F71A4">
        <w:rPr>
          <w:sz w:val="32"/>
          <w:szCs w:val="32"/>
          <w:lang w:val="en-IN"/>
        </w:rPr>
        <w:t>[5] K. Compton and S. Hauck, “Automatic design of reconfigurable domainspecific flexible cores,” IEEE Trans. Very Large Scale Integr. (VLSI) Syst., vol. 16, no. 5, pp. 493–503, May 2</w:t>
      </w:r>
      <w:r w:rsidRPr="001F71A4">
        <w:rPr>
          <w:sz w:val="32"/>
          <w:szCs w:val="32"/>
          <w:lang w:val="en-IN"/>
        </w:rPr>
        <w:t>008.</w:t>
      </w:r>
      <w:r w:rsidRPr="001F71A4">
        <w:rPr>
          <w:sz w:val="32"/>
          <w:szCs w:val="32"/>
        </w:rPr>
        <w:t xml:space="preserve"> </w:t>
      </w:r>
    </w:p>
    <w:p w:rsidR="00000000" w:rsidRPr="001F71A4" w:rsidRDefault="00D949EC" w:rsidP="001F71A4">
      <w:pPr>
        <w:pStyle w:val="BodyText"/>
        <w:numPr>
          <w:ilvl w:val="0"/>
          <w:numId w:val="42"/>
        </w:numPr>
        <w:rPr>
          <w:sz w:val="32"/>
          <w:szCs w:val="32"/>
          <w:lang w:val="en-IN"/>
        </w:rPr>
      </w:pPr>
      <w:r w:rsidRPr="001F71A4">
        <w:rPr>
          <w:sz w:val="32"/>
          <w:szCs w:val="32"/>
          <w:lang w:val="en-IN"/>
        </w:rPr>
        <w:t xml:space="preserve">[6] S. Xydis, G. Economakos, and K. Pekmestzi, “Designing coarse-grain reconfigurable architectures by inlining flexibility into </w:t>
      </w:r>
      <w:r w:rsidRPr="001F71A4">
        <w:rPr>
          <w:sz w:val="32"/>
          <w:szCs w:val="32"/>
          <w:lang w:val="en-IN"/>
        </w:rPr>
        <w:lastRenderedPageBreak/>
        <w:t xml:space="preserve">custom arithmetic data-paths,” Integr., VLSI J., vol. 42, no. 4, pp. 486–503, Sep. 2009. </w:t>
      </w:r>
    </w:p>
    <w:p w:rsidR="00000000" w:rsidRPr="001F71A4" w:rsidRDefault="00D949EC" w:rsidP="001F71A4">
      <w:pPr>
        <w:pStyle w:val="BodyText"/>
        <w:numPr>
          <w:ilvl w:val="0"/>
          <w:numId w:val="42"/>
        </w:numPr>
        <w:rPr>
          <w:sz w:val="32"/>
          <w:szCs w:val="32"/>
          <w:lang w:val="en-IN"/>
        </w:rPr>
      </w:pPr>
      <w:r w:rsidRPr="001F71A4">
        <w:rPr>
          <w:sz w:val="32"/>
          <w:szCs w:val="32"/>
          <w:lang w:val="en-IN"/>
        </w:rPr>
        <w:t xml:space="preserve">[7] S. Xydis, G. Economakos, </w:t>
      </w:r>
      <w:r w:rsidRPr="001F71A4">
        <w:rPr>
          <w:sz w:val="32"/>
          <w:szCs w:val="32"/>
          <w:lang w:val="en-IN"/>
        </w:rPr>
        <w:t xml:space="preserve">D. Soudris, and K. Pekmestzi, “High performance and area efficient flexible DSP datapath synthesis,” IEEE Trans. Very Large Scale Integr. (VLSI) Syst., vol. 19, no. 3, pp. 429–442, Mar. 2011. </w:t>
      </w:r>
    </w:p>
    <w:p w:rsidR="00000000" w:rsidRPr="001F71A4" w:rsidRDefault="00D949EC" w:rsidP="001F71A4">
      <w:pPr>
        <w:pStyle w:val="BodyText"/>
        <w:numPr>
          <w:ilvl w:val="0"/>
          <w:numId w:val="42"/>
        </w:numPr>
        <w:rPr>
          <w:sz w:val="32"/>
          <w:szCs w:val="32"/>
          <w:lang w:val="en-IN"/>
        </w:rPr>
      </w:pPr>
      <w:r w:rsidRPr="001F71A4">
        <w:rPr>
          <w:sz w:val="32"/>
          <w:szCs w:val="32"/>
          <w:lang w:val="en-IN"/>
        </w:rPr>
        <w:t>[8] G. Ansaloni, P. Bonzini, and L. Pozzi, “EGRA: A coarse gra</w:t>
      </w:r>
      <w:r w:rsidRPr="001F71A4">
        <w:rPr>
          <w:sz w:val="32"/>
          <w:szCs w:val="32"/>
          <w:lang w:val="en-IN"/>
        </w:rPr>
        <w:t xml:space="preserve">ined reconfigurable architectural template,” IEEE Trans. Very Large Scale Integr. (VLSI) Syst., vol. 19, no. 6, pp. 1062–1074, Jun. 2011. </w:t>
      </w:r>
    </w:p>
    <w:p w:rsidR="00000000" w:rsidRPr="001F71A4" w:rsidRDefault="00D949EC" w:rsidP="001F71A4">
      <w:pPr>
        <w:pStyle w:val="BodyText"/>
        <w:numPr>
          <w:ilvl w:val="0"/>
          <w:numId w:val="42"/>
        </w:numPr>
        <w:rPr>
          <w:sz w:val="32"/>
          <w:szCs w:val="32"/>
          <w:lang w:val="en-IN"/>
        </w:rPr>
      </w:pPr>
      <w:r w:rsidRPr="001F71A4">
        <w:rPr>
          <w:sz w:val="32"/>
          <w:szCs w:val="32"/>
          <w:lang w:val="en-IN"/>
        </w:rPr>
        <w:t>[9] M. Stojilovic, D. Novo, L. Saranovac, P. Brisk, and P. Ienne, “Selective flexibility: Creating domain-specific r</w:t>
      </w:r>
      <w:r w:rsidRPr="001F71A4">
        <w:rPr>
          <w:sz w:val="32"/>
          <w:szCs w:val="32"/>
          <w:lang w:val="en-IN"/>
        </w:rPr>
        <w:t xml:space="preserve">econfigurable arrays,” IEEE Trans. Comput.-Aided Design Integr. Circuits Syst., vol. 32, no. 5, pp. 681–694, May 2013. </w:t>
      </w:r>
    </w:p>
    <w:p w:rsidR="00000000" w:rsidRPr="001F71A4" w:rsidRDefault="00D949EC" w:rsidP="001F71A4">
      <w:pPr>
        <w:pStyle w:val="BodyText"/>
        <w:numPr>
          <w:ilvl w:val="0"/>
          <w:numId w:val="42"/>
        </w:numPr>
        <w:rPr>
          <w:sz w:val="32"/>
          <w:szCs w:val="32"/>
          <w:lang w:val="en-IN"/>
        </w:rPr>
      </w:pPr>
      <w:r w:rsidRPr="001F71A4">
        <w:rPr>
          <w:sz w:val="32"/>
          <w:szCs w:val="32"/>
          <w:lang w:val="en-IN"/>
        </w:rPr>
        <w:t>[10] R. Kastner, A. Kaplan, S. O. Memik, and E. Bozorgzadeh, “Instruction generation for hybrid reconfigurable systems,” ACM Trans. Des</w:t>
      </w:r>
      <w:r w:rsidRPr="001F71A4">
        <w:rPr>
          <w:sz w:val="32"/>
          <w:szCs w:val="32"/>
          <w:lang w:val="en-IN"/>
        </w:rPr>
        <w:t xml:space="preserve">ign Autom. Electron. Syst., vol. 7, no. 4, pp. 605–627, Oct.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49EC" w:rsidRDefault="00D949EC" w:rsidP="003654DF">
      <w:pPr>
        <w:spacing w:after="0" w:line="240" w:lineRule="auto"/>
      </w:pPr>
      <w:r>
        <w:separator/>
      </w:r>
    </w:p>
  </w:endnote>
  <w:endnote w:type="continuationSeparator" w:id="1">
    <w:p w:rsidR="00D949EC" w:rsidRDefault="00D949E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49EC" w:rsidRDefault="00D949EC" w:rsidP="003654DF">
      <w:pPr>
        <w:spacing w:after="0" w:line="240" w:lineRule="auto"/>
      </w:pPr>
      <w:r>
        <w:separator/>
      </w:r>
    </w:p>
  </w:footnote>
  <w:footnote w:type="continuationSeparator" w:id="1">
    <w:p w:rsidR="00D949EC" w:rsidRDefault="00D949E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0ECB">
        <w:pPr>
          <w:pStyle w:val="Header"/>
          <w:jc w:val="right"/>
        </w:pPr>
        <w:fldSimple w:instr=" PAGE   \* MERGEFORMAT ">
          <w:r w:rsidR="005E4DF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C4493"/>
    <w:multiLevelType w:val="hybridMultilevel"/>
    <w:tmpl w:val="0B9019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C8315C"/>
    <w:multiLevelType w:val="hybridMultilevel"/>
    <w:tmpl w:val="9DF09B3C"/>
    <w:lvl w:ilvl="0" w:tplc="D76273EA">
      <w:start w:val="1"/>
      <w:numFmt w:val="bullet"/>
      <w:lvlText w:val=""/>
      <w:lvlJc w:val="left"/>
      <w:pPr>
        <w:tabs>
          <w:tab w:val="num" w:pos="720"/>
        </w:tabs>
        <w:ind w:left="720" w:hanging="360"/>
      </w:pPr>
      <w:rPr>
        <w:rFonts w:ascii="Wingdings 2" w:hAnsi="Wingdings 2" w:hint="default"/>
      </w:rPr>
    </w:lvl>
    <w:lvl w:ilvl="1" w:tplc="3CBC4FE4" w:tentative="1">
      <w:start w:val="1"/>
      <w:numFmt w:val="bullet"/>
      <w:lvlText w:val=""/>
      <w:lvlJc w:val="left"/>
      <w:pPr>
        <w:tabs>
          <w:tab w:val="num" w:pos="1440"/>
        </w:tabs>
        <w:ind w:left="1440" w:hanging="360"/>
      </w:pPr>
      <w:rPr>
        <w:rFonts w:ascii="Wingdings 2" w:hAnsi="Wingdings 2" w:hint="default"/>
      </w:rPr>
    </w:lvl>
    <w:lvl w:ilvl="2" w:tplc="69CC3730" w:tentative="1">
      <w:start w:val="1"/>
      <w:numFmt w:val="bullet"/>
      <w:lvlText w:val=""/>
      <w:lvlJc w:val="left"/>
      <w:pPr>
        <w:tabs>
          <w:tab w:val="num" w:pos="2160"/>
        </w:tabs>
        <w:ind w:left="2160" w:hanging="360"/>
      </w:pPr>
      <w:rPr>
        <w:rFonts w:ascii="Wingdings 2" w:hAnsi="Wingdings 2" w:hint="default"/>
      </w:rPr>
    </w:lvl>
    <w:lvl w:ilvl="3" w:tplc="785601BA" w:tentative="1">
      <w:start w:val="1"/>
      <w:numFmt w:val="bullet"/>
      <w:lvlText w:val=""/>
      <w:lvlJc w:val="left"/>
      <w:pPr>
        <w:tabs>
          <w:tab w:val="num" w:pos="2880"/>
        </w:tabs>
        <w:ind w:left="2880" w:hanging="360"/>
      </w:pPr>
      <w:rPr>
        <w:rFonts w:ascii="Wingdings 2" w:hAnsi="Wingdings 2" w:hint="default"/>
      </w:rPr>
    </w:lvl>
    <w:lvl w:ilvl="4" w:tplc="AE5232F2" w:tentative="1">
      <w:start w:val="1"/>
      <w:numFmt w:val="bullet"/>
      <w:lvlText w:val=""/>
      <w:lvlJc w:val="left"/>
      <w:pPr>
        <w:tabs>
          <w:tab w:val="num" w:pos="3600"/>
        </w:tabs>
        <w:ind w:left="3600" w:hanging="360"/>
      </w:pPr>
      <w:rPr>
        <w:rFonts w:ascii="Wingdings 2" w:hAnsi="Wingdings 2" w:hint="default"/>
      </w:rPr>
    </w:lvl>
    <w:lvl w:ilvl="5" w:tplc="F6828F6E" w:tentative="1">
      <w:start w:val="1"/>
      <w:numFmt w:val="bullet"/>
      <w:lvlText w:val=""/>
      <w:lvlJc w:val="left"/>
      <w:pPr>
        <w:tabs>
          <w:tab w:val="num" w:pos="4320"/>
        </w:tabs>
        <w:ind w:left="4320" w:hanging="360"/>
      </w:pPr>
      <w:rPr>
        <w:rFonts w:ascii="Wingdings 2" w:hAnsi="Wingdings 2" w:hint="default"/>
      </w:rPr>
    </w:lvl>
    <w:lvl w:ilvl="6" w:tplc="E416A6A8" w:tentative="1">
      <w:start w:val="1"/>
      <w:numFmt w:val="bullet"/>
      <w:lvlText w:val=""/>
      <w:lvlJc w:val="left"/>
      <w:pPr>
        <w:tabs>
          <w:tab w:val="num" w:pos="5040"/>
        </w:tabs>
        <w:ind w:left="5040" w:hanging="360"/>
      </w:pPr>
      <w:rPr>
        <w:rFonts w:ascii="Wingdings 2" w:hAnsi="Wingdings 2" w:hint="default"/>
      </w:rPr>
    </w:lvl>
    <w:lvl w:ilvl="7" w:tplc="E68C114A" w:tentative="1">
      <w:start w:val="1"/>
      <w:numFmt w:val="bullet"/>
      <w:lvlText w:val=""/>
      <w:lvlJc w:val="left"/>
      <w:pPr>
        <w:tabs>
          <w:tab w:val="num" w:pos="5760"/>
        </w:tabs>
        <w:ind w:left="5760" w:hanging="360"/>
      </w:pPr>
      <w:rPr>
        <w:rFonts w:ascii="Wingdings 2" w:hAnsi="Wingdings 2" w:hint="default"/>
      </w:rPr>
    </w:lvl>
    <w:lvl w:ilvl="8" w:tplc="840434A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AE7FB4"/>
    <w:multiLevelType w:val="hybridMultilevel"/>
    <w:tmpl w:val="CED44A4E"/>
    <w:lvl w:ilvl="0" w:tplc="1A0C7F04">
      <w:start w:val="1"/>
      <w:numFmt w:val="bullet"/>
      <w:lvlText w:val=""/>
      <w:lvlJc w:val="left"/>
      <w:pPr>
        <w:tabs>
          <w:tab w:val="num" w:pos="720"/>
        </w:tabs>
        <w:ind w:left="720" w:hanging="360"/>
      </w:pPr>
      <w:rPr>
        <w:rFonts w:ascii="Wingdings 2" w:hAnsi="Wingdings 2" w:hint="default"/>
      </w:rPr>
    </w:lvl>
    <w:lvl w:ilvl="1" w:tplc="52B416AA" w:tentative="1">
      <w:start w:val="1"/>
      <w:numFmt w:val="bullet"/>
      <w:lvlText w:val=""/>
      <w:lvlJc w:val="left"/>
      <w:pPr>
        <w:tabs>
          <w:tab w:val="num" w:pos="1440"/>
        </w:tabs>
        <w:ind w:left="1440" w:hanging="360"/>
      </w:pPr>
      <w:rPr>
        <w:rFonts w:ascii="Wingdings 2" w:hAnsi="Wingdings 2" w:hint="default"/>
      </w:rPr>
    </w:lvl>
    <w:lvl w:ilvl="2" w:tplc="D4C4027C" w:tentative="1">
      <w:start w:val="1"/>
      <w:numFmt w:val="bullet"/>
      <w:lvlText w:val=""/>
      <w:lvlJc w:val="left"/>
      <w:pPr>
        <w:tabs>
          <w:tab w:val="num" w:pos="2160"/>
        </w:tabs>
        <w:ind w:left="2160" w:hanging="360"/>
      </w:pPr>
      <w:rPr>
        <w:rFonts w:ascii="Wingdings 2" w:hAnsi="Wingdings 2" w:hint="default"/>
      </w:rPr>
    </w:lvl>
    <w:lvl w:ilvl="3" w:tplc="CB5881CC" w:tentative="1">
      <w:start w:val="1"/>
      <w:numFmt w:val="bullet"/>
      <w:lvlText w:val=""/>
      <w:lvlJc w:val="left"/>
      <w:pPr>
        <w:tabs>
          <w:tab w:val="num" w:pos="2880"/>
        </w:tabs>
        <w:ind w:left="2880" w:hanging="360"/>
      </w:pPr>
      <w:rPr>
        <w:rFonts w:ascii="Wingdings 2" w:hAnsi="Wingdings 2" w:hint="default"/>
      </w:rPr>
    </w:lvl>
    <w:lvl w:ilvl="4" w:tplc="0B8C57A2" w:tentative="1">
      <w:start w:val="1"/>
      <w:numFmt w:val="bullet"/>
      <w:lvlText w:val=""/>
      <w:lvlJc w:val="left"/>
      <w:pPr>
        <w:tabs>
          <w:tab w:val="num" w:pos="3600"/>
        </w:tabs>
        <w:ind w:left="3600" w:hanging="360"/>
      </w:pPr>
      <w:rPr>
        <w:rFonts w:ascii="Wingdings 2" w:hAnsi="Wingdings 2" w:hint="default"/>
      </w:rPr>
    </w:lvl>
    <w:lvl w:ilvl="5" w:tplc="373C4FE0" w:tentative="1">
      <w:start w:val="1"/>
      <w:numFmt w:val="bullet"/>
      <w:lvlText w:val=""/>
      <w:lvlJc w:val="left"/>
      <w:pPr>
        <w:tabs>
          <w:tab w:val="num" w:pos="4320"/>
        </w:tabs>
        <w:ind w:left="4320" w:hanging="360"/>
      </w:pPr>
      <w:rPr>
        <w:rFonts w:ascii="Wingdings 2" w:hAnsi="Wingdings 2" w:hint="default"/>
      </w:rPr>
    </w:lvl>
    <w:lvl w:ilvl="6" w:tplc="D946CFCC" w:tentative="1">
      <w:start w:val="1"/>
      <w:numFmt w:val="bullet"/>
      <w:lvlText w:val=""/>
      <w:lvlJc w:val="left"/>
      <w:pPr>
        <w:tabs>
          <w:tab w:val="num" w:pos="5040"/>
        </w:tabs>
        <w:ind w:left="5040" w:hanging="360"/>
      </w:pPr>
      <w:rPr>
        <w:rFonts w:ascii="Wingdings 2" w:hAnsi="Wingdings 2" w:hint="default"/>
      </w:rPr>
    </w:lvl>
    <w:lvl w:ilvl="7" w:tplc="83F48E4E" w:tentative="1">
      <w:start w:val="1"/>
      <w:numFmt w:val="bullet"/>
      <w:lvlText w:val=""/>
      <w:lvlJc w:val="left"/>
      <w:pPr>
        <w:tabs>
          <w:tab w:val="num" w:pos="5760"/>
        </w:tabs>
        <w:ind w:left="5760" w:hanging="360"/>
      </w:pPr>
      <w:rPr>
        <w:rFonts w:ascii="Wingdings 2" w:hAnsi="Wingdings 2" w:hint="default"/>
      </w:rPr>
    </w:lvl>
    <w:lvl w:ilvl="8" w:tplc="C358A514"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E6585A"/>
    <w:multiLevelType w:val="hybridMultilevel"/>
    <w:tmpl w:val="9BF45672"/>
    <w:lvl w:ilvl="0" w:tplc="D2767DE2">
      <w:start w:val="1"/>
      <w:numFmt w:val="bullet"/>
      <w:lvlText w:val=""/>
      <w:lvlJc w:val="left"/>
      <w:pPr>
        <w:tabs>
          <w:tab w:val="num" w:pos="720"/>
        </w:tabs>
        <w:ind w:left="720" w:hanging="360"/>
      </w:pPr>
      <w:rPr>
        <w:rFonts w:ascii="Wingdings 2" w:hAnsi="Wingdings 2" w:hint="default"/>
      </w:rPr>
    </w:lvl>
    <w:lvl w:ilvl="1" w:tplc="AACCC83A" w:tentative="1">
      <w:start w:val="1"/>
      <w:numFmt w:val="bullet"/>
      <w:lvlText w:val=""/>
      <w:lvlJc w:val="left"/>
      <w:pPr>
        <w:tabs>
          <w:tab w:val="num" w:pos="1440"/>
        </w:tabs>
        <w:ind w:left="1440" w:hanging="360"/>
      </w:pPr>
      <w:rPr>
        <w:rFonts w:ascii="Wingdings 2" w:hAnsi="Wingdings 2" w:hint="default"/>
      </w:rPr>
    </w:lvl>
    <w:lvl w:ilvl="2" w:tplc="FD2E7212" w:tentative="1">
      <w:start w:val="1"/>
      <w:numFmt w:val="bullet"/>
      <w:lvlText w:val=""/>
      <w:lvlJc w:val="left"/>
      <w:pPr>
        <w:tabs>
          <w:tab w:val="num" w:pos="2160"/>
        </w:tabs>
        <w:ind w:left="2160" w:hanging="360"/>
      </w:pPr>
      <w:rPr>
        <w:rFonts w:ascii="Wingdings 2" w:hAnsi="Wingdings 2" w:hint="default"/>
      </w:rPr>
    </w:lvl>
    <w:lvl w:ilvl="3" w:tplc="B3DEF14A" w:tentative="1">
      <w:start w:val="1"/>
      <w:numFmt w:val="bullet"/>
      <w:lvlText w:val=""/>
      <w:lvlJc w:val="left"/>
      <w:pPr>
        <w:tabs>
          <w:tab w:val="num" w:pos="2880"/>
        </w:tabs>
        <w:ind w:left="2880" w:hanging="360"/>
      </w:pPr>
      <w:rPr>
        <w:rFonts w:ascii="Wingdings 2" w:hAnsi="Wingdings 2" w:hint="default"/>
      </w:rPr>
    </w:lvl>
    <w:lvl w:ilvl="4" w:tplc="541C3592" w:tentative="1">
      <w:start w:val="1"/>
      <w:numFmt w:val="bullet"/>
      <w:lvlText w:val=""/>
      <w:lvlJc w:val="left"/>
      <w:pPr>
        <w:tabs>
          <w:tab w:val="num" w:pos="3600"/>
        </w:tabs>
        <w:ind w:left="3600" w:hanging="360"/>
      </w:pPr>
      <w:rPr>
        <w:rFonts w:ascii="Wingdings 2" w:hAnsi="Wingdings 2" w:hint="default"/>
      </w:rPr>
    </w:lvl>
    <w:lvl w:ilvl="5" w:tplc="7B14473C" w:tentative="1">
      <w:start w:val="1"/>
      <w:numFmt w:val="bullet"/>
      <w:lvlText w:val=""/>
      <w:lvlJc w:val="left"/>
      <w:pPr>
        <w:tabs>
          <w:tab w:val="num" w:pos="4320"/>
        </w:tabs>
        <w:ind w:left="4320" w:hanging="360"/>
      </w:pPr>
      <w:rPr>
        <w:rFonts w:ascii="Wingdings 2" w:hAnsi="Wingdings 2" w:hint="default"/>
      </w:rPr>
    </w:lvl>
    <w:lvl w:ilvl="6" w:tplc="5442D574" w:tentative="1">
      <w:start w:val="1"/>
      <w:numFmt w:val="bullet"/>
      <w:lvlText w:val=""/>
      <w:lvlJc w:val="left"/>
      <w:pPr>
        <w:tabs>
          <w:tab w:val="num" w:pos="5040"/>
        </w:tabs>
        <w:ind w:left="5040" w:hanging="360"/>
      </w:pPr>
      <w:rPr>
        <w:rFonts w:ascii="Wingdings 2" w:hAnsi="Wingdings 2" w:hint="default"/>
      </w:rPr>
    </w:lvl>
    <w:lvl w:ilvl="7" w:tplc="5A76D5F2" w:tentative="1">
      <w:start w:val="1"/>
      <w:numFmt w:val="bullet"/>
      <w:lvlText w:val=""/>
      <w:lvlJc w:val="left"/>
      <w:pPr>
        <w:tabs>
          <w:tab w:val="num" w:pos="5760"/>
        </w:tabs>
        <w:ind w:left="5760" w:hanging="360"/>
      </w:pPr>
      <w:rPr>
        <w:rFonts w:ascii="Wingdings 2" w:hAnsi="Wingdings 2" w:hint="default"/>
      </w:rPr>
    </w:lvl>
    <w:lvl w:ilvl="8" w:tplc="63FA066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DD5867"/>
    <w:multiLevelType w:val="hybridMultilevel"/>
    <w:tmpl w:val="794480CC"/>
    <w:lvl w:ilvl="0" w:tplc="7EB462BE">
      <w:start w:val="1"/>
      <w:numFmt w:val="bullet"/>
      <w:lvlText w:val=""/>
      <w:lvlJc w:val="left"/>
      <w:pPr>
        <w:tabs>
          <w:tab w:val="num" w:pos="720"/>
        </w:tabs>
        <w:ind w:left="720" w:hanging="360"/>
      </w:pPr>
      <w:rPr>
        <w:rFonts w:ascii="Wingdings 2" w:hAnsi="Wingdings 2" w:hint="default"/>
      </w:rPr>
    </w:lvl>
    <w:lvl w:ilvl="1" w:tplc="9C944CA0" w:tentative="1">
      <w:start w:val="1"/>
      <w:numFmt w:val="bullet"/>
      <w:lvlText w:val=""/>
      <w:lvlJc w:val="left"/>
      <w:pPr>
        <w:tabs>
          <w:tab w:val="num" w:pos="1440"/>
        </w:tabs>
        <w:ind w:left="1440" w:hanging="360"/>
      </w:pPr>
      <w:rPr>
        <w:rFonts w:ascii="Wingdings 2" w:hAnsi="Wingdings 2" w:hint="default"/>
      </w:rPr>
    </w:lvl>
    <w:lvl w:ilvl="2" w:tplc="FF2A9974" w:tentative="1">
      <w:start w:val="1"/>
      <w:numFmt w:val="bullet"/>
      <w:lvlText w:val=""/>
      <w:lvlJc w:val="left"/>
      <w:pPr>
        <w:tabs>
          <w:tab w:val="num" w:pos="2160"/>
        </w:tabs>
        <w:ind w:left="2160" w:hanging="360"/>
      </w:pPr>
      <w:rPr>
        <w:rFonts w:ascii="Wingdings 2" w:hAnsi="Wingdings 2" w:hint="default"/>
      </w:rPr>
    </w:lvl>
    <w:lvl w:ilvl="3" w:tplc="65F4C404" w:tentative="1">
      <w:start w:val="1"/>
      <w:numFmt w:val="bullet"/>
      <w:lvlText w:val=""/>
      <w:lvlJc w:val="left"/>
      <w:pPr>
        <w:tabs>
          <w:tab w:val="num" w:pos="2880"/>
        </w:tabs>
        <w:ind w:left="2880" w:hanging="360"/>
      </w:pPr>
      <w:rPr>
        <w:rFonts w:ascii="Wingdings 2" w:hAnsi="Wingdings 2" w:hint="default"/>
      </w:rPr>
    </w:lvl>
    <w:lvl w:ilvl="4" w:tplc="485EB16E" w:tentative="1">
      <w:start w:val="1"/>
      <w:numFmt w:val="bullet"/>
      <w:lvlText w:val=""/>
      <w:lvlJc w:val="left"/>
      <w:pPr>
        <w:tabs>
          <w:tab w:val="num" w:pos="3600"/>
        </w:tabs>
        <w:ind w:left="3600" w:hanging="360"/>
      </w:pPr>
      <w:rPr>
        <w:rFonts w:ascii="Wingdings 2" w:hAnsi="Wingdings 2" w:hint="default"/>
      </w:rPr>
    </w:lvl>
    <w:lvl w:ilvl="5" w:tplc="6BFAED38" w:tentative="1">
      <w:start w:val="1"/>
      <w:numFmt w:val="bullet"/>
      <w:lvlText w:val=""/>
      <w:lvlJc w:val="left"/>
      <w:pPr>
        <w:tabs>
          <w:tab w:val="num" w:pos="4320"/>
        </w:tabs>
        <w:ind w:left="4320" w:hanging="360"/>
      </w:pPr>
      <w:rPr>
        <w:rFonts w:ascii="Wingdings 2" w:hAnsi="Wingdings 2" w:hint="default"/>
      </w:rPr>
    </w:lvl>
    <w:lvl w:ilvl="6" w:tplc="3F52B31A" w:tentative="1">
      <w:start w:val="1"/>
      <w:numFmt w:val="bullet"/>
      <w:lvlText w:val=""/>
      <w:lvlJc w:val="left"/>
      <w:pPr>
        <w:tabs>
          <w:tab w:val="num" w:pos="5040"/>
        </w:tabs>
        <w:ind w:left="5040" w:hanging="360"/>
      </w:pPr>
      <w:rPr>
        <w:rFonts w:ascii="Wingdings 2" w:hAnsi="Wingdings 2" w:hint="default"/>
      </w:rPr>
    </w:lvl>
    <w:lvl w:ilvl="7" w:tplc="62E0B788" w:tentative="1">
      <w:start w:val="1"/>
      <w:numFmt w:val="bullet"/>
      <w:lvlText w:val=""/>
      <w:lvlJc w:val="left"/>
      <w:pPr>
        <w:tabs>
          <w:tab w:val="num" w:pos="5760"/>
        </w:tabs>
        <w:ind w:left="5760" w:hanging="360"/>
      </w:pPr>
      <w:rPr>
        <w:rFonts w:ascii="Wingdings 2" w:hAnsi="Wingdings 2" w:hint="default"/>
      </w:rPr>
    </w:lvl>
    <w:lvl w:ilvl="8" w:tplc="6F104A6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D02486"/>
    <w:multiLevelType w:val="hybridMultilevel"/>
    <w:tmpl w:val="B03A0C20"/>
    <w:lvl w:ilvl="0" w:tplc="6B621BBA">
      <w:start w:val="1"/>
      <w:numFmt w:val="bullet"/>
      <w:lvlText w:val=""/>
      <w:lvlJc w:val="left"/>
      <w:pPr>
        <w:tabs>
          <w:tab w:val="num" w:pos="720"/>
        </w:tabs>
        <w:ind w:left="720" w:hanging="360"/>
      </w:pPr>
      <w:rPr>
        <w:rFonts w:ascii="Wingdings 2" w:hAnsi="Wingdings 2" w:hint="default"/>
      </w:rPr>
    </w:lvl>
    <w:lvl w:ilvl="1" w:tplc="00B45580" w:tentative="1">
      <w:start w:val="1"/>
      <w:numFmt w:val="bullet"/>
      <w:lvlText w:val=""/>
      <w:lvlJc w:val="left"/>
      <w:pPr>
        <w:tabs>
          <w:tab w:val="num" w:pos="1440"/>
        </w:tabs>
        <w:ind w:left="1440" w:hanging="360"/>
      </w:pPr>
      <w:rPr>
        <w:rFonts w:ascii="Wingdings 2" w:hAnsi="Wingdings 2" w:hint="default"/>
      </w:rPr>
    </w:lvl>
    <w:lvl w:ilvl="2" w:tplc="634265BA" w:tentative="1">
      <w:start w:val="1"/>
      <w:numFmt w:val="bullet"/>
      <w:lvlText w:val=""/>
      <w:lvlJc w:val="left"/>
      <w:pPr>
        <w:tabs>
          <w:tab w:val="num" w:pos="2160"/>
        </w:tabs>
        <w:ind w:left="2160" w:hanging="360"/>
      </w:pPr>
      <w:rPr>
        <w:rFonts w:ascii="Wingdings 2" w:hAnsi="Wingdings 2" w:hint="default"/>
      </w:rPr>
    </w:lvl>
    <w:lvl w:ilvl="3" w:tplc="1DDE1FEA" w:tentative="1">
      <w:start w:val="1"/>
      <w:numFmt w:val="bullet"/>
      <w:lvlText w:val=""/>
      <w:lvlJc w:val="left"/>
      <w:pPr>
        <w:tabs>
          <w:tab w:val="num" w:pos="2880"/>
        </w:tabs>
        <w:ind w:left="2880" w:hanging="360"/>
      </w:pPr>
      <w:rPr>
        <w:rFonts w:ascii="Wingdings 2" w:hAnsi="Wingdings 2" w:hint="default"/>
      </w:rPr>
    </w:lvl>
    <w:lvl w:ilvl="4" w:tplc="95460FE0" w:tentative="1">
      <w:start w:val="1"/>
      <w:numFmt w:val="bullet"/>
      <w:lvlText w:val=""/>
      <w:lvlJc w:val="left"/>
      <w:pPr>
        <w:tabs>
          <w:tab w:val="num" w:pos="3600"/>
        </w:tabs>
        <w:ind w:left="3600" w:hanging="360"/>
      </w:pPr>
      <w:rPr>
        <w:rFonts w:ascii="Wingdings 2" w:hAnsi="Wingdings 2" w:hint="default"/>
      </w:rPr>
    </w:lvl>
    <w:lvl w:ilvl="5" w:tplc="67025386" w:tentative="1">
      <w:start w:val="1"/>
      <w:numFmt w:val="bullet"/>
      <w:lvlText w:val=""/>
      <w:lvlJc w:val="left"/>
      <w:pPr>
        <w:tabs>
          <w:tab w:val="num" w:pos="4320"/>
        </w:tabs>
        <w:ind w:left="4320" w:hanging="360"/>
      </w:pPr>
      <w:rPr>
        <w:rFonts w:ascii="Wingdings 2" w:hAnsi="Wingdings 2" w:hint="default"/>
      </w:rPr>
    </w:lvl>
    <w:lvl w:ilvl="6" w:tplc="A3C8CBF0" w:tentative="1">
      <w:start w:val="1"/>
      <w:numFmt w:val="bullet"/>
      <w:lvlText w:val=""/>
      <w:lvlJc w:val="left"/>
      <w:pPr>
        <w:tabs>
          <w:tab w:val="num" w:pos="5040"/>
        </w:tabs>
        <w:ind w:left="5040" w:hanging="360"/>
      </w:pPr>
      <w:rPr>
        <w:rFonts w:ascii="Wingdings 2" w:hAnsi="Wingdings 2" w:hint="default"/>
      </w:rPr>
    </w:lvl>
    <w:lvl w:ilvl="7" w:tplc="47E6CFAA" w:tentative="1">
      <w:start w:val="1"/>
      <w:numFmt w:val="bullet"/>
      <w:lvlText w:val=""/>
      <w:lvlJc w:val="left"/>
      <w:pPr>
        <w:tabs>
          <w:tab w:val="num" w:pos="5760"/>
        </w:tabs>
        <w:ind w:left="5760" w:hanging="360"/>
      </w:pPr>
      <w:rPr>
        <w:rFonts w:ascii="Wingdings 2" w:hAnsi="Wingdings 2" w:hint="default"/>
      </w:rPr>
    </w:lvl>
    <w:lvl w:ilvl="8" w:tplc="603EADE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32"/>
  </w:num>
  <w:num w:numId="43">
    <w:abstractNumId w:val="43"/>
  </w:num>
  <w:num w:numId="44">
    <w:abstractNumId w:val="41"/>
  </w:num>
  <w:num w:numId="45">
    <w:abstractNumId w:val="10"/>
  </w:num>
  <w:num w:numId="46">
    <w:abstractNumId w:val="3"/>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432"/>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71A4"/>
    <w:rsid w:val="00200043"/>
    <w:rsid w:val="00202524"/>
    <w:rsid w:val="00204079"/>
    <w:rsid w:val="002066C3"/>
    <w:rsid w:val="00212B72"/>
    <w:rsid w:val="00214540"/>
    <w:rsid w:val="00216465"/>
    <w:rsid w:val="002164B7"/>
    <w:rsid w:val="00221939"/>
    <w:rsid w:val="00223695"/>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DF6"/>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41E6"/>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67BFA"/>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B78DD"/>
    <w:rsid w:val="008C27E8"/>
    <w:rsid w:val="008C3648"/>
    <w:rsid w:val="008C3EA4"/>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0E1"/>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2DEE"/>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F56"/>
    <w:rsid w:val="00A166CE"/>
    <w:rsid w:val="00A16992"/>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0ECB"/>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9EC"/>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1056549">
      <w:bodyDiv w:val="1"/>
      <w:marLeft w:val="0"/>
      <w:marRight w:val="0"/>
      <w:marTop w:val="0"/>
      <w:marBottom w:val="0"/>
      <w:divBdr>
        <w:top w:val="none" w:sz="0" w:space="0" w:color="auto"/>
        <w:left w:val="none" w:sz="0" w:space="0" w:color="auto"/>
        <w:bottom w:val="none" w:sz="0" w:space="0" w:color="auto"/>
        <w:right w:val="none" w:sz="0" w:space="0" w:color="auto"/>
      </w:divBdr>
      <w:divsChild>
        <w:div w:id="440338651">
          <w:marLeft w:val="576"/>
          <w:marRight w:val="0"/>
          <w:marTop w:val="120"/>
          <w:marBottom w:val="0"/>
          <w:divBdr>
            <w:top w:val="none" w:sz="0" w:space="0" w:color="auto"/>
            <w:left w:val="none" w:sz="0" w:space="0" w:color="auto"/>
            <w:bottom w:val="none" w:sz="0" w:space="0" w:color="auto"/>
            <w:right w:val="none" w:sz="0" w:space="0" w:color="auto"/>
          </w:divBdr>
        </w:div>
        <w:div w:id="1194461200">
          <w:marLeft w:val="576"/>
          <w:marRight w:val="0"/>
          <w:marTop w:val="120"/>
          <w:marBottom w:val="0"/>
          <w:divBdr>
            <w:top w:val="none" w:sz="0" w:space="0" w:color="auto"/>
            <w:left w:val="none" w:sz="0" w:space="0" w:color="auto"/>
            <w:bottom w:val="none" w:sz="0" w:space="0" w:color="auto"/>
            <w:right w:val="none" w:sz="0" w:space="0" w:color="auto"/>
          </w:divBdr>
        </w:div>
        <w:div w:id="1159467889">
          <w:marLeft w:val="576"/>
          <w:marRight w:val="0"/>
          <w:marTop w:val="120"/>
          <w:marBottom w:val="0"/>
          <w:divBdr>
            <w:top w:val="none" w:sz="0" w:space="0" w:color="auto"/>
            <w:left w:val="none" w:sz="0" w:space="0" w:color="auto"/>
            <w:bottom w:val="none" w:sz="0" w:space="0" w:color="auto"/>
            <w:right w:val="none" w:sz="0" w:space="0" w:color="auto"/>
          </w:divBdr>
        </w:div>
        <w:div w:id="189985264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334709">
      <w:bodyDiv w:val="1"/>
      <w:marLeft w:val="0"/>
      <w:marRight w:val="0"/>
      <w:marTop w:val="0"/>
      <w:marBottom w:val="0"/>
      <w:divBdr>
        <w:top w:val="none" w:sz="0" w:space="0" w:color="auto"/>
        <w:left w:val="none" w:sz="0" w:space="0" w:color="auto"/>
        <w:bottom w:val="none" w:sz="0" w:space="0" w:color="auto"/>
        <w:right w:val="none" w:sz="0" w:space="0" w:color="auto"/>
      </w:divBdr>
      <w:divsChild>
        <w:div w:id="350032003">
          <w:marLeft w:val="576"/>
          <w:marRight w:val="0"/>
          <w:marTop w:val="120"/>
          <w:marBottom w:val="0"/>
          <w:divBdr>
            <w:top w:val="none" w:sz="0" w:space="0" w:color="auto"/>
            <w:left w:val="none" w:sz="0" w:space="0" w:color="auto"/>
            <w:bottom w:val="none" w:sz="0" w:space="0" w:color="auto"/>
            <w:right w:val="none" w:sz="0" w:space="0" w:color="auto"/>
          </w:divBdr>
        </w:div>
        <w:div w:id="2069840917">
          <w:marLeft w:val="576"/>
          <w:marRight w:val="0"/>
          <w:marTop w:val="120"/>
          <w:marBottom w:val="0"/>
          <w:divBdr>
            <w:top w:val="none" w:sz="0" w:space="0" w:color="auto"/>
            <w:left w:val="none" w:sz="0" w:space="0" w:color="auto"/>
            <w:bottom w:val="none" w:sz="0" w:space="0" w:color="auto"/>
            <w:right w:val="none" w:sz="0" w:space="0" w:color="auto"/>
          </w:divBdr>
        </w:div>
        <w:div w:id="1777556239">
          <w:marLeft w:val="576"/>
          <w:marRight w:val="0"/>
          <w:marTop w:val="120"/>
          <w:marBottom w:val="0"/>
          <w:divBdr>
            <w:top w:val="none" w:sz="0" w:space="0" w:color="auto"/>
            <w:left w:val="none" w:sz="0" w:space="0" w:color="auto"/>
            <w:bottom w:val="none" w:sz="0" w:space="0" w:color="auto"/>
            <w:right w:val="none" w:sz="0" w:space="0" w:color="auto"/>
          </w:divBdr>
        </w:div>
        <w:div w:id="1595935923">
          <w:marLeft w:val="576"/>
          <w:marRight w:val="0"/>
          <w:marTop w:val="120"/>
          <w:marBottom w:val="0"/>
          <w:divBdr>
            <w:top w:val="none" w:sz="0" w:space="0" w:color="auto"/>
            <w:left w:val="none" w:sz="0" w:space="0" w:color="auto"/>
            <w:bottom w:val="none" w:sz="0" w:space="0" w:color="auto"/>
            <w:right w:val="none" w:sz="0" w:space="0" w:color="auto"/>
          </w:divBdr>
        </w:div>
        <w:div w:id="1262563589">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0609131">
      <w:bodyDiv w:val="1"/>
      <w:marLeft w:val="0"/>
      <w:marRight w:val="0"/>
      <w:marTop w:val="0"/>
      <w:marBottom w:val="0"/>
      <w:divBdr>
        <w:top w:val="none" w:sz="0" w:space="0" w:color="auto"/>
        <w:left w:val="none" w:sz="0" w:space="0" w:color="auto"/>
        <w:bottom w:val="none" w:sz="0" w:space="0" w:color="auto"/>
        <w:right w:val="none" w:sz="0" w:space="0" w:color="auto"/>
      </w:divBdr>
      <w:divsChild>
        <w:div w:id="51391297">
          <w:marLeft w:val="576"/>
          <w:marRight w:val="0"/>
          <w:marTop w:val="120"/>
          <w:marBottom w:val="0"/>
          <w:divBdr>
            <w:top w:val="none" w:sz="0" w:space="0" w:color="auto"/>
            <w:left w:val="none" w:sz="0" w:space="0" w:color="auto"/>
            <w:bottom w:val="none" w:sz="0" w:space="0" w:color="auto"/>
            <w:right w:val="none" w:sz="0" w:space="0" w:color="auto"/>
          </w:divBdr>
        </w:div>
        <w:div w:id="1951542330">
          <w:marLeft w:val="576"/>
          <w:marRight w:val="0"/>
          <w:marTop w:val="120"/>
          <w:marBottom w:val="0"/>
          <w:divBdr>
            <w:top w:val="none" w:sz="0" w:space="0" w:color="auto"/>
            <w:left w:val="none" w:sz="0" w:space="0" w:color="auto"/>
            <w:bottom w:val="none" w:sz="0" w:space="0" w:color="auto"/>
            <w:right w:val="none" w:sz="0" w:space="0" w:color="auto"/>
          </w:divBdr>
        </w:div>
        <w:div w:id="1330713331">
          <w:marLeft w:val="576"/>
          <w:marRight w:val="0"/>
          <w:marTop w:val="120"/>
          <w:marBottom w:val="0"/>
          <w:divBdr>
            <w:top w:val="none" w:sz="0" w:space="0" w:color="auto"/>
            <w:left w:val="none" w:sz="0" w:space="0" w:color="auto"/>
            <w:bottom w:val="none" w:sz="0" w:space="0" w:color="auto"/>
            <w:right w:val="none" w:sz="0" w:space="0" w:color="auto"/>
          </w:divBdr>
        </w:div>
        <w:div w:id="196924363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732355">
      <w:bodyDiv w:val="1"/>
      <w:marLeft w:val="0"/>
      <w:marRight w:val="0"/>
      <w:marTop w:val="0"/>
      <w:marBottom w:val="0"/>
      <w:divBdr>
        <w:top w:val="none" w:sz="0" w:space="0" w:color="auto"/>
        <w:left w:val="none" w:sz="0" w:space="0" w:color="auto"/>
        <w:bottom w:val="none" w:sz="0" w:space="0" w:color="auto"/>
        <w:right w:val="none" w:sz="0" w:space="0" w:color="auto"/>
      </w:divBdr>
      <w:divsChild>
        <w:div w:id="1708484754">
          <w:marLeft w:val="576"/>
          <w:marRight w:val="0"/>
          <w:marTop w:val="120"/>
          <w:marBottom w:val="0"/>
          <w:divBdr>
            <w:top w:val="none" w:sz="0" w:space="0" w:color="auto"/>
            <w:left w:val="none" w:sz="0" w:space="0" w:color="auto"/>
            <w:bottom w:val="none" w:sz="0" w:space="0" w:color="auto"/>
            <w:right w:val="none" w:sz="0" w:space="0" w:color="auto"/>
          </w:divBdr>
        </w:div>
        <w:div w:id="1323775122">
          <w:marLeft w:val="576"/>
          <w:marRight w:val="0"/>
          <w:marTop w:val="120"/>
          <w:marBottom w:val="0"/>
          <w:divBdr>
            <w:top w:val="none" w:sz="0" w:space="0" w:color="auto"/>
            <w:left w:val="none" w:sz="0" w:space="0" w:color="auto"/>
            <w:bottom w:val="none" w:sz="0" w:space="0" w:color="auto"/>
            <w:right w:val="none" w:sz="0" w:space="0" w:color="auto"/>
          </w:divBdr>
        </w:div>
        <w:div w:id="1847668767">
          <w:marLeft w:val="576"/>
          <w:marRight w:val="0"/>
          <w:marTop w:val="120"/>
          <w:marBottom w:val="0"/>
          <w:divBdr>
            <w:top w:val="none" w:sz="0" w:space="0" w:color="auto"/>
            <w:left w:val="none" w:sz="0" w:space="0" w:color="auto"/>
            <w:bottom w:val="none" w:sz="0" w:space="0" w:color="auto"/>
            <w:right w:val="none" w:sz="0" w:space="0" w:color="auto"/>
          </w:divBdr>
        </w:div>
        <w:div w:id="87963362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881138">
      <w:bodyDiv w:val="1"/>
      <w:marLeft w:val="0"/>
      <w:marRight w:val="0"/>
      <w:marTop w:val="0"/>
      <w:marBottom w:val="0"/>
      <w:divBdr>
        <w:top w:val="none" w:sz="0" w:space="0" w:color="auto"/>
        <w:left w:val="none" w:sz="0" w:space="0" w:color="auto"/>
        <w:bottom w:val="none" w:sz="0" w:space="0" w:color="auto"/>
        <w:right w:val="none" w:sz="0" w:space="0" w:color="auto"/>
      </w:divBdr>
    </w:div>
    <w:div w:id="102763525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5854677">
      <w:bodyDiv w:val="1"/>
      <w:marLeft w:val="0"/>
      <w:marRight w:val="0"/>
      <w:marTop w:val="0"/>
      <w:marBottom w:val="0"/>
      <w:divBdr>
        <w:top w:val="none" w:sz="0" w:space="0" w:color="auto"/>
        <w:left w:val="none" w:sz="0" w:space="0" w:color="auto"/>
        <w:bottom w:val="none" w:sz="0" w:space="0" w:color="auto"/>
        <w:right w:val="none" w:sz="0" w:space="0" w:color="auto"/>
      </w:divBdr>
      <w:divsChild>
        <w:div w:id="1216117545">
          <w:marLeft w:val="576"/>
          <w:marRight w:val="0"/>
          <w:marTop w:val="120"/>
          <w:marBottom w:val="0"/>
          <w:divBdr>
            <w:top w:val="none" w:sz="0" w:space="0" w:color="auto"/>
            <w:left w:val="none" w:sz="0" w:space="0" w:color="auto"/>
            <w:bottom w:val="none" w:sz="0" w:space="0" w:color="auto"/>
            <w:right w:val="none" w:sz="0" w:space="0" w:color="auto"/>
          </w:divBdr>
        </w:div>
        <w:div w:id="247539617">
          <w:marLeft w:val="576"/>
          <w:marRight w:val="0"/>
          <w:marTop w:val="120"/>
          <w:marBottom w:val="0"/>
          <w:divBdr>
            <w:top w:val="none" w:sz="0" w:space="0" w:color="auto"/>
            <w:left w:val="none" w:sz="0" w:space="0" w:color="auto"/>
            <w:bottom w:val="none" w:sz="0" w:space="0" w:color="auto"/>
            <w:right w:val="none" w:sz="0" w:space="0" w:color="auto"/>
          </w:divBdr>
        </w:div>
        <w:div w:id="1792631845">
          <w:marLeft w:val="576"/>
          <w:marRight w:val="0"/>
          <w:marTop w:val="120"/>
          <w:marBottom w:val="0"/>
          <w:divBdr>
            <w:top w:val="none" w:sz="0" w:space="0" w:color="auto"/>
            <w:left w:val="none" w:sz="0" w:space="0" w:color="auto"/>
            <w:bottom w:val="none" w:sz="0" w:space="0" w:color="auto"/>
            <w:right w:val="none" w:sz="0" w:space="0" w:color="auto"/>
          </w:divBdr>
        </w:div>
        <w:div w:id="37986091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0034879">
      <w:bodyDiv w:val="1"/>
      <w:marLeft w:val="0"/>
      <w:marRight w:val="0"/>
      <w:marTop w:val="0"/>
      <w:marBottom w:val="0"/>
      <w:divBdr>
        <w:top w:val="none" w:sz="0" w:space="0" w:color="auto"/>
        <w:left w:val="none" w:sz="0" w:space="0" w:color="auto"/>
        <w:bottom w:val="none" w:sz="0" w:space="0" w:color="auto"/>
        <w:right w:val="none" w:sz="0" w:space="0" w:color="auto"/>
      </w:divBdr>
      <w:divsChild>
        <w:div w:id="1194684314">
          <w:marLeft w:val="576"/>
          <w:marRight w:val="0"/>
          <w:marTop w:val="120"/>
          <w:marBottom w:val="0"/>
          <w:divBdr>
            <w:top w:val="none" w:sz="0" w:space="0" w:color="auto"/>
            <w:left w:val="none" w:sz="0" w:space="0" w:color="auto"/>
            <w:bottom w:val="none" w:sz="0" w:space="0" w:color="auto"/>
            <w:right w:val="none" w:sz="0" w:space="0" w:color="auto"/>
          </w:divBdr>
        </w:div>
        <w:div w:id="314261122">
          <w:marLeft w:val="576"/>
          <w:marRight w:val="0"/>
          <w:marTop w:val="120"/>
          <w:marBottom w:val="0"/>
          <w:divBdr>
            <w:top w:val="none" w:sz="0" w:space="0" w:color="auto"/>
            <w:left w:val="none" w:sz="0" w:space="0" w:color="auto"/>
            <w:bottom w:val="none" w:sz="0" w:space="0" w:color="auto"/>
            <w:right w:val="none" w:sz="0" w:space="0" w:color="auto"/>
          </w:divBdr>
        </w:div>
        <w:div w:id="519976546">
          <w:marLeft w:val="576"/>
          <w:marRight w:val="0"/>
          <w:marTop w:val="120"/>
          <w:marBottom w:val="0"/>
          <w:divBdr>
            <w:top w:val="none" w:sz="0" w:space="0" w:color="auto"/>
            <w:left w:val="none" w:sz="0" w:space="0" w:color="auto"/>
            <w:bottom w:val="none" w:sz="0" w:space="0" w:color="auto"/>
            <w:right w:val="none" w:sz="0" w:space="0" w:color="auto"/>
          </w:divBdr>
        </w:div>
        <w:div w:id="1758205270">
          <w:marLeft w:val="576"/>
          <w:marRight w:val="0"/>
          <w:marTop w:val="120"/>
          <w:marBottom w:val="0"/>
          <w:divBdr>
            <w:top w:val="none" w:sz="0" w:space="0" w:color="auto"/>
            <w:left w:val="none" w:sz="0" w:space="0" w:color="auto"/>
            <w:bottom w:val="none" w:sz="0" w:space="0" w:color="auto"/>
            <w:right w:val="none" w:sz="0" w:space="0" w:color="auto"/>
          </w:divBdr>
        </w:div>
        <w:div w:id="31807610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2022-02-07T11:29:00Z</dcterms:modified>
</cp:coreProperties>
</file>