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D165E" w:rsidRDefault="000D165E" w:rsidP="00DC0EDF">
      <w:pPr>
        <w:spacing w:line="360" w:lineRule="auto"/>
        <w:jc w:val="center"/>
        <w:rPr>
          <w:rFonts w:ascii="Times New Roman" w:hAnsi="Times New Roman" w:cs="Times New Roman"/>
          <w:b/>
          <w:bCs/>
          <w:sz w:val="240"/>
          <w:szCs w:val="240"/>
        </w:rPr>
      </w:pPr>
      <w:r w:rsidRPr="000D165E">
        <w:rPr>
          <w:rFonts w:ascii="Times New Roman" w:hAnsi="Times New Roman" w:cs="Times New Roman"/>
          <w:b/>
          <w:bCs/>
          <w:sz w:val="52"/>
          <w:szCs w:val="52"/>
        </w:rPr>
        <w:t>A 0.9-V 12-bit 100-MS/s 14.6-fJ/Conversion-Step SAR ADC in 40-nm CMOS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81AC5" w:rsidRDefault="00E81AC5" w:rsidP="00E53AA4">
      <w:pPr>
        <w:spacing w:line="360" w:lineRule="auto"/>
        <w:jc w:val="both"/>
        <w:rPr>
          <w:rFonts w:ascii="Times New Roman" w:hAnsi="Times New Roman" w:cs="Times New Roman"/>
          <w:b/>
          <w:sz w:val="32"/>
          <w:szCs w:val="32"/>
        </w:rPr>
      </w:pPr>
      <w:r w:rsidRPr="00E81AC5">
        <w:rPr>
          <w:rFonts w:ascii="Times New Roman" w:hAnsi="Times New Roman" w:cs="Times New Roman"/>
          <w:sz w:val="32"/>
          <w:szCs w:val="32"/>
        </w:rPr>
        <w:t>This paper presents a low-power 12-bit 100-MS/s asynchronous successive approximation register analog-to-digital converter (SAR ADC). Several techniques are developed to enhance the ADC performance. The nonbinary capacitor array with small digital-to-analog converter (DAC) capacitors (total 394 fF) allows for reducing DAC settling time and power consumption while maintaining extremely high hardware utilization. The proposed nonlinear capacitance correction method solves the nonlinear capacitance problems of the comparator when the small unit capacitor is used. The latch output glitch removal method ensures the speed and accuracy of the comparator at the low supply voltage. Furthermore, the proposed high-speed SAR logic and timing sequence improved SAR logic’s operating speed by 75% compared with traditional SAR logic. The prototype was fabricated using a 40-nm CMOS technology. At a 0.9-V supply and 100-MS/s sampling rate, the ADC achieves a signal-to-noise distortion ratio of 67.3 dB and consumes 2.6 mW, resulting in a figure of merit of 14.6 fJ/conversion-step. The ADC core occupies an active area of only 50 × 280 µm2.</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E81AC5">
      <w:pPr>
        <w:tabs>
          <w:tab w:val="left" w:pos="6210"/>
        </w:tabs>
        <w:spacing w:line="360" w:lineRule="auto"/>
        <w:jc w:val="both"/>
        <w:rPr>
          <w:rFonts w:ascii="Times New Roman" w:hAnsi="Times New Roman" w:cs="Times New Roman"/>
          <w:sz w:val="40"/>
          <w:szCs w:val="40"/>
        </w:rPr>
      </w:pPr>
    </w:p>
    <w:p w:rsidR="006A300A" w:rsidRPr="003D03F4" w:rsidRDefault="006A300A" w:rsidP="00E81AC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52863" w:rsidRDefault="0092106C" w:rsidP="001528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863">
        <w:rPr>
          <w:rFonts w:ascii="Times New Roman" w:hAnsi="Times New Roman" w:cs="Times New Roman"/>
          <w:sz w:val="32"/>
          <w:szCs w:val="32"/>
          <w:lang w:val="en-IN"/>
        </w:rPr>
        <w:t>The power and area efficiency mainly benefit from the advanced process, low power supply, parallel split capacitor array and single-side-fixed technique.</w:t>
      </w:r>
    </w:p>
    <w:p w:rsidR="00000000" w:rsidRPr="00152863" w:rsidRDefault="0092106C" w:rsidP="001528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863">
        <w:rPr>
          <w:rFonts w:ascii="Times New Roman" w:hAnsi="Times New Roman" w:cs="Times New Roman"/>
          <w:sz w:val="32"/>
          <w:szCs w:val="32"/>
          <w:lang w:val="en-IN"/>
        </w:rPr>
        <w:t xml:space="preserve">For every </w:t>
      </w:r>
      <w:r w:rsidRPr="00152863">
        <w:rPr>
          <w:rFonts w:ascii="Times New Roman" w:hAnsi="Times New Roman" w:cs="Times New Roman"/>
          <w:sz w:val="32"/>
          <w:szCs w:val="32"/>
          <w:lang w:val="en-IN"/>
        </w:rPr>
        <w:t>type of SAR ADCs, linearity of sampling switch is the bottleneck for system linearity, the parasitic diodes of source/drain to substrate exist in the sampling switch.</w:t>
      </w:r>
    </w:p>
    <w:p w:rsidR="00000000" w:rsidRPr="00152863" w:rsidRDefault="0092106C" w:rsidP="001528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863">
        <w:rPr>
          <w:rFonts w:ascii="Times New Roman" w:hAnsi="Times New Roman" w:cs="Times New Roman"/>
          <w:sz w:val="32"/>
          <w:szCs w:val="32"/>
          <w:lang w:val="en-IN"/>
        </w:rPr>
        <w:t xml:space="preserve">Moreover, a single-side-fixed technique is utilized to reduce the number of capacitors. </w:t>
      </w:r>
    </w:p>
    <w:p w:rsidR="00000000" w:rsidRPr="00152863" w:rsidRDefault="0092106C" w:rsidP="0015286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863">
        <w:rPr>
          <w:rFonts w:ascii="Times New Roman" w:hAnsi="Times New Roman" w:cs="Times New Roman"/>
          <w:sz w:val="32"/>
          <w:szCs w:val="32"/>
          <w:lang w:val="en-IN"/>
        </w:rPr>
        <w:t>The conventional MCS switching procedure has the unswitched dummy capacitor in the last conversion step, while the proposed one takes full advantage of the capacitor.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3621D" w:rsidRDefault="0092106C" w:rsidP="0013621D">
      <w:pPr>
        <w:numPr>
          <w:ilvl w:val="0"/>
          <w:numId w:val="45"/>
        </w:numPr>
        <w:spacing w:line="360" w:lineRule="auto"/>
        <w:jc w:val="both"/>
        <w:rPr>
          <w:rFonts w:ascii="Times New Roman" w:hAnsi="Times New Roman" w:cs="Times New Roman"/>
          <w:bCs/>
          <w:sz w:val="32"/>
          <w:szCs w:val="32"/>
          <w:lang w:val="en-IN"/>
        </w:rPr>
      </w:pPr>
      <w:r w:rsidRPr="0013621D">
        <w:rPr>
          <w:rFonts w:ascii="Times New Roman" w:hAnsi="Times New Roman" w:cs="Times New Roman"/>
          <w:bCs/>
          <w:sz w:val="32"/>
          <w:szCs w:val="32"/>
          <w:lang w:val="en-IN"/>
        </w:rPr>
        <w:t>It is not a serious potential problem in synchronous logic, but the timing logic may c</w:t>
      </w:r>
      <w:r w:rsidRPr="0013621D">
        <w:rPr>
          <w:rFonts w:ascii="Times New Roman" w:hAnsi="Times New Roman" w:cs="Times New Roman"/>
          <w:bCs/>
          <w:sz w:val="32"/>
          <w:szCs w:val="32"/>
          <w:lang w:val="en-IN"/>
        </w:rPr>
        <w:t>ollapse in asynchronous SAR ADC.</w:t>
      </w:r>
    </w:p>
    <w:p w:rsidR="00000000" w:rsidRPr="0013621D" w:rsidRDefault="0092106C" w:rsidP="0013621D">
      <w:pPr>
        <w:numPr>
          <w:ilvl w:val="0"/>
          <w:numId w:val="45"/>
        </w:numPr>
        <w:spacing w:line="360" w:lineRule="auto"/>
        <w:jc w:val="both"/>
        <w:rPr>
          <w:rFonts w:ascii="Times New Roman" w:hAnsi="Times New Roman" w:cs="Times New Roman"/>
          <w:bCs/>
          <w:sz w:val="32"/>
          <w:szCs w:val="32"/>
          <w:lang w:val="en-IN"/>
        </w:rPr>
      </w:pPr>
      <w:r w:rsidRPr="0013621D">
        <w:rPr>
          <w:rFonts w:ascii="Times New Roman" w:hAnsi="Times New Roman" w:cs="Times New Roman"/>
          <w:bCs/>
          <w:sz w:val="32"/>
          <w:szCs w:val="32"/>
          <w:lang w:val="en-IN"/>
        </w:rPr>
        <w:t xml:space="preserve">The small unit capacitor provides the advantages as described earlier, it leads to the charge injection and leakage problems of the top plate. </w:t>
      </w:r>
    </w:p>
    <w:p w:rsidR="00000000" w:rsidRPr="0013621D" w:rsidRDefault="0092106C" w:rsidP="0013621D">
      <w:pPr>
        <w:numPr>
          <w:ilvl w:val="0"/>
          <w:numId w:val="45"/>
        </w:numPr>
        <w:spacing w:line="360" w:lineRule="auto"/>
        <w:jc w:val="both"/>
        <w:rPr>
          <w:rFonts w:ascii="Times New Roman" w:hAnsi="Times New Roman" w:cs="Times New Roman"/>
          <w:bCs/>
          <w:sz w:val="32"/>
          <w:szCs w:val="32"/>
          <w:lang w:val="en-IN"/>
        </w:rPr>
      </w:pPr>
      <w:r w:rsidRPr="0013621D">
        <w:rPr>
          <w:rFonts w:ascii="Times New Roman" w:hAnsi="Times New Roman" w:cs="Times New Roman"/>
          <w:bCs/>
          <w:sz w:val="32"/>
          <w:szCs w:val="32"/>
          <w:lang w:val="en-IN"/>
        </w:rPr>
        <w:lastRenderedPageBreak/>
        <w:t>This may have a direct impact on the comparison result and the subsequent con</w:t>
      </w:r>
      <w:r w:rsidRPr="0013621D">
        <w:rPr>
          <w:rFonts w:ascii="Times New Roman" w:hAnsi="Times New Roman" w:cs="Times New Roman"/>
          <w:bCs/>
          <w:sz w:val="32"/>
          <w:szCs w:val="32"/>
          <w:lang w:val="en-IN"/>
        </w:rPr>
        <w:t>versions.</w:t>
      </w:r>
    </w:p>
    <w:p w:rsidR="00F94960" w:rsidRPr="0013621D" w:rsidRDefault="0092106C" w:rsidP="00E53AA4">
      <w:pPr>
        <w:numPr>
          <w:ilvl w:val="0"/>
          <w:numId w:val="45"/>
        </w:numPr>
        <w:spacing w:line="360" w:lineRule="auto"/>
        <w:jc w:val="both"/>
        <w:rPr>
          <w:rFonts w:ascii="Times New Roman" w:hAnsi="Times New Roman" w:cs="Times New Roman"/>
          <w:bCs/>
          <w:sz w:val="32"/>
          <w:szCs w:val="32"/>
          <w:lang w:val="en-IN"/>
        </w:rPr>
      </w:pPr>
      <w:r w:rsidRPr="0013621D">
        <w:rPr>
          <w:rFonts w:ascii="Times New Roman" w:hAnsi="Times New Roman" w:cs="Times New Roman"/>
          <w:bCs/>
          <w:sz w:val="32"/>
          <w:szCs w:val="32"/>
          <w:lang w:val="en-IN"/>
        </w:rPr>
        <w:t xml:space="preserve">In this paper, a power- and area-efficient SAR ADC with high linearity in a 28 nm CMOS process is presented, which requires no calibration.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B43D1" w:rsidRPr="002B43D1" w:rsidRDefault="002B43D1" w:rsidP="002B43D1">
      <w:pPr>
        <w:pStyle w:val="NormalWeb"/>
        <w:numPr>
          <w:ilvl w:val="0"/>
          <w:numId w:val="46"/>
        </w:numPr>
        <w:spacing w:before="0" w:beforeAutospacing="0" w:after="0" w:afterAutospacing="0" w:line="360" w:lineRule="auto"/>
        <w:ind w:left="426"/>
        <w:jc w:val="both"/>
        <w:rPr>
          <w:sz w:val="32"/>
          <w:szCs w:val="32"/>
        </w:rPr>
      </w:pPr>
      <w:r w:rsidRPr="002B43D1">
        <w:rPr>
          <w:sz w:val="32"/>
          <w:szCs w:val="32"/>
        </w:rPr>
        <w:t xml:space="preserve">To demonstrate the proposed technique, a design of 12- bit 100-MS/s SAR ADC is fabricated in 40-nm CMOS technology, consuming 2 mW from 1 V power supply with a SNDR &gt;65 dB and SFDR &gt;83 dB. </w:t>
      </w:r>
    </w:p>
    <w:p w:rsidR="002B43D1" w:rsidRPr="002B43D1" w:rsidRDefault="002B43D1" w:rsidP="002B43D1">
      <w:pPr>
        <w:pStyle w:val="NormalWeb"/>
        <w:numPr>
          <w:ilvl w:val="0"/>
          <w:numId w:val="46"/>
        </w:numPr>
        <w:spacing w:before="0" w:beforeAutospacing="0" w:after="0" w:afterAutospacing="0" w:line="360" w:lineRule="auto"/>
        <w:ind w:left="426"/>
        <w:jc w:val="both"/>
        <w:rPr>
          <w:sz w:val="32"/>
          <w:szCs w:val="32"/>
        </w:rPr>
      </w:pPr>
      <w:r w:rsidRPr="002B43D1">
        <w:rPr>
          <w:sz w:val="32"/>
          <w:szCs w:val="32"/>
        </w:rPr>
        <w:t>The proposed ADC core occupies an active area of 0.02 mm2 , and the corresponding FoM is 13.8 fJ/conversion-step with Nyquist frequency.</w:t>
      </w:r>
    </w:p>
    <w:p w:rsidR="002B43D1" w:rsidRPr="002B43D1" w:rsidRDefault="002B43D1" w:rsidP="002B43D1">
      <w:pPr>
        <w:pStyle w:val="NormalWeb"/>
        <w:numPr>
          <w:ilvl w:val="0"/>
          <w:numId w:val="46"/>
        </w:numPr>
        <w:spacing w:before="0" w:beforeAutospacing="0" w:after="0" w:afterAutospacing="0" w:line="360" w:lineRule="auto"/>
        <w:ind w:left="426"/>
        <w:jc w:val="both"/>
        <w:rPr>
          <w:sz w:val="32"/>
          <w:szCs w:val="32"/>
        </w:rPr>
      </w:pPr>
      <w:r w:rsidRPr="002B43D1">
        <w:rPr>
          <w:sz w:val="32"/>
          <w:szCs w:val="32"/>
        </w:rPr>
        <w:t>A small Cc is used to bias the PW instead of additional switches in, low on-impedance is achieved with small parasitic capacitance in the proposed structure.</w:t>
      </w:r>
    </w:p>
    <w:p w:rsidR="003A5D44" w:rsidRPr="002B43D1" w:rsidRDefault="002B43D1" w:rsidP="00E53AA4">
      <w:pPr>
        <w:pStyle w:val="NormalWeb"/>
        <w:numPr>
          <w:ilvl w:val="0"/>
          <w:numId w:val="46"/>
        </w:numPr>
        <w:spacing w:before="0" w:beforeAutospacing="0" w:after="0" w:afterAutospacing="0" w:line="360" w:lineRule="auto"/>
        <w:ind w:left="426"/>
        <w:jc w:val="both"/>
        <w:rPr>
          <w:sz w:val="32"/>
          <w:szCs w:val="32"/>
        </w:rPr>
      </w:pPr>
      <w:r w:rsidRPr="002B43D1">
        <w:rPr>
          <w:sz w:val="32"/>
          <w:szCs w:val="32"/>
        </w:rPr>
        <w:t>To demonstrate the proposed linearity-enhanced switch technique, we design the four sampling switches with the same size in 40 nm CMOS technology.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13C69" w:rsidRDefault="0092106C" w:rsidP="00813C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13C69">
        <w:rPr>
          <w:rFonts w:ascii="Times New Roman" w:eastAsia="AdvGulliv-R" w:hAnsi="Times New Roman" w:cs="Times New Roman"/>
          <w:bCs/>
          <w:sz w:val="32"/>
          <w:szCs w:val="32"/>
          <w:lang w:val="en-IN"/>
        </w:rPr>
        <w:t>There are many techniques that have been reported for implementing high-performance SAR ADCs.</w:t>
      </w:r>
    </w:p>
    <w:p w:rsidR="00000000" w:rsidRPr="00813C69" w:rsidRDefault="0092106C" w:rsidP="00813C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13C69">
        <w:rPr>
          <w:rFonts w:ascii="Times New Roman" w:eastAsia="AdvGulliv-R" w:hAnsi="Times New Roman" w:cs="Times New Roman"/>
          <w:bCs/>
          <w:sz w:val="32"/>
          <w:szCs w:val="32"/>
          <w:lang w:val="en-IN"/>
        </w:rPr>
        <w:lastRenderedPageBreak/>
        <w:t>However, with small</w:t>
      </w:r>
      <w:r w:rsidRPr="00813C69">
        <w:rPr>
          <w:rFonts w:ascii="Times New Roman" w:eastAsia="AdvGulliv-R" w:hAnsi="Times New Roman" w:cs="Times New Roman"/>
          <w:bCs/>
          <w:sz w:val="32"/>
          <w:szCs w:val="32"/>
          <w:lang w:val="en-IN"/>
        </w:rPr>
        <w:t xml:space="preserve"> DAC capacitors, a variety of factors will limit the ADC performance, such as capacitor mismatches, the top plate parasitic capacitors, the comparator input nonlinear parasitic capacitors, and the leakage and clock feedthrough of the top plate switches.</w:t>
      </w:r>
    </w:p>
    <w:p w:rsidR="00000000" w:rsidRPr="00813C69" w:rsidRDefault="0092106C" w:rsidP="00813C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13C69">
        <w:rPr>
          <w:rFonts w:ascii="Times New Roman" w:eastAsia="AdvGulliv-R" w:hAnsi="Times New Roman" w:cs="Times New Roman"/>
          <w:bCs/>
          <w:sz w:val="32"/>
          <w:szCs w:val="32"/>
          <w:lang w:val="en-IN"/>
        </w:rPr>
        <w:t>T</w:t>
      </w:r>
      <w:r w:rsidRPr="00813C69">
        <w:rPr>
          <w:rFonts w:ascii="Times New Roman" w:eastAsia="AdvGulliv-R" w:hAnsi="Times New Roman" w:cs="Times New Roman"/>
          <w:bCs/>
          <w:sz w:val="32"/>
          <w:szCs w:val="32"/>
          <w:lang w:val="en-IN"/>
        </w:rPr>
        <w:t>he performance of the ADC is mainly limited by this deterministic capacitor mismatch.</w:t>
      </w:r>
    </w:p>
    <w:p w:rsidR="00000000" w:rsidRPr="00813C69" w:rsidRDefault="0092106C" w:rsidP="00813C6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13C69">
        <w:rPr>
          <w:rFonts w:ascii="Times New Roman" w:eastAsia="AdvGulliv-R" w:hAnsi="Times New Roman" w:cs="Times New Roman"/>
          <w:bCs/>
          <w:sz w:val="32"/>
          <w:szCs w:val="32"/>
          <w:lang w:val="en-IN"/>
        </w:rPr>
        <w:t>High-speed and high-resolution analog-to-digital converter (ADC) can be widely used in smart antenna systems, mobile communications, and other fields and at the same tim</w:t>
      </w:r>
      <w:r w:rsidRPr="00813C69">
        <w:rPr>
          <w:rFonts w:ascii="Times New Roman" w:eastAsia="AdvGulliv-R" w:hAnsi="Times New Roman" w:cs="Times New Roman"/>
          <w:bCs/>
          <w:sz w:val="32"/>
          <w:szCs w:val="32"/>
          <w:lang w:val="en-IN"/>
        </w:rPr>
        <w:t>e, high energy efficiency is still required in these ADCs.</w:t>
      </w:r>
      <w:r w:rsidRPr="00813C6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B014D3">
        <w:trPr>
          <w:trHeight w:val="1495"/>
        </w:trPr>
        <w:tc>
          <w:tcPr>
            <w:tcW w:w="3192" w:type="dxa"/>
          </w:tcPr>
          <w:p w:rsidR="000C407B" w:rsidRPr="00FE57C6" w:rsidRDefault="00B014D3"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t>A 12 bit 100 MS/s SARassisted digital-slope ADC</w:t>
            </w:r>
          </w:p>
        </w:tc>
        <w:tc>
          <w:tcPr>
            <w:tcW w:w="3192" w:type="dxa"/>
          </w:tcPr>
          <w:p w:rsidR="000C407B" w:rsidRPr="00FE57C6" w:rsidRDefault="00B014D3" w:rsidP="00B014D3">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t xml:space="preserve">C.-C. Liu, M.-C. Huang, and Y.-H. Tu, </w:t>
            </w:r>
          </w:p>
        </w:tc>
        <w:tc>
          <w:tcPr>
            <w:tcW w:w="3192" w:type="dxa"/>
          </w:tcPr>
          <w:p w:rsidR="000C407B" w:rsidRPr="00FE57C6" w:rsidRDefault="00B014D3"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color w:val="333333"/>
                <w:sz w:val="28"/>
                <w:szCs w:val="28"/>
                <w:shd w:val="clear" w:color="auto" w:fill="FFFFFF"/>
              </w:rPr>
              <w:t>The proposed hybrid ADC combines a low-noise fine digital-slope ADC with a low-power coarse SAR ADC. </w:t>
            </w:r>
          </w:p>
        </w:tc>
      </w:tr>
      <w:tr w:rsidR="000C407B" w:rsidTr="00B014D3">
        <w:trPr>
          <w:trHeight w:val="2342"/>
        </w:trPr>
        <w:tc>
          <w:tcPr>
            <w:tcW w:w="3192" w:type="dxa"/>
          </w:tcPr>
          <w:p w:rsidR="000C407B" w:rsidRPr="00FE57C6" w:rsidRDefault="00B014D3"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t>A 1 mW 71.5 dB SNDR 50 MS/S 13 b fully differential ring-amplifier-based SAR-assisted pipeline ADC</w:t>
            </w:r>
          </w:p>
        </w:tc>
        <w:tc>
          <w:tcPr>
            <w:tcW w:w="3192" w:type="dxa"/>
          </w:tcPr>
          <w:p w:rsidR="000C407B" w:rsidRPr="00FE57C6" w:rsidRDefault="00B014D3" w:rsidP="00B014D3">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t xml:space="preserve">L. Yong and M. P. Flynn, </w:t>
            </w:r>
          </w:p>
        </w:tc>
        <w:tc>
          <w:tcPr>
            <w:tcW w:w="3192" w:type="dxa"/>
          </w:tcPr>
          <w:p w:rsidR="000C407B" w:rsidRPr="00FE57C6" w:rsidRDefault="00B014D3"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color w:val="333333"/>
                <w:sz w:val="28"/>
                <w:szCs w:val="28"/>
                <w:shd w:val="clear" w:color="auto" w:fill="FFFFFF"/>
              </w:rPr>
              <w:t>This paper presents a 13 bit 50 MS/s fully differential ring amplifier based SAR-assisted pipeline ADC, implemented in 65 nm CMOS.</w:t>
            </w:r>
          </w:p>
        </w:tc>
      </w:tr>
      <w:tr w:rsidR="000C407B" w:rsidTr="000C407B">
        <w:tc>
          <w:tcPr>
            <w:tcW w:w="3192" w:type="dxa"/>
          </w:tcPr>
          <w:p w:rsidR="000C407B" w:rsidRPr="00FE57C6" w:rsidRDefault="00B014D3"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lastRenderedPageBreak/>
              <w:t>A 10-bit 100-MS/s reference-free SAR ADC in 90 nm CMOS</w:t>
            </w:r>
          </w:p>
        </w:tc>
        <w:tc>
          <w:tcPr>
            <w:tcW w:w="3192" w:type="dxa"/>
          </w:tcPr>
          <w:p w:rsidR="000C407B" w:rsidRPr="00FE57C6" w:rsidRDefault="00B014D3" w:rsidP="00B014D3">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t xml:space="preserve">Y. Zhu et al., </w:t>
            </w:r>
          </w:p>
        </w:tc>
        <w:tc>
          <w:tcPr>
            <w:tcW w:w="3192" w:type="dxa"/>
          </w:tcPr>
          <w:p w:rsidR="000C407B" w:rsidRPr="00FE57C6" w:rsidRDefault="00B014D3"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color w:val="333333"/>
                <w:sz w:val="28"/>
                <w:szCs w:val="28"/>
                <w:shd w:val="clear" w:color="auto" w:fill="FFFFFF"/>
              </w:rPr>
              <w:t>A variable self-timed loop optimizes the reset time of the preamplifier to improve the conversion speed.</w:t>
            </w:r>
          </w:p>
        </w:tc>
      </w:tr>
      <w:tr w:rsidR="000C407B" w:rsidTr="000C407B">
        <w:tc>
          <w:tcPr>
            <w:tcW w:w="3192" w:type="dxa"/>
          </w:tcPr>
          <w:p w:rsidR="000C407B" w:rsidRPr="00FE57C6" w:rsidRDefault="00FE57C6"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t>A 12 bit 160 MS/s two-step SAR ADC with background bit-weight calibration using a time-domain proximity detector</w:t>
            </w:r>
          </w:p>
        </w:tc>
        <w:tc>
          <w:tcPr>
            <w:tcW w:w="3192" w:type="dxa"/>
          </w:tcPr>
          <w:p w:rsidR="000C407B" w:rsidRPr="00FE57C6" w:rsidRDefault="00FE57C6" w:rsidP="00FE57C6">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sz w:val="28"/>
                <w:szCs w:val="28"/>
              </w:rPr>
              <w:t xml:space="preserve">Y. Zhou, B. Xu, and C. Yun, </w:t>
            </w:r>
          </w:p>
        </w:tc>
        <w:tc>
          <w:tcPr>
            <w:tcW w:w="3192" w:type="dxa"/>
          </w:tcPr>
          <w:p w:rsidR="000C407B" w:rsidRPr="00FE57C6" w:rsidRDefault="00FE57C6" w:rsidP="00E53AA4">
            <w:pPr>
              <w:tabs>
                <w:tab w:val="left" w:pos="720"/>
              </w:tabs>
              <w:spacing w:after="100" w:line="360" w:lineRule="auto"/>
              <w:jc w:val="both"/>
              <w:rPr>
                <w:rFonts w:ascii="Times New Roman" w:hAnsi="Times New Roman" w:cs="Times New Roman"/>
                <w:sz w:val="28"/>
                <w:szCs w:val="28"/>
              </w:rPr>
            </w:pPr>
            <w:r w:rsidRPr="00FE57C6">
              <w:rPr>
                <w:rFonts w:ascii="Times New Roman" w:hAnsi="Times New Roman" w:cs="Times New Roman"/>
                <w:color w:val="333333"/>
                <w:sz w:val="28"/>
                <w:szCs w:val="28"/>
                <w:shd w:val="clear" w:color="auto" w:fill="FFFFFF"/>
              </w:rPr>
              <w:t>A 12 bit 160 MS/s two-step pipelined SAR ADC was fabricated in a 40 nm CMOS low-leakage digital process.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DF1849" w:rsidRDefault="00DF1849" w:rsidP="00E53AA4">
      <w:pPr>
        <w:tabs>
          <w:tab w:val="left" w:pos="720"/>
          <w:tab w:val="left" w:pos="3390"/>
        </w:tabs>
        <w:spacing w:after="100" w:line="360" w:lineRule="auto"/>
        <w:jc w:val="both"/>
        <w:rPr>
          <w:rFonts w:ascii="Times New Roman" w:hAnsi="Times New Roman" w:cs="Times New Roman"/>
          <w:b/>
          <w:sz w:val="28"/>
          <w:szCs w:val="28"/>
        </w:rPr>
      </w:pPr>
    </w:p>
    <w:p w:rsidR="00DF1849" w:rsidRDefault="00DF1849"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DF1849" w:rsidRDefault="00DF1849" w:rsidP="00E53AA4">
      <w:pPr>
        <w:spacing w:line="360" w:lineRule="auto"/>
        <w:jc w:val="both"/>
        <w:rPr>
          <w:rFonts w:ascii="Times New Roman" w:hAnsi="Times New Roman" w:cs="Times New Roman"/>
          <w:b/>
          <w:iCs/>
          <w:sz w:val="28"/>
          <w:szCs w:val="28"/>
        </w:rPr>
      </w:pPr>
    </w:p>
    <w:p w:rsidR="00DF1849" w:rsidRDefault="00DF1849"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F1849" w:rsidP="00E53AA4">
      <w:pPr>
        <w:spacing w:after="0" w:line="360" w:lineRule="auto"/>
        <w:jc w:val="both"/>
        <w:rPr>
          <w:rFonts w:ascii="Times New Roman" w:hAnsi="Times New Roman" w:cs="Times New Roman"/>
        </w:rPr>
      </w:pPr>
      <w:r w:rsidRPr="00DF1849">
        <w:rPr>
          <w:rFonts w:ascii="Times New Roman" w:hAnsi="Times New Roman" w:cs="Times New Roman"/>
        </w:rPr>
        <w:drawing>
          <wp:inline distT="0" distB="0" distL="0" distR="0">
            <wp:extent cx="5943600" cy="38303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8303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F1849" w:rsidRDefault="00DF1849" w:rsidP="00E53AA4">
      <w:pPr>
        <w:spacing w:before="100" w:after="100" w:line="360" w:lineRule="auto"/>
        <w:jc w:val="both"/>
        <w:rPr>
          <w:rFonts w:ascii="Times New Roman" w:hAnsi="Times New Roman" w:cs="Times New Roman"/>
          <w:b/>
          <w:noProof/>
          <w:sz w:val="28"/>
          <w:szCs w:val="28"/>
        </w:rPr>
      </w:pPr>
    </w:p>
    <w:p w:rsidR="00DF1849" w:rsidRDefault="00DF1849" w:rsidP="00E53AA4">
      <w:pPr>
        <w:spacing w:before="100" w:after="100" w:line="360" w:lineRule="auto"/>
        <w:jc w:val="both"/>
        <w:rPr>
          <w:rFonts w:ascii="Times New Roman" w:hAnsi="Times New Roman" w:cs="Times New Roman"/>
          <w:b/>
          <w:noProof/>
          <w:sz w:val="28"/>
          <w:szCs w:val="28"/>
        </w:rPr>
      </w:pPr>
    </w:p>
    <w:p w:rsidR="00DF1849" w:rsidRDefault="00DF184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55ED" w:rsidRPr="006F55ED" w:rsidRDefault="006F55ED" w:rsidP="006F55ED">
      <w:pPr>
        <w:pStyle w:val="BodyText"/>
        <w:rPr>
          <w:bCs/>
          <w:iCs/>
          <w:sz w:val="32"/>
          <w:szCs w:val="32"/>
          <w:lang w:val="en-IN"/>
        </w:rPr>
      </w:pPr>
      <w:r w:rsidRPr="006F55ED">
        <w:rPr>
          <w:bCs/>
          <w:iCs/>
          <w:sz w:val="32"/>
          <w:szCs w:val="32"/>
          <w:lang w:val="en-IN"/>
        </w:rPr>
        <w:t xml:space="preserve">    In this paper, a 0.9-V 12-bit 100-MS/s SAR ADC has been presented. The small unit capacitor of DAC allows for extremely high hardware utilization and yielding a wideband input network while reducing DAC settling time and power consumption. In the comparator, the proposed nonlinear capacitor correction method and the latch output glitch removal method are used, which help to improve the accuracy and speed of comparator at a low-power supply. In addition, the proposed high-speed SAR logic improved the SAR ADC’s operating speed by 75% compared with the traditional SAR logic. The prototype achieves a power consumption of less than 2.6 mW. It has a FOM of 14.6 fJ/conversion-step and occupies an active area of only 0.014 mm2.</w:t>
      </w:r>
      <w:r w:rsidRPr="006F55E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6F55ED" w:rsidRDefault="006F55E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DA202B" w:rsidRPr="00B27B93" w:rsidRDefault="00CE0F28" w:rsidP="00B27B93">
      <w:pPr>
        <w:pStyle w:val="BodyText"/>
        <w:numPr>
          <w:ilvl w:val="0"/>
          <w:numId w:val="42"/>
        </w:numPr>
        <w:rPr>
          <w:sz w:val="32"/>
          <w:szCs w:val="32"/>
          <w:lang w:val="en-IN"/>
        </w:rPr>
      </w:pPr>
      <w:r w:rsidRPr="00B27B93">
        <w:rPr>
          <w:sz w:val="32"/>
          <w:szCs w:val="32"/>
          <w:lang w:val="en-IN"/>
        </w:rPr>
        <w:t xml:space="preserve">[1] C.-C. Liu, M.-C. Huang, and Y.-H. Tu, “A 12 bit 100 MS/s SARassisted digital-slope ADC,” IEEE J. Solid-State Circuits, vol. 51, no. 12, pp. 2941–2950, Aug. 2016. </w:t>
      </w:r>
    </w:p>
    <w:p w:rsidR="00DA202B" w:rsidRPr="00B27B93" w:rsidRDefault="00CE0F28" w:rsidP="00B27B93">
      <w:pPr>
        <w:pStyle w:val="BodyText"/>
        <w:numPr>
          <w:ilvl w:val="0"/>
          <w:numId w:val="42"/>
        </w:numPr>
        <w:rPr>
          <w:sz w:val="32"/>
          <w:szCs w:val="32"/>
          <w:lang w:val="en-IN"/>
        </w:rPr>
      </w:pPr>
      <w:r w:rsidRPr="00B27B93">
        <w:rPr>
          <w:sz w:val="32"/>
          <w:szCs w:val="32"/>
          <w:lang w:val="en-IN"/>
        </w:rPr>
        <w:t xml:space="preserve">[2] L. Yong and M. P. Flynn, “A 1 mW 71.5 dB SNDR 50 MS/S 13 b fully differential ring-amplifier-based SAR-assisted pipeline ADC,” in IEEE Solid-State Circuits Conf. (ISSCC) Dig. Tech. Papers, Feb. 2015, pp. 1–3. </w:t>
      </w:r>
    </w:p>
    <w:p w:rsidR="00DA202B" w:rsidRPr="00B27B93" w:rsidRDefault="00CE0F28" w:rsidP="00B27B93">
      <w:pPr>
        <w:pStyle w:val="BodyText"/>
        <w:numPr>
          <w:ilvl w:val="0"/>
          <w:numId w:val="42"/>
        </w:numPr>
        <w:rPr>
          <w:sz w:val="32"/>
          <w:szCs w:val="32"/>
          <w:lang w:val="en-IN"/>
        </w:rPr>
      </w:pPr>
      <w:r w:rsidRPr="00B27B93">
        <w:rPr>
          <w:sz w:val="32"/>
          <w:szCs w:val="32"/>
          <w:lang w:val="en-IN"/>
        </w:rPr>
        <w:t>[3] Y. Zhu et al., “A 10-bit 100-MS/s reference-free SAR ADC in 90 nm CMOS,” IEEE J. Solid-State Circuits, vol. 45, no. 6, pp. 1111–1121, Jun. 2010.</w:t>
      </w:r>
    </w:p>
    <w:p w:rsidR="00DA202B" w:rsidRPr="00B27B93" w:rsidRDefault="00CE0F28" w:rsidP="00B27B93">
      <w:pPr>
        <w:pStyle w:val="BodyText"/>
        <w:numPr>
          <w:ilvl w:val="0"/>
          <w:numId w:val="42"/>
        </w:numPr>
        <w:rPr>
          <w:sz w:val="32"/>
          <w:szCs w:val="32"/>
          <w:lang w:val="en-IN"/>
        </w:rPr>
      </w:pPr>
      <w:r w:rsidRPr="00B27B93">
        <w:rPr>
          <w:sz w:val="32"/>
          <w:szCs w:val="32"/>
          <w:lang w:val="en-IN"/>
        </w:rPr>
        <w:t xml:space="preserve">[4] Y. Zhou, B. Xu, and C. Yun, “A 12 bit 160 MS/s two-step SAR ADC with background bit-weight calibration using a time-domain proximity detector,” IEEE J. Solid-State Circuits, vol. 50, no. 4, pp. 920–931, Apr. 2015. </w:t>
      </w:r>
    </w:p>
    <w:p w:rsidR="00DA202B" w:rsidRPr="00B27B93" w:rsidRDefault="00CE0F28" w:rsidP="00B27B93">
      <w:pPr>
        <w:pStyle w:val="BodyText"/>
        <w:numPr>
          <w:ilvl w:val="0"/>
          <w:numId w:val="42"/>
        </w:numPr>
        <w:rPr>
          <w:sz w:val="32"/>
          <w:szCs w:val="32"/>
          <w:lang w:val="en-IN"/>
        </w:rPr>
      </w:pPr>
      <w:r w:rsidRPr="00B27B93">
        <w:rPr>
          <w:sz w:val="32"/>
          <w:szCs w:val="32"/>
          <w:lang w:val="en-IN"/>
        </w:rPr>
        <w:t>[5] H. Huang, H. Xu, B. Elies, and Y. Chiu, “A non-interleaved 12-b 330-MS/s pipelined-SAR ADC with PVT-stabilized dynamic amplifier achieving sub-1-dB SNDR variation,” IEEE J. Solid-State Circuits, vol. 52, no. 12, pp. 3235–3247, Dec. 2017.</w:t>
      </w:r>
      <w:r w:rsidRPr="00B27B93">
        <w:rPr>
          <w:sz w:val="32"/>
          <w:szCs w:val="32"/>
        </w:rPr>
        <w:t xml:space="preserve"> </w:t>
      </w:r>
    </w:p>
    <w:p w:rsidR="00DA202B" w:rsidRPr="00B27B93" w:rsidRDefault="00CE0F28" w:rsidP="00B27B93">
      <w:pPr>
        <w:pStyle w:val="BodyText"/>
        <w:numPr>
          <w:ilvl w:val="0"/>
          <w:numId w:val="42"/>
        </w:numPr>
        <w:rPr>
          <w:sz w:val="32"/>
          <w:szCs w:val="32"/>
          <w:lang w:val="en-IN"/>
        </w:rPr>
      </w:pPr>
      <w:r w:rsidRPr="00B27B93">
        <w:rPr>
          <w:sz w:val="32"/>
          <w:szCs w:val="32"/>
          <w:lang w:val="en-IN"/>
        </w:rPr>
        <w:t xml:space="preserve">[6] E. Janssen et al., “An 11 b 3.6 GS/s time-interleaved SAR ADC in 65 nm CMOS,” in IEEE Int. Solid-State Circuits Conf. (ISSCC) Dig. Tech. Papers, Feb. 2013, pp. 464–465. </w:t>
      </w:r>
    </w:p>
    <w:p w:rsidR="00DA202B" w:rsidRPr="00B27B93" w:rsidRDefault="00CE0F28" w:rsidP="00B27B93">
      <w:pPr>
        <w:pStyle w:val="BodyText"/>
        <w:numPr>
          <w:ilvl w:val="0"/>
          <w:numId w:val="42"/>
        </w:numPr>
        <w:rPr>
          <w:sz w:val="32"/>
          <w:szCs w:val="32"/>
          <w:lang w:val="en-IN"/>
        </w:rPr>
      </w:pPr>
      <w:r w:rsidRPr="00B27B93">
        <w:rPr>
          <w:sz w:val="32"/>
          <w:szCs w:val="32"/>
          <w:lang w:val="en-IN"/>
        </w:rPr>
        <w:lastRenderedPageBreak/>
        <w:t xml:space="preserve">[7] X. Tang, L. Chen, J. Song, and N. Sun, “A 10-b 750 </w:t>
      </w:r>
      <w:r w:rsidRPr="00B27B93">
        <w:rPr>
          <w:sz w:val="32"/>
          <w:szCs w:val="32"/>
          <w:lang w:val="el-GR"/>
        </w:rPr>
        <w:t>μ</w:t>
      </w:r>
      <w:r w:rsidRPr="00B27B93">
        <w:rPr>
          <w:sz w:val="32"/>
          <w:szCs w:val="32"/>
          <w:lang w:val="en-IN"/>
        </w:rPr>
        <w:t xml:space="preserve">W 200 MS/s fully dynamic single-channel SAR ADC in 40 nm CMOS,” in Proc. 42nd Eur. Solid-State Circuits Conf. (ESSCIRC), Sep. 2016, pp. 413–416. </w:t>
      </w:r>
    </w:p>
    <w:p w:rsidR="00DA202B" w:rsidRPr="00B27B93" w:rsidRDefault="00CE0F28" w:rsidP="00B27B93">
      <w:pPr>
        <w:pStyle w:val="BodyText"/>
        <w:numPr>
          <w:ilvl w:val="0"/>
          <w:numId w:val="42"/>
        </w:numPr>
        <w:rPr>
          <w:sz w:val="32"/>
          <w:szCs w:val="32"/>
          <w:lang w:val="en-IN"/>
        </w:rPr>
      </w:pPr>
      <w:r w:rsidRPr="00B27B93">
        <w:rPr>
          <w:sz w:val="32"/>
          <w:szCs w:val="32"/>
          <w:lang w:val="en-IN"/>
        </w:rPr>
        <w:t xml:space="preserve">[8] D. V. Stepanovic, “Calibration techniques for time-interleaved SAR A/D converters,” Ph.D. dissertation, Dept. Eng. Elect. Eng., Univ. California, Berkeley, Berkeley, CA, USA, 2012. </w:t>
      </w:r>
    </w:p>
    <w:p w:rsidR="00DA202B" w:rsidRPr="00B27B93" w:rsidRDefault="00CE0F28" w:rsidP="00B27B93">
      <w:pPr>
        <w:pStyle w:val="BodyText"/>
        <w:numPr>
          <w:ilvl w:val="0"/>
          <w:numId w:val="42"/>
        </w:numPr>
        <w:rPr>
          <w:sz w:val="32"/>
          <w:szCs w:val="32"/>
          <w:lang w:val="en-IN"/>
        </w:rPr>
      </w:pPr>
      <w:r w:rsidRPr="00B27B93">
        <w:rPr>
          <w:sz w:val="32"/>
          <w:szCs w:val="32"/>
          <w:lang w:val="en-IN"/>
        </w:rPr>
        <w:t xml:space="preserve">[9] A. Shikata, R. Sekimoto, T. Kuroda, and H. Ishikuro, “A 0.5 V 1.1 MS/sec 6.3 fJ/conversion-step SAR-ADC with tri-level comparator in 40 nm CMOS,” IEEE J. Solid-State Circuits, vol. 47, no. 4, pp. 1022–1030, Apr. 2012. </w:t>
      </w:r>
    </w:p>
    <w:p w:rsidR="00DA202B" w:rsidRPr="00B27B93" w:rsidRDefault="00CE0F28" w:rsidP="00B27B93">
      <w:pPr>
        <w:pStyle w:val="BodyText"/>
        <w:numPr>
          <w:ilvl w:val="0"/>
          <w:numId w:val="42"/>
        </w:numPr>
        <w:rPr>
          <w:sz w:val="32"/>
          <w:szCs w:val="32"/>
          <w:lang w:val="en-IN"/>
        </w:rPr>
      </w:pPr>
      <w:r w:rsidRPr="00B27B93">
        <w:rPr>
          <w:sz w:val="32"/>
          <w:szCs w:val="32"/>
          <w:lang w:val="en-IN"/>
        </w:rPr>
        <w:t xml:space="preserve">[10] F. Kuttner, “A 1.2 V 10 b 20 MSample/s non-binany successive approximation ADC in 0.13 </w:t>
      </w:r>
      <w:r w:rsidRPr="00B27B93">
        <w:rPr>
          <w:sz w:val="32"/>
          <w:szCs w:val="32"/>
          <w:lang w:val="el-GR"/>
        </w:rPr>
        <w:t>μ</w:t>
      </w:r>
      <w:r w:rsidRPr="00B27B93">
        <w:rPr>
          <w:sz w:val="32"/>
          <w:szCs w:val="32"/>
          <w:lang w:val="en-IN"/>
        </w:rPr>
        <w:t xml:space="preserve">m CMOS,” in IEEE Solid-State Circuits Conf. (ISSCC) Dig. Tech. Papers, Feb. 2002, pp. 136–137.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106C" w:rsidRDefault="0092106C" w:rsidP="003654DF">
      <w:pPr>
        <w:spacing w:after="0" w:line="240" w:lineRule="auto"/>
      </w:pPr>
      <w:r>
        <w:separator/>
      </w:r>
    </w:p>
  </w:endnote>
  <w:endnote w:type="continuationSeparator" w:id="1">
    <w:p w:rsidR="0092106C" w:rsidRDefault="0092106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106C" w:rsidRDefault="0092106C" w:rsidP="003654DF">
      <w:pPr>
        <w:spacing w:after="0" w:line="240" w:lineRule="auto"/>
      </w:pPr>
      <w:r>
        <w:separator/>
      </w:r>
    </w:p>
  </w:footnote>
  <w:footnote w:type="continuationSeparator" w:id="1">
    <w:p w:rsidR="0092106C" w:rsidRDefault="0092106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A202B">
        <w:pPr>
          <w:pStyle w:val="Header"/>
          <w:jc w:val="right"/>
        </w:pPr>
        <w:fldSimple w:instr=" PAGE   \* MERGEFORMAT ">
          <w:r w:rsidR="002C0AA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941EBC"/>
    <w:multiLevelType w:val="hybridMultilevel"/>
    <w:tmpl w:val="AB4E463A"/>
    <w:lvl w:ilvl="0" w:tplc="8BB071A8">
      <w:start w:val="1"/>
      <w:numFmt w:val="bullet"/>
      <w:lvlText w:val=""/>
      <w:lvlJc w:val="left"/>
      <w:pPr>
        <w:tabs>
          <w:tab w:val="num" w:pos="720"/>
        </w:tabs>
        <w:ind w:left="720" w:hanging="360"/>
      </w:pPr>
      <w:rPr>
        <w:rFonts w:ascii="Wingdings 2" w:hAnsi="Wingdings 2" w:hint="default"/>
      </w:rPr>
    </w:lvl>
    <w:lvl w:ilvl="1" w:tplc="A2B0C0AC" w:tentative="1">
      <w:start w:val="1"/>
      <w:numFmt w:val="bullet"/>
      <w:lvlText w:val=""/>
      <w:lvlJc w:val="left"/>
      <w:pPr>
        <w:tabs>
          <w:tab w:val="num" w:pos="1440"/>
        </w:tabs>
        <w:ind w:left="1440" w:hanging="360"/>
      </w:pPr>
      <w:rPr>
        <w:rFonts w:ascii="Wingdings 2" w:hAnsi="Wingdings 2" w:hint="default"/>
      </w:rPr>
    </w:lvl>
    <w:lvl w:ilvl="2" w:tplc="F6C0BE18" w:tentative="1">
      <w:start w:val="1"/>
      <w:numFmt w:val="bullet"/>
      <w:lvlText w:val=""/>
      <w:lvlJc w:val="left"/>
      <w:pPr>
        <w:tabs>
          <w:tab w:val="num" w:pos="2160"/>
        </w:tabs>
        <w:ind w:left="2160" w:hanging="360"/>
      </w:pPr>
      <w:rPr>
        <w:rFonts w:ascii="Wingdings 2" w:hAnsi="Wingdings 2" w:hint="default"/>
      </w:rPr>
    </w:lvl>
    <w:lvl w:ilvl="3" w:tplc="1D86F8BA" w:tentative="1">
      <w:start w:val="1"/>
      <w:numFmt w:val="bullet"/>
      <w:lvlText w:val=""/>
      <w:lvlJc w:val="left"/>
      <w:pPr>
        <w:tabs>
          <w:tab w:val="num" w:pos="2880"/>
        </w:tabs>
        <w:ind w:left="2880" w:hanging="360"/>
      </w:pPr>
      <w:rPr>
        <w:rFonts w:ascii="Wingdings 2" w:hAnsi="Wingdings 2" w:hint="default"/>
      </w:rPr>
    </w:lvl>
    <w:lvl w:ilvl="4" w:tplc="C0E802CA" w:tentative="1">
      <w:start w:val="1"/>
      <w:numFmt w:val="bullet"/>
      <w:lvlText w:val=""/>
      <w:lvlJc w:val="left"/>
      <w:pPr>
        <w:tabs>
          <w:tab w:val="num" w:pos="3600"/>
        </w:tabs>
        <w:ind w:left="3600" w:hanging="360"/>
      </w:pPr>
      <w:rPr>
        <w:rFonts w:ascii="Wingdings 2" w:hAnsi="Wingdings 2" w:hint="default"/>
      </w:rPr>
    </w:lvl>
    <w:lvl w:ilvl="5" w:tplc="78BA0030" w:tentative="1">
      <w:start w:val="1"/>
      <w:numFmt w:val="bullet"/>
      <w:lvlText w:val=""/>
      <w:lvlJc w:val="left"/>
      <w:pPr>
        <w:tabs>
          <w:tab w:val="num" w:pos="4320"/>
        </w:tabs>
        <w:ind w:left="4320" w:hanging="360"/>
      </w:pPr>
      <w:rPr>
        <w:rFonts w:ascii="Wingdings 2" w:hAnsi="Wingdings 2" w:hint="default"/>
      </w:rPr>
    </w:lvl>
    <w:lvl w:ilvl="6" w:tplc="79F297C0" w:tentative="1">
      <w:start w:val="1"/>
      <w:numFmt w:val="bullet"/>
      <w:lvlText w:val=""/>
      <w:lvlJc w:val="left"/>
      <w:pPr>
        <w:tabs>
          <w:tab w:val="num" w:pos="5040"/>
        </w:tabs>
        <w:ind w:left="5040" w:hanging="360"/>
      </w:pPr>
      <w:rPr>
        <w:rFonts w:ascii="Wingdings 2" w:hAnsi="Wingdings 2" w:hint="default"/>
      </w:rPr>
    </w:lvl>
    <w:lvl w:ilvl="7" w:tplc="23AE4AF8" w:tentative="1">
      <w:start w:val="1"/>
      <w:numFmt w:val="bullet"/>
      <w:lvlText w:val=""/>
      <w:lvlJc w:val="left"/>
      <w:pPr>
        <w:tabs>
          <w:tab w:val="num" w:pos="5760"/>
        </w:tabs>
        <w:ind w:left="5760" w:hanging="360"/>
      </w:pPr>
      <w:rPr>
        <w:rFonts w:ascii="Wingdings 2" w:hAnsi="Wingdings 2" w:hint="default"/>
      </w:rPr>
    </w:lvl>
    <w:lvl w:ilvl="8" w:tplc="A1BC3D8E" w:tentative="1">
      <w:start w:val="1"/>
      <w:numFmt w:val="bullet"/>
      <w:lvlText w:val=""/>
      <w:lvlJc w:val="left"/>
      <w:pPr>
        <w:tabs>
          <w:tab w:val="num" w:pos="6480"/>
        </w:tabs>
        <w:ind w:left="6480" w:hanging="360"/>
      </w:pPr>
      <w:rPr>
        <w:rFonts w:ascii="Wingdings 2" w:hAnsi="Wingdings 2" w:hint="default"/>
      </w:rPr>
    </w:lvl>
  </w:abstractNum>
  <w:abstractNum w:abstractNumId="21">
    <w:nsid w:val="372006B9"/>
    <w:multiLevelType w:val="hybridMultilevel"/>
    <w:tmpl w:val="1AEC3742"/>
    <w:lvl w:ilvl="0" w:tplc="2FA8C25A">
      <w:start w:val="1"/>
      <w:numFmt w:val="bullet"/>
      <w:lvlText w:val=""/>
      <w:lvlJc w:val="left"/>
      <w:pPr>
        <w:tabs>
          <w:tab w:val="num" w:pos="720"/>
        </w:tabs>
        <w:ind w:left="720" w:hanging="360"/>
      </w:pPr>
      <w:rPr>
        <w:rFonts w:ascii="Wingdings 2" w:hAnsi="Wingdings 2" w:hint="default"/>
      </w:rPr>
    </w:lvl>
    <w:lvl w:ilvl="1" w:tplc="6B1A3612" w:tentative="1">
      <w:start w:val="1"/>
      <w:numFmt w:val="bullet"/>
      <w:lvlText w:val=""/>
      <w:lvlJc w:val="left"/>
      <w:pPr>
        <w:tabs>
          <w:tab w:val="num" w:pos="1440"/>
        </w:tabs>
        <w:ind w:left="1440" w:hanging="360"/>
      </w:pPr>
      <w:rPr>
        <w:rFonts w:ascii="Wingdings 2" w:hAnsi="Wingdings 2" w:hint="default"/>
      </w:rPr>
    </w:lvl>
    <w:lvl w:ilvl="2" w:tplc="D05E6046" w:tentative="1">
      <w:start w:val="1"/>
      <w:numFmt w:val="bullet"/>
      <w:lvlText w:val=""/>
      <w:lvlJc w:val="left"/>
      <w:pPr>
        <w:tabs>
          <w:tab w:val="num" w:pos="2160"/>
        </w:tabs>
        <w:ind w:left="2160" w:hanging="360"/>
      </w:pPr>
      <w:rPr>
        <w:rFonts w:ascii="Wingdings 2" w:hAnsi="Wingdings 2" w:hint="default"/>
      </w:rPr>
    </w:lvl>
    <w:lvl w:ilvl="3" w:tplc="C75002BC" w:tentative="1">
      <w:start w:val="1"/>
      <w:numFmt w:val="bullet"/>
      <w:lvlText w:val=""/>
      <w:lvlJc w:val="left"/>
      <w:pPr>
        <w:tabs>
          <w:tab w:val="num" w:pos="2880"/>
        </w:tabs>
        <w:ind w:left="2880" w:hanging="360"/>
      </w:pPr>
      <w:rPr>
        <w:rFonts w:ascii="Wingdings 2" w:hAnsi="Wingdings 2" w:hint="default"/>
      </w:rPr>
    </w:lvl>
    <w:lvl w:ilvl="4" w:tplc="54AEF80E" w:tentative="1">
      <w:start w:val="1"/>
      <w:numFmt w:val="bullet"/>
      <w:lvlText w:val=""/>
      <w:lvlJc w:val="left"/>
      <w:pPr>
        <w:tabs>
          <w:tab w:val="num" w:pos="3600"/>
        </w:tabs>
        <w:ind w:left="3600" w:hanging="360"/>
      </w:pPr>
      <w:rPr>
        <w:rFonts w:ascii="Wingdings 2" w:hAnsi="Wingdings 2" w:hint="default"/>
      </w:rPr>
    </w:lvl>
    <w:lvl w:ilvl="5" w:tplc="CD4C5142" w:tentative="1">
      <w:start w:val="1"/>
      <w:numFmt w:val="bullet"/>
      <w:lvlText w:val=""/>
      <w:lvlJc w:val="left"/>
      <w:pPr>
        <w:tabs>
          <w:tab w:val="num" w:pos="4320"/>
        </w:tabs>
        <w:ind w:left="4320" w:hanging="360"/>
      </w:pPr>
      <w:rPr>
        <w:rFonts w:ascii="Wingdings 2" w:hAnsi="Wingdings 2" w:hint="default"/>
      </w:rPr>
    </w:lvl>
    <w:lvl w:ilvl="6" w:tplc="E7BA7CF6" w:tentative="1">
      <w:start w:val="1"/>
      <w:numFmt w:val="bullet"/>
      <w:lvlText w:val=""/>
      <w:lvlJc w:val="left"/>
      <w:pPr>
        <w:tabs>
          <w:tab w:val="num" w:pos="5040"/>
        </w:tabs>
        <w:ind w:left="5040" w:hanging="360"/>
      </w:pPr>
      <w:rPr>
        <w:rFonts w:ascii="Wingdings 2" w:hAnsi="Wingdings 2" w:hint="default"/>
      </w:rPr>
    </w:lvl>
    <w:lvl w:ilvl="7" w:tplc="51A0E060" w:tentative="1">
      <w:start w:val="1"/>
      <w:numFmt w:val="bullet"/>
      <w:lvlText w:val=""/>
      <w:lvlJc w:val="left"/>
      <w:pPr>
        <w:tabs>
          <w:tab w:val="num" w:pos="5760"/>
        </w:tabs>
        <w:ind w:left="5760" w:hanging="360"/>
      </w:pPr>
      <w:rPr>
        <w:rFonts w:ascii="Wingdings 2" w:hAnsi="Wingdings 2" w:hint="default"/>
      </w:rPr>
    </w:lvl>
    <w:lvl w:ilvl="8" w:tplc="42CE2D6A" w:tentative="1">
      <w:start w:val="1"/>
      <w:numFmt w:val="bullet"/>
      <w:lvlText w:val=""/>
      <w:lvlJc w:val="left"/>
      <w:pPr>
        <w:tabs>
          <w:tab w:val="num" w:pos="6480"/>
        </w:tabs>
        <w:ind w:left="6480" w:hanging="360"/>
      </w:pPr>
      <w:rPr>
        <w:rFonts w:ascii="Wingdings 2" w:hAnsi="Wingdings 2" w:hint="default"/>
      </w:rPr>
    </w:lvl>
  </w:abstractNum>
  <w:abstractNum w:abstractNumId="22">
    <w:nsid w:val="379D4275"/>
    <w:multiLevelType w:val="hybridMultilevel"/>
    <w:tmpl w:val="AD74D660"/>
    <w:lvl w:ilvl="0" w:tplc="D71CEA88">
      <w:start w:val="1"/>
      <w:numFmt w:val="bullet"/>
      <w:lvlText w:val=""/>
      <w:lvlJc w:val="left"/>
      <w:pPr>
        <w:tabs>
          <w:tab w:val="num" w:pos="720"/>
        </w:tabs>
        <w:ind w:left="720" w:hanging="360"/>
      </w:pPr>
      <w:rPr>
        <w:rFonts w:ascii="Wingdings 2" w:hAnsi="Wingdings 2" w:hint="default"/>
      </w:rPr>
    </w:lvl>
    <w:lvl w:ilvl="1" w:tplc="E58848D6" w:tentative="1">
      <w:start w:val="1"/>
      <w:numFmt w:val="bullet"/>
      <w:lvlText w:val=""/>
      <w:lvlJc w:val="left"/>
      <w:pPr>
        <w:tabs>
          <w:tab w:val="num" w:pos="1440"/>
        </w:tabs>
        <w:ind w:left="1440" w:hanging="360"/>
      </w:pPr>
      <w:rPr>
        <w:rFonts w:ascii="Wingdings 2" w:hAnsi="Wingdings 2" w:hint="default"/>
      </w:rPr>
    </w:lvl>
    <w:lvl w:ilvl="2" w:tplc="AE6E486C" w:tentative="1">
      <w:start w:val="1"/>
      <w:numFmt w:val="bullet"/>
      <w:lvlText w:val=""/>
      <w:lvlJc w:val="left"/>
      <w:pPr>
        <w:tabs>
          <w:tab w:val="num" w:pos="2160"/>
        </w:tabs>
        <w:ind w:left="2160" w:hanging="360"/>
      </w:pPr>
      <w:rPr>
        <w:rFonts w:ascii="Wingdings 2" w:hAnsi="Wingdings 2" w:hint="default"/>
      </w:rPr>
    </w:lvl>
    <w:lvl w:ilvl="3" w:tplc="ECF88862" w:tentative="1">
      <w:start w:val="1"/>
      <w:numFmt w:val="bullet"/>
      <w:lvlText w:val=""/>
      <w:lvlJc w:val="left"/>
      <w:pPr>
        <w:tabs>
          <w:tab w:val="num" w:pos="2880"/>
        </w:tabs>
        <w:ind w:left="2880" w:hanging="360"/>
      </w:pPr>
      <w:rPr>
        <w:rFonts w:ascii="Wingdings 2" w:hAnsi="Wingdings 2" w:hint="default"/>
      </w:rPr>
    </w:lvl>
    <w:lvl w:ilvl="4" w:tplc="88CEBC48" w:tentative="1">
      <w:start w:val="1"/>
      <w:numFmt w:val="bullet"/>
      <w:lvlText w:val=""/>
      <w:lvlJc w:val="left"/>
      <w:pPr>
        <w:tabs>
          <w:tab w:val="num" w:pos="3600"/>
        </w:tabs>
        <w:ind w:left="3600" w:hanging="360"/>
      </w:pPr>
      <w:rPr>
        <w:rFonts w:ascii="Wingdings 2" w:hAnsi="Wingdings 2" w:hint="default"/>
      </w:rPr>
    </w:lvl>
    <w:lvl w:ilvl="5" w:tplc="9B86ECFC" w:tentative="1">
      <w:start w:val="1"/>
      <w:numFmt w:val="bullet"/>
      <w:lvlText w:val=""/>
      <w:lvlJc w:val="left"/>
      <w:pPr>
        <w:tabs>
          <w:tab w:val="num" w:pos="4320"/>
        </w:tabs>
        <w:ind w:left="4320" w:hanging="360"/>
      </w:pPr>
      <w:rPr>
        <w:rFonts w:ascii="Wingdings 2" w:hAnsi="Wingdings 2" w:hint="default"/>
      </w:rPr>
    </w:lvl>
    <w:lvl w:ilvl="6" w:tplc="2BFE09DA" w:tentative="1">
      <w:start w:val="1"/>
      <w:numFmt w:val="bullet"/>
      <w:lvlText w:val=""/>
      <w:lvlJc w:val="left"/>
      <w:pPr>
        <w:tabs>
          <w:tab w:val="num" w:pos="5040"/>
        </w:tabs>
        <w:ind w:left="5040" w:hanging="360"/>
      </w:pPr>
      <w:rPr>
        <w:rFonts w:ascii="Wingdings 2" w:hAnsi="Wingdings 2" w:hint="default"/>
      </w:rPr>
    </w:lvl>
    <w:lvl w:ilvl="7" w:tplc="6C86EF2C" w:tentative="1">
      <w:start w:val="1"/>
      <w:numFmt w:val="bullet"/>
      <w:lvlText w:val=""/>
      <w:lvlJc w:val="left"/>
      <w:pPr>
        <w:tabs>
          <w:tab w:val="num" w:pos="5760"/>
        </w:tabs>
        <w:ind w:left="5760" w:hanging="360"/>
      </w:pPr>
      <w:rPr>
        <w:rFonts w:ascii="Wingdings 2" w:hAnsi="Wingdings 2" w:hint="default"/>
      </w:rPr>
    </w:lvl>
    <w:lvl w:ilvl="8" w:tplc="3432AF9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B27C6F"/>
    <w:multiLevelType w:val="hybridMultilevel"/>
    <w:tmpl w:val="18FCD4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FB0BDF"/>
    <w:multiLevelType w:val="hybridMultilevel"/>
    <w:tmpl w:val="28F0D8DA"/>
    <w:lvl w:ilvl="0" w:tplc="9B72DF1A">
      <w:start w:val="1"/>
      <w:numFmt w:val="bullet"/>
      <w:lvlText w:val=""/>
      <w:lvlJc w:val="left"/>
      <w:pPr>
        <w:tabs>
          <w:tab w:val="num" w:pos="720"/>
        </w:tabs>
        <w:ind w:left="720" w:hanging="360"/>
      </w:pPr>
      <w:rPr>
        <w:rFonts w:ascii="Wingdings 2" w:hAnsi="Wingdings 2" w:hint="default"/>
      </w:rPr>
    </w:lvl>
    <w:lvl w:ilvl="1" w:tplc="7A14D736" w:tentative="1">
      <w:start w:val="1"/>
      <w:numFmt w:val="bullet"/>
      <w:lvlText w:val=""/>
      <w:lvlJc w:val="left"/>
      <w:pPr>
        <w:tabs>
          <w:tab w:val="num" w:pos="1440"/>
        </w:tabs>
        <w:ind w:left="1440" w:hanging="360"/>
      </w:pPr>
      <w:rPr>
        <w:rFonts w:ascii="Wingdings 2" w:hAnsi="Wingdings 2" w:hint="default"/>
      </w:rPr>
    </w:lvl>
    <w:lvl w:ilvl="2" w:tplc="E9AE646C" w:tentative="1">
      <w:start w:val="1"/>
      <w:numFmt w:val="bullet"/>
      <w:lvlText w:val=""/>
      <w:lvlJc w:val="left"/>
      <w:pPr>
        <w:tabs>
          <w:tab w:val="num" w:pos="2160"/>
        </w:tabs>
        <w:ind w:left="2160" w:hanging="360"/>
      </w:pPr>
      <w:rPr>
        <w:rFonts w:ascii="Wingdings 2" w:hAnsi="Wingdings 2" w:hint="default"/>
      </w:rPr>
    </w:lvl>
    <w:lvl w:ilvl="3" w:tplc="0BF2851A" w:tentative="1">
      <w:start w:val="1"/>
      <w:numFmt w:val="bullet"/>
      <w:lvlText w:val=""/>
      <w:lvlJc w:val="left"/>
      <w:pPr>
        <w:tabs>
          <w:tab w:val="num" w:pos="2880"/>
        </w:tabs>
        <w:ind w:left="2880" w:hanging="360"/>
      </w:pPr>
      <w:rPr>
        <w:rFonts w:ascii="Wingdings 2" w:hAnsi="Wingdings 2" w:hint="default"/>
      </w:rPr>
    </w:lvl>
    <w:lvl w:ilvl="4" w:tplc="C60685CE" w:tentative="1">
      <w:start w:val="1"/>
      <w:numFmt w:val="bullet"/>
      <w:lvlText w:val=""/>
      <w:lvlJc w:val="left"/>
      <w:pPr>
        <w:tabs>
          <w:tab w:val="num" w:pos="3600"/>
        </w:tabs>
        <w:ind w:left="3600" w:hanging="360"/>
      </w:pPr>
      <w:rPr>
        <w:rFonts w:ascii="Wingdings 2" w:hAnsi="Wingdings 2" w:hint="default"/>
      </w:rPr>
    </w:lvl>
    <w:lvl w:ilvl="5" w:tplc="C692800A" w:tentative="1">
      <w:start w:val="1"/>
      <w:numFmt w:val="bullet"/>
      <w:lvlText w:val=""/>
      <w:lvlJc w:val="left"/>
      <w:pPr>
        <w:tabs>
          <w:tab w:val="num" w:pos="4320"/>
        </w:tabs>
        <w:ind w:left="4320" w:hanging="360"/>
      </w:pPr>
      <w:rPr>
        <w:rFonts w:ascii="Wingdings 2" w:hAnsi="Wingdings 2" w:hint="default"/>
      </w:rPr>
    </w:lvl>
    <w:lvl w:ilvl="6" w:tplc="836071DE" w:tentative="1">
      <w:start w:val="1"/>
      <w:numFmt w:val="bullet"/>
      <w:lvlText w:val=""/>
      <w:lvlJc w:val="left"/>
      <w:pPr>
        <w:tabs>
          <w:tab w:val="num" w:pos="5040"/>
        </w:tabs>
        <w:ind w:left="5040" w:hanging="360"/>
      </w:pPr>
      <w:rPr>
        <w:rFonts w:ascii="Wingdings 2" w:hAnsi="Wingdings 2" w:hint="default"/>
      </w:rPr>
    </w:lvl>
    <w:lvl w:ilvl="7" w:tplc="CFCA13F6" w:tentative="1">
      <w:start w:val="1"/>
      <w:numFmt w:val="bullet"/>
      <w:lvlText w:val=""/>
      <w:lvlJc w:val="left"/>
      <w:pPr>
        <w:tabs>
          <w:tab w:val="num" w:pos="5760"/>
        </w:tabs>
        <w:ind w:left="5760" w:hanging="360"/>
      </w:pPr>
      <w:rPr>
        <w:rFonts w:ascii="Wingdings 2" w:hAnsi="Wingdings 2" w:hint="default"/>
      </w:rPr>
    </w:lvl>
    <w:lvl w:ilvl="8" w:tplc="1B3E9FF8"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0D2847"/>
    <w:multiLevelType w:val="hybridMultilevel"/>
    <w:tmpl w:val="C1CC2B02"/>
    <w:lvl w:ilvl="0" w:tplc="672C7D08">
      <w:start w:val="1"/>
      <w:numFmt w:val="bullet"/>
      <w:lvlText w:val=""/>
      <w:lvlJc w:val="left"/>
      <w:pPr>
        <w:tabs>
          <w:tab w:val="num" w:pos="720"/>
        </w:tabs>
        <w:ind w:left="720" w:hanging="360"/>
      </w:pPr>
      <w:rPr>
        <w:rFonts w:ascii="Wingdings 2" w:hAnsi="Wingdings 2" w:hint="default"/>
      </w:rPr>
    </w:lvl>
    <w:lvl w:ilvl="1" w:tplc="2A3A3E0A" w:tentative="1">
      <w:start w:val="1"/>
      <w:numFmt w:val="bullet"/>
      <w:lvlText w:val=""/>
      <w:lvlJc w:val="left"/>
      <w:pPr>
        <w:tabs>
          <w:tab w:val="num" w:pos="1440"/>
        </w:tabs>
        <w:ind w:left="1440" w:hanging="360"/>
      </w:pPr>
      <w:rPr>
        <w:rFonts w:ascii="Wingdings 2" w:hAnsi="Wingdings 2" w:hint="default"/>
      </w:rPr>
    </w:lvl>
    <w:lvl w:ilvl="2" w:tplc="84F07DEC" w:tentative="1">
      <w:start w:val="1"/>
      <w:numFmt w:val="bullet"/>
      <w:lvlText w:val=""/>
      <w:lvlJc w:val="left"/>
      <w:pPr>
        <w:tabs>
          <w:tab w:val="num" w:pos="2160"/>
        </w:tabs>
        <w:ind w:left="2160" w:hanging="360"/>
      </w:pPr>
      <w:rPr>
        <w:rFonts w:ascii="Wingdings 2" w:hAnsi="Wingdings 2" w:hint="default"/>
      </w:rPr>
    </w:lvl>
    <w:lvl w:ilvl="3" w:tplc="6C4ADDB0" w:tentative="1">
      <w:start w:val="1"/>
      <w:numFmt w:val="bullet"/>
      <w:lvlText w:val=""/>
      <w:lvlJc w:val="left"/>
      <w:pPr>
        <w:tabs>
          <w:tab w:val="num" w:pos="2880"/>
        </w:tabs>
        <w:ind w:left="2880" w:hanging="360"/>
      </w:pPr>
      <w:rPr>
        <w:rFonts w:ascii="Wingdings 2" w:hAnsi="Wingdings 2" w:hint="default"/>
      </w:rPr>
    </w:lvl>
    <w:lvl w:ilvl="4" w:tplc="24B6C454" w:tentative="1">
      <w:start w:val="1"/>
      <w:numFmt w:val="bullet"/>
      <w:lvlText w:val=""/>
      <w:lvlJc w:val="left"/>
      <w:pPr>
        <w:tabs>
          <w:tab w:val="num" w:pos="3600"/>
        </w:tabs>
        <w:ind w:left="3600" w:hanging="360"/>
      </w:pPr>
      <w:rPr>
        <w:rFonts w:ascii="Wingdings 2" w:hAnsi="Wingdings 2" w:hint="default"/>
      </w:rPr>
    </w:lvl>
    <w:lvl w:ilvl="5" w:tplc="4E7438E4" w:tentative="1">
      <w:start w:val="1"/>
      <w:numFmt w:val="bullet"/>
      <w:lvlText w:val=""/>
      <w:lvlJc w:val="left"/>
      <w:pPr>
        <w:tabs>
          <w:tab w:val="num" w:pos="4320"/>
        </w:tabs>
        <w:ind w:left="4320" w:hanging="360"/>
      </w:pPr>
      <w:rPr>
        <w:rFonts w:ascii="Wingdings 2" w:hAnsi="Wingdings 2" w:hint="default"/>
      </w:rPr>
    </w:lvl>
    <w:lvl w:ilvl="6" w:tplc="03227D1A" w:tentative="1">
      <w:start w:val="1"/>
      <w:numFmt w:val="bullet"/>
      <w:lvlText w:val=""/>
      <w:lvlJc w:val="left"/>
      <w:pPr>
        <w:tabs>
          <w:tab w:val="num" w:pos="5040"/>
        </w:tabs>
        <w:ind w:left="5040" w:hanging="360"/>
      </w:pPr>
      <w:rPr>
        <w:rFonts w:ascii="Wingdings 2" w:hAnsi="Wingdings 2" w:hint="default"/>
      </w:rPr>
    </w:lvl>
    <w:lvl w:ilvl="7" w:tplc="F3F48242" w:tentative="1">
      <w:start w:val="1"/>
      <w:numFmt w:val="bullet"/>
      <w:lvlText w:val=""/>
      <w:lvlJc w:val="left"/>
      <w:pPr>
        <w:tabs>
          <w:tab w:val="num" w:pos="5760"/>
        </w:tabs>
        <w:ind w:left="5760" w:hanging="360"/>
      </w:pPr>
      <w:rPr>
        <w:rFonts w:ascii="Wingdings 2" w:hAnsi="Wingdings 2" w:hint="default"/>
      </w:rPr>
    </w:lvl>
    <w:lvl w:ilvl="8" w:tplc="9E5CB7D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6"/>
  </w:num>
  <w:num w:numId="19">
    <w:abstractNumId w:val="25"/>
  </w:num>
  <w:num w:numId="20">
    <w:abstractNumId w:val="6"/>
  </w:num>
  <w:num w:numId="21">
    <w:abstractNumId w:val="46"/>
  </w:num>
  <w:num w:numId="22">
    <w:abstractNumId w:val="17"/>
  </w:num>
  <w:num w:numId="23">
    <w:abstractNumId w:val="42"/>
  </w:num>
  <w:num w:numId="24">
    <w:abstractNumId w:val="44"/>
  </w:num>
  <w:num w:numId="25">
    <w:abstractNumId w:val="30"/>
  </w:num>
  <w:num w:numId="26">
    <w:abstractNumId w:val="16"/>
  </w:num>
  <w:num w:numId="27">
    <w:abstractNumId w:val="3"/>
  </w:num>
  <w:num w:numId="28">
    <w:abstractNumId w:val="10"/>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4"/>
  </w:num>
  <w:num w:numId="42">
    <w:abstractNumId w:val="43"/>
  </w:num>
  <w:num w:numId="43">
    <w:abstractNumId w:val="35"/>
  </w:num>
  <w:num w:numId="44">
    <w:abstractNumId w:val="22"/>
  </w:num>
  <w:num w:numId="45">
    <w:abstractNumId w:val="21"/>
  </w:num>
  <w:num w:numId="46">
    <w:abstractNumId w:val="31"/>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165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06D6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21D"/>
    <w:rsid w:val="001368B0"/>
    <w:rsid w:val="00137D84"/>
    <w:rsid w:val="00141236"/>
    <w:rsid w:val="0014300C"/>
    <w:rsid w:val="00150440"/>
    <w:rsid w:val="001513C0"/>
    <w:rsid w:val="00152863"/>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43D1"/>
    <w:rsid w:val="002B7BA1"/>
    <w:rsid w:val="002B7C1B"/>
    <w:rsid w:val="002C0AAF"/>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5E99"/>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5ED"/>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3C69"/>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06C"/>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14D3"/>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7B93"/>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0F28"/>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02B"/>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1849"/>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11"/>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AC5"/>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7C6"/>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9314226">
      <w:bodyDiv w:val="1"/>
      <w:marLeft w:val="0"/>
      <w:marRight w:val="0"/>
      <w:marTop w:val="0"/>
      <w:marBottom w:val="0"/>
      <w:divBdr>
        <w:top w:val="none" w:sz="0" w:space="0" w:color="auto"/>
        <w:left w:val="none" w:sz="0" w:space="0" w:color="auto"/>
        <w:bottom w:val="none" w:sz="0" w:space="0" w:color="auto"/>
        <w:right w:val="none" w:sz="0" w:space="0" w:color="auto"/>
      </w:divBdr>
      <w:divsChild>
        <w:div w:id="1835609636">
          <w:marLeft w:val="576"/>
          <w:marRight w:val="0"/>
          <w:marTop w:val="120"/>
          <w:marBottom w:val="0"/>
          <w:divBdr>
            <w:top w:val="none" w:sz="0" w:space="0" w:color="auto"/>
            <w:left w:val="none" w:sz="0" w:space="0" w:color="auto"/>
            <w:bottom w:val="none" w:sz="0" w:space="0" w:color="auto"/>
            <w:right w:val="none" w:sz="0" w:space="0" w:color="auto"/>
          </w:divBdr>
        </w:div>
        <w:div w:id="817696384">
          <w:marLeft w:val="576"/>
          <w:marRight w:val="0"/>
          <w:marTop w:val="120"/>
          <w:marBottom w:val="0"/>
          <w:divBdr>
            <w:top w:val="none" w:sz="0" w:space="0" w:color="auto"/>
            <w:left w:val="none" w:sz="0" w:space="0" w:color="auto"/>
            <w:bottom w:val="none" w:sz="0" w:space="0" w:color="auto"/>
            <w:right w:val="none" w:sz="0" w:space="0" w:color="auto"/>
          </w:divBdr>
        </w:div>
        <w:div w:id="1629626312">
          <w:marLeft w:val="576"/>
          <w:marRight w:val="0"/>
          <w:marTop w:val="120"/>
          <w:marBottom w:val="0"/>
          <w:divBdr>
            <w:top w:val="none" w:sz="0" w:space="0" w:color="auto"/>
            <w:left w:val="none" w:sz="0" w:space="0" w:color="auto"/>
            <w:bottom w:val="none" w:sz="0" w:space="0" w:color="auto"/>
            <w:right w:val="none" w:sz="0" w:space="0" w:color="auto"/>
          </w:divBdr>
        </w:div>
        <w:div w:id="142449515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2973310">
      <w:bodyDiv w:val="1"/>
      <w:marLeft w:val="0"/>
      <w:marRight w:val="0"/>
      <w:marTop w:val="0"/>
      <w:marBottom w:val="0"/>
      <w:divBdr>
        <w:top w:val="none" w:sz="0" w:space="0" w:color="auto"/>
        <w:left w:val="none" w:sz="0" w:space="0" w:color="auto"/>
        <w:bottom w:val="none" w:sz="0" w:space="0" w:color="auto"/>
        <w:right w:val="none" w:sz="0" w:space="0" w:color="auto"/>
      </w:divBdr>
      <w:divsChild>
        <w:div w:id="212162906">
          <w:marLeft w:val="576"/>
          <w:marRight w:val="0"/>
          <w:marTop w:val="120"/>
          <w:marBottom w:val="0"/>
          <w:divBdr>
            <w:top w:val="none" w:sz="0" w:space="0" w:color="auto"/>
            <w:left w:val="none" w:sz="0" w:space="0" w:color="auto"/>
            <w:bottom w:val="none" w:sz="0" w:space="0" w:color="auto"/>
            <w:right w:val="none" w:sz="0" w:space="0" w:color="auto"/>
          </w:divBdr>
        </w:div>
        <w:div w:id="1672558215">
          <w:marLeft w:val="576"/>
          <w:marRight w:val="0"/>
          <w:marTop w:val="120"/>
          <w:marBottom w:val="0"/>
          <w:divBdr>
            <w:top w:val="none" w:sz="0" w:space="0" w:color="auto"/>
            <w:left w:val="none" w:sz="0" w:space="0" w:color="auto"/>
            <w:bottom w:val="none" w:sz="0" w:space="0" w:color="auto"/>
            <w:right w:val="none" w:sz="0" w:space="0" w:color="auto"/>
          </w:divBdr>
        </w:div>
        <w:div w:id="1617760574">
          <w:marLeft w:val="576"/>
          <w:marRight w:val="0"/>
          <w:marTop w:val="120"/>
          <w:marBottom w:val="0"/>
          <w:divBdr>
            <w:top w:val="none" w:sz="0" w:space="0" w:color="auto"/>
            <w:left w:val="none" w:sz="0" w:space="0" w:color="auto"/>
            <w:bottom w:val="none" w:sz="0" w:space="0" w:color="auto"/>
            <w:right w:val="none" w:sz="0" w:space="0" w:color="auto"/>
          </w:divBdr>
        </w:div>
        <w:div w:id="1955938159">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6785367">
      <w:bodyDiv w:val="1"/>
      <w:marLeft w:val="0"/>
      <w:marRight w:val="0"/>
      <w:marTop w:val="0"/>
      <w:marBottom w:val="0"/>
      <w:divBdr>
        <w:top w:val="none" w:sz="0" w:space="0" w:color="auto"/>
        <w:left w:val="none" w:sz="0" w:space="0" w:color="auto"/>
        <w:bottom w:val="none" w:sz="0" w:space="0" w:color="auto"/>
        <w:right w:val="none" w:sz="0" w:space="0" w:color="auto"/>
      </w:divBdr>
      <w:divsChild>
        <w:div w:id="1911771701">
          <w:marLeft w:val="576"/>
          <w:marRight w:val="0"/>
          <w:marTop w:val="120"/>
          <w:marBottom w:val="0"/>
          <w:divBdr>
            <w:top w:val="none" w:sz="0" w:space="0" w:color="auto"/>
            <w:left w:val="none" w:sz="0" w:space="0" w:color="auto"/>
            <w:bottom w:val="none" w:sz="0" w:space="0" w:color="auto"/>
            <w:right w:val="none" w:sz="0" w:space="0" w:color="auto"/>
          </w:divBdr>
        </w:div>
        <w:div w:id="1329216686">
          <w:marLeft w:val="576"/>
          <w:marRight w:val="0"/>
          <w:marTop w:val="120"/>
          <w:marBottom w:val="0"/>
          <w:divBdr>
            <w:top w:val="none" w:sz="0" w:space="0" w:color="auto"/>
            <w:left w:val="none" w:sz="0" w:space="0" w:color="auto"/>
            <w:bottom w:val="none" w:sz="0" w:space="0" w:color="auto"/>
            <w:right w:val="none" w:sz="0" w:space="0" w:color="auto"/>
          </w:divBdr>
        </w:div>
        <w:div w:id="126899307">
          <w:marLeft w:val="576"/>
          <w:marRight w:val="0"/>
          <w:marTop w:val="120"/>
          <w:marBottom w:val="0"/>
          <w:divBdr>
            <w:top w:val="none" w:sz="0" w:space="0" w:color="auto"/>
            <w:left w:val="none" w:sz="0" w:space="0" w:color="auto"/>
            <w:bottom w:val="none" w:sz="0" w:space="0" w:color="auto"/>
            <w:right w:val="none" w:sz="0" w:space="0" w:color="auto"/>
          </w:divBdr>
        </w:div>
        <w:div w:id="783354114">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0593263">
      <w:bodyDiv w:val="1"/>
      <w:marLeft w:val="0"/>
      <w:marRight w:val="0"/>
      <w:marTop w:val="0"/>
      <w:marBottom w:val="0"/>
      <w:divBdr>
        <w:top w:val="none" w:sz="0" w:space="0" w:color="auto"/>
        <w:left w:val="none" w:sz="0" w:space="0" w:color="auto"/>
        <w:bottom w:val="none" w:sz="0" w:space="0" w:color="auto"/>
        <w:right w:val="none" w:sz="0" w:space="0" w:color="auto"/>
      </w:divBdr>
      <w:divsChild>
        <w:div w:id="1737781703">
          <w:marLeft w:val="576"/>
          <w:marRight w:val="0"/>
          <w:marTop w:val="120"/>
          <w:marBottom w:val="0"/>
          <w:divBdr>
            <w:top w:val="none" w:sz="0" w:space="0" w:color="auto"/>
            <w:left w:val="none" w:sz="0" w:space="0" w:color="auto"/>
            <w:bottom w:val="none" w:sz="0" w:space="0" w:color="auto"/>
            <w:right w:val="none" w:sz="0" w:space="0" w:color="auto"/>
          </w:divBdr>
        </w:div>
        <w:div w:id="221721753">
          <w:marLeft w:val="576"/>
          <w:marRight w:val="0"/>
          <w:marTop w:val="120"/>
          <w:marBottom w:val="0"/>
          <w:divBdr>
            <w:top w:val="none" w:sz="0" w:space="0" w:color="auto"/>
            <w:left w:val="none" w:sz="0" w:space="0" w:color="auto"/>
            <w:bottom w:val="none" w:sz="0" w:space="0" w:color="auto"/>
            <w:right w:val="none" w:sz="0" w:space="0" w:color="auto"/>
          </w:divBdr>
        </w:div>
        <w:div w:id="1677460085">
          <w:marLeft w:val="576"/>
          <w:marRight w:val="0"/>
          <w:marTop w:val="120"/>
          <w:marBottom w:val="0"/>
          <w:divBdr>
            <w:top w:val="none" w:sz="0" w:space="0" w:color="auto"/>
            <w:left w:val="none" w:sz="0" w:space="0" w:color="auto"/>
            <w:bottom w:val="none" w:sz="0" w:space="0" w:color="auto"/>
            <w:right w:val="none" w:sz="0" w:space="0" w:color="auto"/>
          </w:divBdr>
        </w:div>
        <w:div w:id="973176534">
          <w:marLeft w:val="576"/>
          <w:marRight w:val="0"/>
          <w:marTop w:val="120"/>
          <w:marBottom w:val="0"/>
          <w:divBdr>
            <w:top w:val="none" w:sz="0" w:space="0" w:color="auto"/>
            <w:left w:val="none" w:sz="0" w:space="0" w:color="auto"/>
            <w:bottom w:val="none" w:sz="0" w:space="0" w:color="auto"/>
            <w:right w:val="none" w:sz="0" w:space="0" w:color="auto"/>
          </w:divBdr>
        </w:div>
        <w:div w:id="30455615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7936078">
      <w:bodyDiv w:val="1"/>
      <w:marLeft w:val="0"/>
      <w:marRight w:val="0"/>
      <w:marTop w:val="0"/>
      <w:marBottom w:val="0"/>
      <w:divBdr>
        <w:top w:val="none" w:sz="0" w:space="0" w:color="auto"/>
        <w:left w:val="none" w:sz="0" w:space="0" w:color="auto"/>
        <w:bottom w:val="none" w:sz="0" w:space="0" w:color="auto"/>
        <w:right w:val="none" w:sz="0" w:space="0" w:color="auto"/>
      </w:divBdr>
      <w:divsChild>
        <w:div w:id="1449663447">
          <w:marLeft w:val="576"/>
          <w:marRight w:val="0"/>
          <w:marTop w:val="120"/>
          <w:marBottom w:val="0"/>
          <w:divBdr>
            <w:top w:val="none" w:sz="0" w:space="0" w:color="auto"/>
            <w:left w:val="none" w:sz="0" w:space="0" w:color="auto"/>
            <w:bottom w:val="none" w:sz="0" w:space="0" w:color="auto"/>
            <w:right w:val="none" w:sz="0" w:space="0" w:color="auto"/>
          </w:divBdr>
        </w:div>
        <w:div w:id="328758134">
          <w:marLeft w:val="576"/>
          <w:marRight w:val="0"/>
          <w:marTop w:val="120"/>
          <w:marBottom w:val="0"/>
          <w:divBdr>
            <w:top w:val="none" w:sz="0" w:space="0" w:color="auto"/>
            <w:left w:val="none" w:sz="0" w:space="0" w:color="auto"/>
            <w:bottom w:val="none" w:sz="0" w:space="0" w:color="auto"/>
            <w:right w:val="none" w:sz="0" w:space="0" w:color="auto"/>
          </w:divBdr>
        </w:div>
        <w:div w:id="670061650">
          <w:marLeft w:val="576"/>
          <w:marRight w:val="0"/>
          <w:marTop w:val="120"/>
          <w:marBottom w:val="0"/>
          <w:divBdr>
            <w:top w:val="none" w:sz="0" w:space="0" w:color="auto"/>
            <w:left w:val="none" w:sz="0" w:space="0" w:color="auto"/>
            <w:bottom w:val="none" w:sz="0" w:space="0" w:color="auto"/>
            <w:right w:val="none" w:sz="0" w:space="0" w:color="auto"/>
          </w:divBdr>
        </w:div>
        <w:div w:id="202246253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6369468">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603707">
      <w:bodyDiv w:val="1"/>
      <w:marLeft w:val="0"/>
      <w:marRight w:val="0"/>
      <w:marTop w:val="0"/>
      <w:marBottom w:val="0"/>
      <w:divBdr>
        <w:top w:val="none" w:sz="0" w:space="0" w:color="auto"/>
        <w:left w:val="none" w:sz="0" w:space="0" w:color="auto"/>
        <w:bottom w:val="none" w:sz="0" w:space="0" w:color="auto"/>
        <w:right w:val="none" w:sz="0" w:space="0" w:color="auto"/>
      </w:divBdr>
      <w:divsChild>
        <w:div w:id="1263799684">
          <w:marLeft w:val="576"/>
          <w:marRight w:val="0"/>
          <w:marTop w:val="120"/>
          <w:marBottom w:val="0"/>
          <w:divBdr>
            <w:top w:val="none" w:sz="0" w:space="0" w:color="auto"/>
            <w:left w:val="none" w:sz="0" w:space="0" w:color="auto"/>
            <w:bottom w:val="none" w:sz="0" w:space="0" w:color="auto"/>
            <w:right w:val="none" w:sz="0" w:space="0" w:color="auto"/>
          </w:divBdr>
        </w:div>
        <w:div w:id="357656235">
          <w:marLeft w:val="576"/>
          <w:marRight w:val="0"/>
          <w:marTop w:val="120"/>
          <w:marBottom w:val="0"/>
          <w:divBdr>
            <w:top w:val="none" w:sz="0" w:space="0" w:color="auto"/>
            <w:left w:val="none" w:sz="0" w:space="0" w:color="auto"/>
            <w:bottom w:val="none" w:sz="0" w:space="0" w:color="auto"/>
            <w:right w:val="none" w:sz="0" w:space="0" w:color="auto"/>
          </w:divBdr>
        </w:div>
        <w:div w:id="1191072756">
          <w:marLeft w:val="576"/>
          <w:marRight w:val="0"/>
          <w:marTop w:val="120"/>
          <w:marBottom w:val="0"/>
          <w:divBdr>
            <w:top w:val="none" w:sz="0" w:space="0" w:color="auto"/>
            <w:left w:val="none" w:sz="0" w:space="0" w:color="auto"/>
            <w:bottom w:val="none" w:sz="0" w:space="0" w:color="auto"/>
            <w:right w:val="none" w:sz="0" w:space="0" w:color="auto"/>
          </w:divBdr>
        </w:div>
        <w:div w:id="1760830593">
          <w:marLeft w:val="576"/>
          <w:marRight w:val="0"/>
          <w:marTop w:val="120"/>
          <w:marBottom w:val="0"/>
          <w:divBdr>
            <w:top w:val="none" w:sz="0" w:space="0" w:color="auto"/>
            <w:left w:val="none" w:sz="0" w:space="0" w:color="auto"/>
            <w:bottom w:val="none" w:sz="0" w:space="0" w:color="auto"/>
            <w:right w:val="none" w:sz="0" w:space="0" w:color="auto"/>
          </w:divBdr>
        </w:div>
        <w:div w:id="20684561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1726</Words>
  <Characters>9843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2022-01-20T12:42:00Z</dcterms:modified>
</cp:coreProperties>
</file>