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114C96" w:rsidRDefault="00114C96" w:rsidP="00114C96">
      <w:pPr>
        <w:spacing w:line="360" w:lineRule="auto"/>
        <w:jc w:val="center"/>
        <w:rPr>
          <w:rFonts w:ascii="Times New Roman" w:hAnsi="Times New Roman" w:cs="Times New Roman"/>
          <w:b/>
          <w:bCs/>
          <w:sz w:val="180"/>
          <w:szCs w:val="180"/>
        </w:rPr>
      </w:pPr>
      <w:r w:rsidRPr="00114C96">
        <w:rPr>
          <w:rFonts w:ascii="Times New Roman" w:hAnsi="Times New Roman" w:cs="Times New Roman"/>
          <w:b/>
          <w:bCs/>
          <w:sz w:val="56"/>
          <w:szCs w:val="56"/>
        </w:rPr>
        <w:t>Line Coding Technique for Channel Equalization: Integrated Pulse-Width Modulation and Consecutive Digit Chopping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7B29AE" w:rsidRDefault="007B29AE" w:rsidP="00E53AA4">
      <w:pPr>
        <w:spacing w:line="360" w:lineRule="auto"/>
        <w:jc w:val="both"/>
        <w:rPr>
          <w:rFonts w:ascii="Times New Roman" w:hAnsi="Times New Roman" w:cs="Times New Roman"/>
          <w:b/>
          <w:sz w:val="52"/>
          <w:szCs w:val="52"/>
        </w:rPr>
      </w:pPr>
      <w:r w:rsidRPr="007B29AE">
        <w:rPr>
          <w:rFonts w:ascii="Times New Roman" w:hAnsi="Times New Roman" w:cs="Times New Roman"/>
          <w:sz w:val="32"/>
          <w:szCs w:val="32"/>
        </w:rPr>
        <w:t>This paper presents two new line-coding schemes, integrated pulse width modulation (iPWM) and consecutive digit chopping (CDC) for equalizing lossy wireline channels with the aim of achieving energy efficient wireline communication. The proposed technology friendly encoding schemes are able to overcome the fundamental limitations imposed by Manchester or pulse-width modulation encoding on high-speed wireline transceivers. A highly digital encoder architecture is leveraged to implement the proposed iPWM and CDC encoding. Energy-efficient operation of the proposed encoding is demonstrated on a high-speed wireline transceiver that can operate from 10 to 18 Gb/s. Fabricated in a 65-nm CMOS process, the transceiver operates with supply voltages of 0.9 V, 1 V, and 1.1 V. With the help of the proposed iPWM encoding, the transceiver can equalize over 27-dB of channel loss while operating at 16 Gb/s with an efficiency of 4.37 pJ/bit. The design occupies an active die area of 0.21 mm2.</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1C4FD2" w:rsidP="007B29AE">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7B29AE" w:rsidRDefault="007B29AE" w:rsidP="007B29AE">
      <w:pPr>
        <w:tabs>
          <w:tab w:val="left" w:pos="6210"/>
        </w:tabs>
        <w:spacing w:line="360" w:lineRule="auto"/>
        <w:jc w:val="both"/>
        <w:rPr>
          <w:rFonts w:ascii="Times New Roman" w:hAnsi="Times New Roman" w:cs="Times New Roman"/>
          <w:sz w:val="40"/>
          <w:szCs w:val="40"/>
        </w:rPr>
      </w:pPr>
    </w:p>
    <w:p w:rsidR="006A300A" w:rsidRPr="003D03F4" w:rsidRDefault="006A300A" w:rsidP="007B29AE">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51309" w:rsidRDefault="0072609C" w:rsidP="0095130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51309">
        <w:rPr>
          <w:rFonts w:ascii="Times New Roman" w:hAnsi="Times New Roman" w:cs="Times New Roman"/>
          <w:sz w:val="32"/>
          <w:szCs w:val="32"/>
          <w:lang w:val="en-IN"/>
        </w:rPr>
        <w:t xml:space="preserve">Conventional feat techniques on the receiver finish admire call feedback equalizers have </w:t>
      </w:r>
      <w:r w:rsidRPr="00951309">
        <w:rPr>
          <w:rFonts w:ascii="Times New Roman" w:hAnsi="Times New Roman" w:cs="Times New Roman"/>
          <w:sz w:val="32"/>
          <w:szCs w:val="32"/>
          <w:lang w:val="en-IN"/>
        </w:rPr>
        <w:t xml:space="preserve">tight feedback temporal arrangement constraints, that end in higher power consumption because the rate increases. </w:t>
      </w:r>
    </w:p>
    <w:p w:rsidR="00000000" w:rsidRPr="00951309" w:rsidRDefault="0072609C" w:rsidP="0095130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51309">
        <w:rPr>
          <w:rFonts w:ascii="Times New Roman" w:hAnsi="Times New Roman" w:cs="Times New Roman"/>
          <w:sz w:val="32"/>
          <w:szCs w:val="32"/>
          <w:lang w:val="en-IN"/>
        </w:rPr>
        <w:t>Feed forward equalization (FFE) on the transmitter with voltage mode driver avoids the feedback path and ends up in economical equalization.</w:t>
      </w:r>
      <w:r w:rsidRPr="00951309">
        <w:rPr>
          <w:rFonts w:ascii="Times New Roman" w:hAnsi="Times New Roman" w:cs="Times New Roman"/>
          <w:sz w:val="32"/>
          <w:szCs w:val="32"/>
          <w:lang w:val="en-IN"/>
        </w:rPr>
        <w:t xml:space="preserve"> </w:t>
      </w:r>
    </w:p>
    <w:p w:rsidR="00000000" w:rsidRPr="00951309" w:rsidRDefault="0072609C" w:rsidP="0095130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51309">
        <w:rPr>
          <w:rFonts w:ascii="Times New Roman" w:hAnsi="Times New Roman" w:cs="Times New Roman"/>
          <w:sz w:val="32"/>
          <w:szCs w:val="32"/>
          <w:lang w:val="en-IN"/>
        </w:rPr>
        <w:t xml:space="preserve">However, PWM encoding needs the insertion of a particular narrow pulse in each knowledge bit. </w:t>
      </w:r>
    </w:p>
    <w:p w:rsidR="00000000" w:rsidRPr="00951309" w:rsidRDefault="0072609C" w:rsidP="0095130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51309">
        <w:rPr>
          <w:rFonts w:ascii="Times New Roman" w:hAnsi="Times New Roman" w:cs="Times New Roman"/>
          <w:sz w:val="32"/>
          <w:szCs w:val="32"/>
          <w:lang w:val="en-IN"/>
        </w:rPr>
        <w:t>These slender pulses should be accurately reproduced at the transmitter output, that necessitates very wide information measure within the high-speed data pa</w:t>
      </w:r>
      <w:r w:rsidRPr="00951309">
        <w:rPr>
          <w:rFonts w:ascii="Times New Roman" w:hAnsi="Times New Roman" w:cs="Times New Roman"/>
          <w:sz w:val="32"/>
          <w:szCs w:val="32"/>
          <w:lang w:val="en-IN"/>
        </w:rPr>
        <w:t>th, leading to poor energy potency and problem in scaling PWM coding to higher data rates.</w:t>
      </w:r>
      <w:r w:rsidRPr="00951309">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727EA" w:rsidRDefault="0072609C" w:rsidP="00C727EA">
      <w:pPr>
        <w:numPr>
          <w:ilvl w:val="0"/>
          <w:numId w:val="45"/>
        </w:numPr>
        <w:spacing w:line="360" w:lineRule="auto"/>
        <w:jc w:val="both"/>
        <w:rPr>
          <w:rFonts w:ascii="Times New Roman" w:hAnsi="Times New Roman" w:cs="Times New Roman"/>
          <w:bCs/>
          <w:sz w:val="32"/>
          <w:szCs w:val="32"/>
          <w:lang w:val="en-IN"/>
        </w:rPr>
      </w:pPr>
      <w:r w:rsidRPr="00C727EA">
        <w:rPr>
          <w:rFonts w:ascii="Times New Roman" w:hAnsi="Times New Roman" w:cs="Times New Roman"/>
          <w:bCs/>
          <w:sz w:val="32"/>
          <w:szCs w:val="32"/>
          <w:lang w:val="en-IN"/>
        </w:rPr>
        <w:t xml:space="preserve">Although such a divided FFE implementation helps to keep up aconstant output termination resistance (50) across all faucet settings, it </w:t>
      </w:r>
      <w:r w:rsidRPr="00C727EA">
        <w:rPr>
          <w:rFonts w:ascii="Times New Roman" w:hAnsi="Times New Roman" w:cs="Times New Roman"/>
          <w:bCs/>
          <w:sz w:val="32"/>
          <w:szCs w:val="32"/>
          <w:lang w:val="en-IN"/>
        </w:rPr>
        <w:t xml:space="preserve">comes at the price of </w:t>
      </w:r>
    </w:p>
    <w:p w:rsidR="00000000" w:rsidRPr="00C727EA" w:rsidRDefault="0072609C" w:rsidP="00C727EA">
      <w:pPr>
        <w:spacing w:line="360" w:lineRule="auto"/>
        <w:ind w:left="720"/>
        <w:jc w:val="both"/>
        <w:rPr>
          <w:rFonts w:ascii="Times New Roman" w:hAnsi="Times New Roman" w:cs="Times New Roman"/>
          <w:bCs/>
          <w:sz w:val="32"/>
          <w:szCs w:val="32"/>
          <w:lang w:val="en-IN"/>
        </w:rPr>
      </w:pPr>
      <w:r w:rsidRPr="00C727EA">
        <w:rPr>
          <w:rFonts w:ascii="Times New Roman" w:hAnsi="Times New Roman" w:cs="Times New Roman"/>
          <w:bCs/>
          <w:sz w:val="32"/>
          <w:szCs w:val="32"/>
          <w:lang w:val="en-IN"/>
        </w:rPr>
        <w:t xml:space="preserve">(a) increased signal power, </w:t>
      </w:r>
    </w:p>
    <w:p w:rsidR="00000000" w:rsidRPr="00C727EA" w:rsidRDefault="0072609C" w:rsidP="00C727EA">
      <w:pPr>
        <w:spacing w:line="360" w:lineRule="auto"/>
        <w:ind w:left="720"/>
        <w:jc w:val="both"/>
        <w:rPr>
          <w:rFonts w:ascii="Times New Roman" w:hAnsi="Times New Roman" w:cs="Times New Roman"/>
          <w:bCs/>
          <w:sz w:val="32"/>
          <w:szCs w:val="32"/>
          <w:lang w:val="en-IN"/>
        </w:rPr>
      </w:pPr>
      <w:r w:rsidRPr="00C727EA">
        <w:rPr>
          <w:rFonts w:ascii="Times New Roman" w:hAnsi="Times New Roman" w:cs="Times New Roman"/>
          <w:bCs/>
          <w:sz w:val="32"/>
          <w:szCs w:val="32"/>
          <w:lang w:val="en-IN"/>
        </w:rPr>
        <w:lastRenderedPageBreak/>
        <w:t xml:space="preserve">(b) increased change power since multiple segments are needed to attain desired one-dimensionality, and </w:t>
      </w:r>
    </w:p>
    <w:p w:rsidR="00000000" w:rsidRPr="00C727EA" w:rsidRDefault="0072609C" w:rsidP="00C727EA">
      <w:pPr>
        <w:spacing w:line="360" w:lineRule="auto"/>
        <w:ind w:left="720"/>
        <w:jc w:val="both"/>
        <w:rPr>
          <w:rFonts w:ascii="Times New Roman" w:hAnsi="Times New Roman" w:cs="Times New Roman"/>
          <w:bCs/>
          <w:sz w:val="32"/>
          <w:szCs w:val="32"/>
          <w:lang w:val="en-IN"/>
        </w:rPr>
      </w:pPr>
      <w:r w:rsidRPr="00C727EA">
        <w:rPr>
          <w:rFonts w:ascii="Times New Roman" w:hAnsi="Times New Roman" w:cs="Times New Roman"/>
          <w:bCs/>
          <w:sz w:val="32"/>
          <w:szCs w:val="32"/>
          <w:lang w:val="en-IN"/>
        </w:rPr>
        <w:t xml:space="preserve">(c) tight coupling between fifty termination standardization and FFE tap coefficients tuning. </w:t>
      </w:r>
    </w:p>
    <w:p w:rsidR="00F94960" w:rsidRPr="00C727EA" w:rsidRDefault="0072609C" w:rsidP="00E53AA4">
      <w:pPr>
        <w:numPr>
          <w:ilvl w:val="0"/>
          <w:numId w:val="45"/>
        </w:numPr>
        <w:spacing w:line="360" w:lineRule="auto"/>
        <w:jc w:val="both"/>
        <w:rPr>
          <w:rFonts w:ascii="Times New Roman" w:hAnsi="Times New Roman" w:cs="Times New Roman"/>
          <w:bCs/>
          <w:sz w:val="32"/>
          <w:szCs w:val="32"/>
          <w:lang w:val="en-IN"/>
        </w:rPr>
      </w:pPr>
      <w:r w:rsidRPr="00C727EA">
        <w:rPr>
          <w:rFonts w:ascii="Times New Roman" w:hAnsi="Times New Roman" w:cs="Times New Roman"/>
          <w:bCs/>
          <w:sz w:val="32"/>
          <w:szCs w:val="32"/>
          <w:lang w:val="en-IN"/>
        </w:rPr>
        <w:t>These 3 constraints cut back the F</w:t>
      </w:r>
      <w:r w:rsidR="00C727EA">
        <w:rPr>
          <w:rFonts w:ascii="Times New Roman" w:hAnsi="Times New Roman" w:cs="Times New Roman"/>
          <w:bCs/>
          <w:sz w:val="32"/>
          <w:szCs w:val="32"/>
          <w:lang w:val="en-IN"/>
        </w:rPr>
        <w:t xml:space="preserve">FE potency because the range of </w:t>
      </w:r>
      <w:r w:rsidRPr="00C727EA">
        <w:rPr>
          <w:rFonts w:ascii="Times New Roman" w:hAnsi="Times New Roman" w:cs="Times New Roman"/>
          <w:bCs/>
          <w:sz w:val="32"/>
          <w:szCs w:val="32"/>
          <w:lang w:val="en-IN"/>
        </w:rPr>
        <w:t>FFE faucets are increased to equalize serious channel loss.</w:t>
      </w:r>
      <w:r w:rsidRPr="00C727EA">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B53BE3" w:rsidRPr="00B53BE3" w:rsidRDefault="00B53BE3" w:rsidP="00B53BE3">
      <w:pPr>
        <w:pStyle w:val="NormalWeb"/>
        <w:numPr>
          <w:ilvl w:val="0"/>
          <w:numId w:val="46"/>
        </w:numPr>
        <w:spacing w:before="0" w:beforeAutospacing="0" w:after="0" w:afterAutospacing="0" w:line="360" w:lineRule="auto"/>
        <w:ind w:left="426"/>
        <w:jc w:val="both"/>
        <w:rPr>
          <w:sz w:val="32"/>
          <w:szCs w:val="32"/>
        </w:rPr>
      </w:pPr>
      <w:r w:rsidRPr="00B53BE3">
        <w:rPr>
          <w:sz w:val="32"/>
          <w:szCs w:val="32"/>
        </w:rPr>
        <w:t>The proposed CDC encoding is impressed by the magnetic recording systems, that introduced management transitions within the knowledge stream to cut back the impact of pulse state of affairs.</w:t>
      </w:r>
    </w:p>
    <w:p w:rsidR="00B53BE3" w:rsidRPr="00B53BE3" w:rsidRDefault="00B53BE3" w:rsidP="00B53BE3">
      <w:pPr>
        <w:pStyle w:val="NormalWeb"/>
        <w:numPr>
          <w:ilvl w:val="0"/>
          <w:numId w:val="46"/>
        </w:numPr>
        <w:spacing w:before="0" w:beforeAutospacing="0" w:after="0" w:afterAutospacing="0" w:line="360" w:lineRule="auto"/>
        <w:ind w:left="426"/>
        <w:jc w:val="both"/>
        <w:rPr>
          <w:sz w:val="32"/>
          <w:szCs w:val="32"/>
        </w:rPr>
      </w:pPr>
      <w:r w:rsidRPr="00B53BE3">
        <w:rPr>
          <w:sz w:val="32"/>
          <w:szCs w:val="32"/>
        </w:rPr>
        <w:t>A pulse of opposite polarity in the middle of CIDs introduces high-frequency element in the data stream, which helps to reduce the post-cursor ISI.</w:t>
      </w:r>
    </w:p>
    <w:p w:rsidR="00B53BE3" w:rsidRPr="00B53BE3" w:rsidRDefault="00B53BE3" w:rsidP="00B53BE3">
      <w:pPr>
        <w:pStyle w:val="NormalWeb"/>
        <w:numPr>
          <w:ilvl w:val="0"/>
          <w:numId w:val="46"/>
        </w:numPr>
        <w:spacing w:before="0" w:beforeAutospacing="0" w:after="0" w:afterAutospacing="0" w:line="360" w:lineRule="auto"/>
        <w:ind w:left="426"/>
        <w:jc w:val="both"/>
        <w:rPr>
          <w:sz w:val="32"/>
          <w:szCs w:val="32"/>
        </w:rPr>
      </w:pPr>
      <w:r w:rsidRPr="00B53BE3">
        <w:rPr>
          <w:sz w:val="32"/>
          <w:szCs w:val="32"/>
        </w:rPr>
        <w:t>Energy-efficient operation of the proposed encoding is incontestable on a high-speed wireline transceiver which will operate from ten to eighteen Gb/s.</w:t>
      </w:r>
    </w:p>
    <w:p w:rsidR="003A5D44" w:rsidRPr="00B53BE3" w:rsidRDefault="00B53BE3" w:rsidP="00E53AA4">
      <w:pPr>
        <w:pStyle w:val="NormalWeb"/>
        <w:numPr>
          <w:ilvl w:val="0"/>
          <w:numId w:val="46"/>
        </w:numPr>
        <w:spacing w:before="0" w:beforeAutospacing="0" w:after="0" w:afterAutospacing="0" w:line="360" w:lineRule="auto"/>
        <w:ind w:left="426"/>
        <w:jc w:val="both"/>
        <w:rPr>
          <w:sz w:val="32"/>
          <w:szCs w:val="32"/>
        </w:rPr>
      </w:pPr>
      <w:r w:rsidRPr="00B53BE3">
        <w:rPr>
          <w:sz w:val="32"/>
          <w:szCs w:val="32"/>
        </w:rPr>
        <w:t>A highly-digital encoder design is proposed to implement the iPWM and government agency scheme, which is ascendible in nature and achieves widerange high-resolution secret writing constant tuning.</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D1921" w:rsidRDefault="0072609C" w:rsidP="00DD192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D1921">
        <w:rPr>
          <w:rFonts w:ascii="Times New Roman" w:eastAsia="AdvGulliv-R" w:hAnsi="Times New Roman" w:cs="Times New Roman"/>
          <w:bCs/>
          <w:sz w:val="32"/>
          <w:szCs w:val="32"/>
          <w:lang w:val="en-IN"/>
        </w:rPr>
        <w:t>The performance of the tra</w:t>
      </w:r>
      <w:r w:rsidRPr="00DD1921">
        <w:rPr>
          <w:rFonts w:ascii="Times New Roman" w:eastAsia="AdvGulliv-R" w:hAnsi="Times New Roman" w:cs="Times New Roman"/>
          <w:bCs/>
          <w:sz w:val="32"/>
          <w:szCs w:val="32"/>
          <w:lang w:val="en-IN"/>
        </w:rPr>
        <w:t>nsceiver was improved further by using additional power in the receiver, to compensate a loss of 27dB.</w:t>
      </w:r>
    </w:p>
    <w:p w:rsidR="00000000" w:rsidRPr="00DD1921" w:rsidRDefault="0072609C" w:rsidP="00DD192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D1921">
        <w:rPr>
          <w:rFonts w:ascii="Times New Roman" w:eastAsia="AdvGulliv-R" w:hAnsi="Times New Roman" w:cs="Times New Roman"/>
          <w:bCs/>
          <w:sz w:val="32"/>
          <w:szCs w:val="32"/>
          <w:lang w:val="en-IN"/>
        </w:rPr>
        <w:lastRenderedPageBreak/>
        <w:t>The performance summary of the proposed transceiver and compares it with state-of-the-art transceiver designs.</w:t>
      </w:r>
    </w:p>
    <w:p w:rsidR="00000000" w:rsidRPr="00DD1921" w:rsidRDefault="0072609C" w:rsidP="00DD192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D1921">
        <w:rPr>
          <w:rFonts w:ascii="Times New Roman" w:eastAsia="AdvGulliv-R" w:hAnsi="Times New Roman" w:cs="Times New Roman"/>
          <w:bCs/>
          <w:sz w:val="32"/>
          <w:szCs w:val="32"/>
          <w:lang w:val="en-IN"/>
        </w:rPr>
        <w:t>Equalization of the channel loss consume</w:t>
      </w:r>
      <w:r w:rsidRPr="00DD1921">
        <w:rPr>
          <w:rFonts w:ascii="Times New Roman" w:eastAsia="AdvGulliv-R" w:hAnsi="Times New Roman" w:cs="Times New Roman"/>
          <w:bCs/>
          <w:sz w:val="32"/>
          <w:szCs w:val="32"/>
          <w:lang w:val="en-IN"/>
        </w:rPr>
        <w:t>s significant power and degrades the energy efficiency of the wireline communication link.</w:t>
      </w:r>
    </w:p>
    <w:p w:rsidR="00000000" w:rsidRPr="00DD1921" w:rsidRDefault="0072609C" w:rsidP="00DD192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D1921">
        <w:rPr>
          <w:rFonts w:ascii="Times New Roman" w:eastAsia="AdvGulliv-R" w:hAnsi="Times New Roman" w:cs="Times New Roman"/>
          <w:bCs/>
          <w:sz w:val="32"/>
          <w:szCs w:val="32"/>
          <w:lang w:val="en-IN"/>
        </w:rPr>
        <w:t xml:space="preserve">Conventional line-coding techniques such as Manchester encoding (also known as pulse width modulation or PWM), can equalize the wireline channel without increasing </w:t>
      </w:r>
      <w:r w:rsidRPr="00DD1921">
        <w:rPr>
          <w:rFonts w:ascii="Times New Roman" w:eastAsia="AdvGulliv-R" w:hAnsi="Times New Roman" w:cs="Times New Roman"/>
          <w:bCs/>
          <w:sz w:val="32"/>
          <w:szCs w:val="32"/>
          <w:lang w:val="en-IN"/>
        </w:rPr>
        <w:t>signaling power, without segmenting the output driver, and without coupling the 50 termination tuning with the coefficient tuning.</w:t>
      </w:r>
      <w:r w:rsidRPr="00DD1921">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0E5982" w:rsidRDefault="000E5982" w:rsidP="00E53AA4">
            <w:pPr>
              <w:tabs>
                <w:tab w:val="left" w:pos="720"/>
              </w:tabs>
              <w:spacing w:after="100" w:line="360" w:lineRule="auto"/>
              <w:jc w:val="both"/>
              <w:rPr>
                <w:rFonts w:ascii="Times New Roman" w:hAnsi="Times New Roman" w:cs="Times New Roman"/>
                <w:sz w:val="28"/>
                <w:szCs w:val="28"/>
              </w:rPr>
            </w:pPr>
            <w:r w:rsidRPr="000E5982">
              <w:rPr>
                <w:rFonts w:ascii="Times New Roman" w:hAnsi="Times New Roman" w:cs="Times New Roman"/>
                <w:sz w:val="28"/>
                <w:szCs w:val="28"/>
              </w:rPr>
              <w:t>A 7 Gb/s embedded clock transceiver for energy proportional links</w:t>
            </w:r>
          </w:p>
        </w:tc>
        <w:tc>
          <w:tcPr>
            <w:tcW w:w="3192" w:type="dxa"/>
          </w:tcPr>
          <w:p w:rsidR="000C407B" w:rsidRPr="000E5982" w:rsidRDefault="000E5982" w:rsidP="000E5982">
            <w:pPr>
              <w:tabs>
                <w:tab w:val="left" w:pos="720"/>
              </w:tabs>
              <w:spacing w:after="100" w:line="360" w:lineRule="auto"/>
              <w:jc w:val="both"/>
              <w:rPr>
                <w:rFonts w:ascii="Times New Roman" w:hAnsi="Times New Roman" w:cs="Times New Roman"/>
                <w:sz w:val="28"/>
                <w:szCs w:val="28"/>
              </w:rPr>
            </w:pPr>
            <w:r w:rsidRPr="000E5982">
              <w:rPr>
                <w:rFonts w:ascii="Times New Roman" w:hAnsi="Times New Roman" w:cs="Times New Roman"/>
                <w:sz w:val="28"/>
                <w:szCs w:val="28"/>
              </w:rPr>
              <w:t xml:space="preserve">T. Anand, M. Talegaonkar, A. Elkholy, S. Saxena, A. Elshazly, and P. K. Hanumolu, </w:t>
            </w:r>
          </w:p>
        </w:tc>
        <w:tc>
          <w:tcPr>
            <w:tcW w:w="3192" w:type="dxa"/>
          </w:tcPr>
          <w:p w:rsidR="000C407B" w:rsidRPr="000E5982" w:rsidRDefault="000E5982" w:rsidP="00E53AA4">
            <w:pPr>
              <w:tabs>
                <w:tab w:val="left" w:pos="720"/>
              </w:tabs>
              <w:spacing w:after="100" w:line="360" w:lineRule="auto"/>
              <w:jc w:val="both"/>
              <w:rPr>
                <w:rFonts w:ascii="Times New Roman" w:hAnsi="Times New Roman" w:cs="Times New Roman"/>
                <w:sz w:val="28"/>
                <w:szCs w:val="28"/>
              </w:rPr>
            </w:pPr>
            <w:r w:rsidRPr="000E5982">
              <w:rPr>
                <w:rFonts w:ascii="Times New Roman" w:hAnsi="Times New Roman" w:cs="Times New Roman"/>
                <w:color w:val="333333"/>
                <w:sz w:val="28"/>
                <w:szCs w:val="28"/>
                <w:shd w:val="clear" w:color="auto" w:fill="FFFFFF"/>
              </w:rPr>
              <w:t>The proposed transceiver demonstrates power scalability with a wide range of link utilization and, therefore, helps in improving overall system efficiency.</w:t>
            </w:r>
          </w:p>
        </w:tc>
      </w:tr>
      <w:tr w:rsidR="000C407B" w:rsidTr="000C407B">
        <w:trPr>
          <w:trHeight w:val="2942"/>
        </w:trPr>
        <w:tc>
          <w:tcPr>
            <w:tcW w:w="3192" w:type="dxa"/>
          </w:tcPr>
          <w:p w:rsidR="000C407B" w:rsidRPr="000E5982" w:rsidRDefault="000E5982" w:rsidP="00E53AA4">
            <w:pPr>
              <w:tabs>
                <w:tab w:val="left" w:pos="720"/>
              </w:tabs>
              <w:spacing w:after="100" w:line="360" w:lineRule="auto"/>
              <w:jc w:val="both"/>
              <w:rPr>
                <w:rFonts w:ascii="Times New Roman" w:hAnsi="Times New Roman" w:cs="Times New Roman"/>
                <w:sz w:val="28"/>
                <w:szCs w:val="28"/>
              </w:rPr>
            </w:pPr>
            <w:r w:rsidRPr="000E5982">
              <w:rPr>
                <w:rFonts w:ascii="Times New Roman" w:hAnsi="Times New Roman" w:cs="Times New Roman"/>
                <w:sz w:val="28"/>
                <w:szCs w:val="28"/>
              </w:rPr>
              <w:t>Adaptive equalization and data recovery in a dualmode (PAM2/4) serial link transceiver</w:t>
            </w:r>
          </w:p>
        </w:tc>
        <w:tc>
          <w:tcPr>
            <w:tcW w:w="3192" w:type="dxa"/>
          </w:tcPr>
          <w:p w:rsidR="000C407B" w:rsidRPr="000E5982" w:rsidRDefault="000E5982" w:rsidP="000E5982">
            <w:pPr>
              <w:tabs>
                <w:tab w:val="left" w:pos="720"/>
              </w:tabs>
              <w:spacing w:after="100" w:line="360" w:lineRule="auto"/>
              <w:jc w:val="both"/>
              <w:rPr>
                <w:rFonts w:ascii="Times New Roman" w:hAnsi="Times New Roman" w:cs="Times New Roman"/>
                <w:sz w:val="28"/>
                <w:szCs w:val="28"/>
              </w:rPr>
            </w:pPr>
            <w:r w:rsidRPr="000E5982">
              <w:rPr>
                <w:rFonts w:ascii="Times New Roman" w:hAnsi="Times New Roman" w:cs="Times New Roman"/>
                <w:sz w:val="28"/>
                <w:szCs w:val="28"/>
              </w:rPr>
              <w:t xml:space="preserve">V. Stojanovi´c et al., </w:t>
            </w:r>
          </w:p>
        </w:tc>
        <w:tc>
          <w:tcPr>
            <w:tcW w:w="3192" w:type="dxa"/>
          </w:tcPr>
          <w:p w:rsidR="000C407B" w:rsidRPr="000E5982" w:rsidRDefault="000E5982" w:rsidP="00E53AA4">
            <w:pPr>
              <w:tabs>
                <w:tab w:val="left" w:pos="720"/>
              </w:tabs>
              <w:spacing w:after="100" w:line="360" w:lineRule="auto"/>
              <w:jc w:val="both"/>
              <w:rPr>
                <w:rFonts w:ascii="Times New Roman" w:hAnsi="Times New Roman" w:cs="Times New Roman"/>
                <w:sz w:val="28"/>
                <w:szCs w:val="28"/>
              </w:rPr>
            </w:pPr>
            <w:r w:rsidRPr="000E5982">
              <w:rPr>
                <w:rFonts w:ascii="Times New Roman" w:hAnsi="Times New Roman" w:cs="Times New Roman"/>
                <w:color w:val="333333"/>
                <w:sz w:val="28"/>
                <w:szCs w:val="28"/>
                <w:shd w:val="clear" w:color="auto" w:fill="FFFFFF"/>
              </w:rPr>
              <w:t>To achieve high bit rates link designers are using more sophisticated communication techniques, often turning to 4PAM transmission or decision-feedback equalization (DFE).</w:t>
            </w:r>
          </w:p>
        </w:tc>
      </w:tr>
      <w:tr w:rsidR="000C407B" w:rsidTr="000C407B">
        <w:tc>
          <w:tcPr>
            <w:tcW w:w="3192" w:type="dxa"/>
          </w:tcPr>
          <w:p w:rsidR="000C407B" w:rsidRPr="000E5982" w:rsidRDefault="000E5982" w:rsidP="00E53AA4">
            <w:pPr>
              <w:tabs>
                <w:tab w:val="left" w:pos="720"/>
              </w:tabs>
              <w:spacing w:after="100" w:line="360" w:lineRule="auto"/>
              <w:jc w:val="both"/>
              <w:rPr>
                <w:rFonts w:ascii="Times New Roman" w:hAnsi="Times New Roman" w:cs="Times New Roman"/>
                <w:sz w:val="28"/>
                <w:szCs w:val="28"/>
              </w:rPr>
            </w:pPr>
            <w:r w:rsidRPr="000E5982">
              <w:rPr>
                <w:rFonts w:ascii="Times New Roman" w:hAnsi="Times New Roman" w:cs="Times New Roman"/>
                <w:sz w:val="28"/>
                <w:szCs w:val="28"/>
              </w:rPr>
              <w:lastRenderedPageBreak/>
              <w:t>Fully digital transmit equalizer with dynamic impedance modulation</w:t>
            </w:r>
          </w:p>
        </w:tc>
        <w:tc>
          <w:tcPr>
            <w:tcW w:w="3192" w:type="dxa"/>
          </w:tcPr>
          <w:p w:rsidR="000C407B" w:rsidRPr="000E5982" w:rsidRDefault="000E5982" w:rsidP="000E5982">
            <w:pPr>
              <w:tabs>
                <w:tab w:val="left" w:pos="720"/>
              </w:tabs>
              <w:spacing w:after="100" w:line="360" w:lineRule="auto"/>
              <w:jc w:val="both"/>
              <w:rPr>
                <w:rFonts w:ascii="Times New Roman" w:hAnsi="Times New Roman" w:cs="Times New Roman"/>
                <w:sz w:val="28"/>
                <w:szCs w:val="28"/>
              </w:rPr>
            </w:pPr>
            <w:r w:rsidRPr="000E5982">
              <w:rPr>
                <w:rFonts w:ascii="Times New Roman" w:hAnsi="Times New Roman" w:cs="Times New Roman"/>
                <w:sz w:val="28"/>
                <w:szCs w:val="28"/>
              </w:rPr>
              <w:t xml:space="preserve">R. Sredojevic and V. Stojanovic, </w:t>
            </w:r>
          </w:p>
        </w:tc>
        <w:tc>
          <w:tcPr>
            <w:tcW w:w="3192" w:type="dxa"/>
          </w:tcPr>
          <w:p w:rsidR="000C407B" w:rsidRPr="000E5982" w:rsidRDefault="000E5982" w:rsidP="00E53AA4">
            <w:pPr>
              <w:tabs>
                <w:tab w:val="left" w:pos="720"/>
              </w:tabs>
              <w:spacing w:after="100" w:line="360" w:lineRule="auto"/>
              <w:jc w:val="both"/>
              <w:rPr>
                <w:rFonts w:ascii="Times New Roman" w:hAnsi="Times New Roman" w:cs="Times New Roman"/>
                <w:sz w:val="28"/>
                <w:szCs w:val="28"/>
              </w:rPr>
            </w:pPr>
            <w:r w:rsidRPr="000E5982">
              <w:rPr>
                <w:rFonts w:ascii="Times New Roman" w:hAnsi="Times New Roman" w:cs="Times New Roman"/>
                <w:color w:val="333333"/>
                <w:sz w:val="28"/>
                <w:szCs w:val="28"/>
                <w:shd w:val="clear" w:color="auto" w:fill="FFFFFF"/>
              </w:rPr>
              <w:t>Dynamic impedance modulation is found to be the most energy-efficient mechanism for transmit pre-emphasis, when compared with impedance-maintaining current and voltage-mode drivers.</w:t>
            </w:r>
          </w:p>
        </w:tc>
      </w:tr>
      <w:tr w:rsidR="000C407B" w:rsidTr="000C407B">
        <w:tc>
          <w:tcPr>
            <w:tcW w:w="3192" w:type="dxa"/>
          </w:tcPr>
          <w:p w:rsidR="000C407B" w:rsidRPr="000E5982" w:rsidRDefault="000E5982" w:rsidP="00E53AA4">
            <w:pPr>
              <w:tabs>
                <w:tab w:val="left" w:pos="720"/>
              </w:tabs>
              <w:spacing w:after="100" w:line="360" w:lineRule="auto"/>
              <w:jc w:val="both"/>
              <w:rPr>
                <w:rFonts w:ascii="Times New Roman" w:hAnsi="Times New Roman" w:cs="Times New Roman"/>
                <w:sz w:val="28"/>
                <w:szCs w:val="28"/>
              </w:rPr>
            </w:pPr>
            <w:r w:rsidRPr="000E5982">
              <w:rPr>
                <w:rFonts w:ascii="Times New Roman" w:hAnsi="Times New Roman" w:cs="Times New Roman"/>
                <w:sz w:val="28"/>
                <w:szCs w:val="28"/>
              </w:rPr>
              <w:t>Design and analysis of energy-efficient reconfigurable pre-emphasis voltage-mode transmitters</w:t>
            </w:r>
          </w:p>
        </w:tc>
        <w:tc>
          <w:tcPr>
            <w:tcW w:w="3192" w:type="dxa"/>
          </w:tcPr>
          <w:p w:rsidR="000C407B" w:rsidRPr="000E5982" w:rsidRDefault="000E5982" w:rsidP="000E5982">
            <w:pPr>
              <w:tabs>
                <w:tab w:val="left" w:pos="720"/>
              </w:tabs>
              <w:spacing w:after="100" w:line="360" w:lineRule="auto"/>
              <w:jc w:val="both"/>
              <w:rPr>
                <w:rFonts w:ascii="Times New Roman" w:hAnsi="Times New Roman" w:cs="Times New Roman"/>
                <w:sz w:val="28"/>
                <w:szCs w:val="28"/>
              </w:rPr>
            </w:pPr>
            <w:r w:rsidRPr="000E5982">
              <w:rPr>
                <w:rFonts w:ascii="Times New Roman" w:hAnsi="Times New Roman" w:cs="Times New Roman"/>
                <w:sz w:val="28"/>
                <w:szCs w:val="28"/>
              </w:rPr>
              <w:t xml:space="preserve">Y. Lu, K. Jung, Y. Hidaka, and E. Alon, </w:t>
            </w:r>
          </w:p>
        </w:tc>
        <w:tc>
          <w:tcPr>
            <w:tcW w:w="3192" w:type="dxa"/>
          </w:tcPr>
          <w:p w:rsidR="000C407B" w:rsidRPr="000E5982" w:rsidRDefault="000E5982" w:rsidP="00E53AA4">
            <w:pPr>
              <w:tabs>
                <w:tab w:val="left" w:pos="720"/>
              </w:tabs>
              <w:spacing w:after="100" w:line="360" w:lineRule="auto"/>
              <w:jc w:val="both"/>
              <w:rPr>
                <w:rFonts w:ascii="Times New Roman" w:hAnsi="Times New Roman" w:cs="Times New Roman"/>
                <w:sz w:val="28"/>
                <w:szCs w:val="28"/>
              </w:rPr>
            </w:pPr>
            <w:r w:rsidRPr="000E5982">
              <w:rPr>
                <w:rFonts w:ascii="Times New Roman" w:hAnsi="Times New Roman" w:cs="Times New Roman"/>
                <w:color w:val="333333"/>
                <w:sz w:val="28"/>
                <w:szCs w:val="28"/>
                <w:shd w:val="clear" w:color="auto" w:fill="FFFFFF"/>
              </w:rPr>
              <w:t>This paper analyzes the signaling and digital power overhead of pre-emphasis voltage-mode transmitters.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99249A" w:rsidRDefault="0099249A" w:rsidP="00E53AA4">
      <w:pPr>
        <w:tabs>
          <w:tab w:val="left" w:pos="720"/>
          <w:tab w:val="left" w:pos="3390"/>
        </w:tabs>
        <w:spacing w:after="100" w:line="360" w:lineRule="auto"/>
        <w:jc w:val="both"/>
        <w:rPr>
          <w:rFonts w:ascii="Times New Roman" w:hAnsi="Times New Roman" w:cs="Times New Roman"/>
          <w:b/>
          <w:sz w:val="28"/>
          <w:szCs w:val="28"/>
        </w:rPr>
      </w:pPr>
    </w:p>
    <w:p w:rsidR="0099249A" w:rsidRDefault="0099249A"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D81E16" w:rsidRPr="003E2813"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3E2813" w:rsidP="003E2813">
      <w:pPr>
        <w:spacing w:after="0" w:line="360" w:lineRule="auto"/>
        <w:jc w:val="center"/>
        <w:rPr>
          <w:rFonts w:ascii="Times New Roman" w:hAnsi="Times New Roman" w:cs="Times New Roman"/>
        </w:rPr>
      </w:pPr>
      <w:r w:rsidRPr="003E2813">
        <w:rPr>
          <w:rFonts w:ascii="Times New Roman" w:hAnsi="Times New Roman" w:cs="Times New Roman"/>
        </w:rPr>
        <w:drawing>
          <wp:inline distT="0" distB="0" distL="0" distR="0">
            <wp:extent cx="5943600" cy="499110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99110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3E2813" w:rsidRDefault="003E2813" w:rsidP="00E53AA4">
      <w:pPr>
        <w:spacing w:before="100" w:after="100" w:line="360" w:lineRule="auto"/>
        <w:jc w:val="both"/>
        <w:rPr>
          <w:rFonts w:ascii="Times New Roman" w:hAnsi="Times New Roman" w:cs="Times New Roman"/>
          <w:b/>
          <w:noProof/>
          <w:sz w:val="28"/>
          <w:szCs w:val="28"/>
        </w:rPr>
      </w:pPr>
    </w:p>
    <w:p w:rsidR="003E2813" w:rsidRDefault="003E2813" w:rsidP="00E53AA4">
      <w:pPr>
        <w:spacing w:before="100" w:after="100" w:line="360" w:lineRule="auto"/>
        <w:jc w:val="both"/>
        <w:rPr>
          <w:rFonts w:ascii="Times New Roman" w:hAnsi="Times New Roman" w:cs="Times New Roman"/>
          <w:b/>
          <w:noProof/>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D5537" w:rsidRPr="00FD5537" w:rsidRDefault="00FD5537" w:rsidP="00FD5537">
      <w:pPr>
        <w:pStyle w:val="BodyText"/>
        <w:rPr>
          <w:bCs/>
          <w:iCs/>
          <w:sz w:val="32"/>
          <w:szCs w:val="32"/>
          <w:lang w:val="en-IN"/>
        </w:rPr>
      </w:pPr>
      <w:r w:rsidRPr="00FD5537">
        <w:rPr>
          <w:b/>
          <w:iCs/>
          <w:sz w:val="28"/>
          <w:szCs w:val="28"/>
          <w:lang w:val="en-IN"/>
        </w:rPr>
        <w:t xml:space="preserve">    </w:t>
      </w:r>
      <w:r w:rsidRPr="00FD5537">
        <w:rPr>
          <w:bCs/>
          <w:iCs/>
          <w:sz w:val="32"/>
          <w:szCs w:val="32"/>
          <w:lang w:val="en-IN"/>
        </w:rPr>
        <w:t>This work introduces two new energy efficient line-coding schemes for equalization: integrated pulse width modulation (iPWM) and consecutive digit chopping (CDC). The proposed iPWM achieves eye openings, which are comparable to FFE and Manchester. A highly-digital encoder architecture is proposed to implement the iPWM and CDC scheme, which is scalable in nature and achieves wide-range high-resolution encoding coefficient tuning. A 10 to 18 Gb/s wireline transceiver implementation of the proposed scheme is demonstrated with measured results. The transceiver was capable of equalizing over 27dB of channel loss, while operating at 16 Gb/s, with an efficiency of 4.37pJ/bit. The proposed line-coding techniques can co-exist and can also be employed along with other conventional equalization techniques such as CTLE (implemented in the receiver). In future, the proposed line-coding techniques can be further extended to operate with FFE and DFE based transceivers to make them backward compatible with existing receivers. While in this work, the proposed line-coding schemes were demonstrated to equalize a wireline channel, these coding techniques can be also be employed to equalize low bandwidth path in RF and optical communication systems.</w:t>
      </w:r>
      <w:r w:rsidRPr="00FD5537">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FD5537" w:rsidRDefault="00FD553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13F71" w:rsidRDefault="0072609C" w:rsidP="00913F71">
      <w:pPr>
        <w:pStyle w:val="BodyText"/>
        <w:numPr>
          <w:ilvl w:val="0"/>
          <w:numId w:val="42"/>
        </w:numPr>
        <w:rPr>
          <w:sz w:val="32"/>
          <w:szCs w:val="32"/>
          <w:lang w:val="en-IN"/>
        </w:rPr>
      </w:pPr>
      <w:r w:rsidRPr="00913F71">
        <w:rPr>
          <w:sz w:val="32"/>
          <w:szCs w:val="32"/>
          <w:lang w:val="en-IN"/>
        </w:rPr>
        <w:t>[1] T</w:t>
      </w:r>
      <w:r w:rsidRPr="00913F71">
        <w:rPr>
          <w:sz w:val="32"/>
          <w:szCs w:val="32"/>
          <w:lang w:val="en-IN"/>
        </w:rPr>
        <w:t xml:space="preserve">. Anand. Wireline Link Performance Survey. Accessed: Jan. 2018. [Online]. Available: https://web.engr.oregonstate.edu/~anandt/linksurvey </w:t>
      </w:r>
    </w:p>
    <w:p w:rsidR="00000000" w:rsidRPr="00913F71" w:rsidRDefault="0072609C" w:rsidP="00913F71">
      <w:pPr>
        <w:pStyle w:val="BodyText"/>
        <w:numPr>
          <w:ilvl w:val="0"/>
          <w:numId w:val="42"/>
        </w:numPr>
        <w:rPr>
          <w:sz w:val="32"/>
          <w:szCs w:val="32"/>
          <w:lang w:val="en-IN"/>
        </w:rPr>
      </w:pPr>
      <w:r w:rsidRPr="00913F71">
        <w:rPr>
          <w:sz w:val="32"/>
          <w:szCs w:val="32"/>
          <w:lang w:val="en-IN"/>
        </w:rPr>
        <w:t>[2] T. Anand, M. Talegaonkar, A. Elkholy, S. Saxena, A. Elshazly, and P. K. Hanumolu, “A 7 Gb/s embedded clock transc</w:t>
      </w:r>
      <w:r w:rsidRPr="00913F71">
        <w:rPr>
          <w:sz w:val="32"/>
          <w:szCs w:val="32"/>
          <w:lang w:val="en-IN"/>
        </w:rPr>
        <w:t xml:space="preserve">eiver for energy proportional links,” IEEE J. Solid-State Circuits, vol. 50, no. 12, pp. 3101–3119, Dec. 2015. </w:t>
      </w:r>
    </w:p>
    <w:p w:rsidR="00000000" w:rsidRPr="00913F71" w:rsidRDefault="0072609C" w:rsidP="00913F71">
      <w:pPr>
        <w:pStyle w:val="BodyText"/>
        <w:numPr>
          <w:ilvl w:val="0"/>
          <w:numId w:val="42"/>
        </w:numPr>
        <w:rPr>
          <w:sz w:val="32"/>
          <w:szCs w:val="32"/>
          <w:lang w:val="en-IN"/>
        </w:rPr>
      </w:pPr>
      <w:r w:rsidRPr="00913F71">
        <w:rPr>
          <w:sz w:val="32"/>
          <w:szCs w:val="32"/>
          <w:lang w:val="en-IN"/>
        </w:rPr>
        <w:t>[3] R. Payne et al., “A 6.25-Gb/s binary transceiver in 0.13-</w:t>
      </w:r>
      <w:r w:rsidRPr="00913F71">
        <w:rPr>
          <w:sz w:val="32"/>
          <w:szCs w:val="32"/>
          <w:lang w:val="el-GR"/>
        </w:rPr>
        <w:t>μ</w:t>
      </w:r>
      <w:r w:rsidRPr="00913F71">
        <w:rPr>
          <w:sz w:val="32"/>
          <w:szCs w:val="32"/>
          <w:lang w:val="en-IN"/>
        </w:rPr>
        <w:t xml:space="preserve">m CMOS for serial data transmission across high loss legacy backplane channels,” </w:t>
      </w:r>
      <w:r w:rsidRPr="00913F71">
        <w:rPr>
          <w:sz w:val="32"/>
          <w:szCs w:val="32"/>
          <w:lang w:val="en-IN"/>
        </w:rPr>
        <w:t xml:space="preserve">IEEE J. Solid-State Circuits, vol. 40, no. 12, pp. 2646–2655, Dec. 2005. </w:t>
      </w:r>
    </w:p>
    <w:p w:rsidR="00000000" w:rsidRPr="00913F71" w:rsidRDefault="0072609C" w:rsidP="00913F71">
      <w:pPr>
        <w:pStyle w:val="BodyText"/>
        <w:numPr>
          <w:ilvl w:val="0"/>
          <w:numId w:val="42"/>
        </w:numPr>
        <w:rPr>
          <w:sz w:val="32"/>
          <w:szCs w:val="32"/>
          <w:lang w:val="en-IN"/>
        </w:rPr>
      </w:pPr>
      <w:r w:rsidRPr="00913F71">
        <w:rPr>
          <w:sz w:val="32"/>
          <w:szCs w:val="32"/>
          <w:lang w:val="en-IN"/>
        </w:rPr>
        <w:t>[4] T. Musah et al., “A 4–32 Gb/s bidirectional link with 3-tap FFE/6-tap DFE and collaborative CDR in 22 nm CMOS,” IEEE J. Solid-State Circuits, vol. 49, no. 12, pp. 3079–3090, Dec</w:t>
      </w:r>
      <w:r w:rsidRPr="00913F71">
        <w:rPr>
          <w:sz w:val="32"/>
          <w:szCs w:val="32"/>
          <w:lang w:val="en-IN"/>
        </w:rPr>
        <w:t xml:space="preserve">. 2015. </w:t>
      </w:r>
    </w:p>
    <w:p w:rsidR="00000000" w:rsidRPr="00913F71" w:rsidRDefault="0072609C" w:rsidP="00913F71">
      <w:pPr>
        <w:pStyle w:val="BodyText"/>
        <w:numPr>
          <w:ilvl w:val="0"/>
          <w:numId w:val="42"/>
        </w:numPr>
        <w:rPr>
          <w:sz w:val="32"/>
          <w:szCs w:val="32"/>
          <w:lang w:val="en-IN"/>
        </w:rPr>
      </w:pPr>
      <w:r w:rsidRPr="00913F71">
        <w:rPr>
          <w:sz w:val="32"/>
          <w:szCs w:val="32"/>
          <w:lang w:val="en-IN"/>
        </w:rPr>
        <w:t>[5] V. Stojanovi´c et al., “Adaptive equalization and data recovery in a dualmode (PAM2/4) serial link transceiver,” in Proc. IEEE Symp. VLSI Circuits, Jun. 2004, pp. 348–351.</w:t>
      </w:r>
      <w:r w:rsidRPr="00913F71">
        <w:rPr>
          <w:sz w:val="32"/>
          <w:szCs w:val="32"/>
        </w:rPr>
        <w:t xml:space="preserve"> </w:t>
      </w:r>
    </w:p>
    <w:p w:rsidR="00000000" w:rsidRPr="00913F71" w:rsidRDefault="0072609C" w:rsidP="00913F71">
      <w:pPr>
        <w:pStyle w:val="BodyText"/>
        <w:numPr>
          <w:ilvl w:val="0"/>
          <w:numId w:val="42"/>
        </w:numPr>
        <w:rPr>
          <w:sz w:val="32"/>
          <w:szCs w:val="32"/>
          <w:lang w:val="en-IN"/>
        </w:rPr>
      </w:pPr>
      <w:r w:rsidRPr="00913F71">
        <w:rPr>
          <w:sz w:val="32"/>
          <w:szCs w:val="32"/>
          <w:lang w:val="en-IN"/>
        </w:rPr>
        <w:t xml:space="preserve">[6] K. L. J. Wong, H. Hatamkhani, M. Mansuri, and C. K. K. Yang, “A </w:t>
      </w:r>
      <w:r w:rsidRPr="00913F71">
        <w:rPr>
          <w:sz w:val="32"/>
          <w:szCs w:val="32"/>
          <w:lang w:val="en-IN"/>
        </w:rPr>
        <w:t xml:space="preserve">27-mW 3.6-Gb/s I/O transceiver,” IEEE J. Solid-State Circuits, vol. 39, no. 4, pp. 602–612, Apr. 2004. </w:t>
      </w:r>
    </w:p>
    <w:p w:rsidR="00000000" w:rsidRPr="00913F71" w:rsidRDefault="0072609C" w:rsidP="00913F71">
      <w:pPr>
        <w:pStyle w:val="BodyText"/>
        <w:numPr>
          <w:ilvl w:val="0"/>
          <w:numId w:val="42"/>
        </w:numPr>
        <w:rPr>
          <w:sz w:val="32"/>
          <w:szCs w:val="32"/>
          <w:lang w:val="en-IN"/>
        </w:rPr>
      </w:pPr>
      <w:r w:rsidRPr="00913F71">
        <w:rPr>
          <w:sz w:val="32"/>
          <w:szCs w:val="32"/>
          <w:lang w:val="en-IN"/>
        </w:rPr>
        <w:lastRenderedPageBreak/>
        <w:t>[7] R. Sredojevic and V. Stojanovic, “Fully digital transmit equalizer with dynamic impedance modulation,” IEEE J. Solid-State Circuits, vol. 46, no. 8</w:t>
      </w:r>
      <w:r w:rsidRPr="00913F71">
        <w:rPr>
          <w:sz w:val="32"/>
          <w:szCs w:val="32"/>
          <w:lang w:val="en-IN"/>
        </w:rPr>
        <w:t xml:space="preserve">, pp. 1857–1869, Aug. 2011. </w:t>
      </w:r>
    </w:p>
    <w:p w:rsidR="00000000" w:rsidRPr="00913F71" w:rsidRDefault="0072609C" w:rsidP="00913F71">
      <w:pPr>
        <w:pStyle w:val="BodyText"/>
        <w:numPr>
          <w:ilvl w:val="0"/>
          <w:numId w:val="42"/>
        </w:numPr>
        <w:rPr>
          <w:sz w:val="32"/>
          <w:szCs w:val="32"/>
          <w:lang w:val="en-IN"/>
        </w:rPr>
      </w:pPr>
      <w:r w:rsidRPr="00913F71">
        <w:rPr>
          <w:sz w:val="32"/>
          <w:szCs w:val="32"/>
          <w:lang w:val="en-IN"/>
        </w:rPr>
        <w:t>[8] Y. Lu, K. Jung, Y. Hidaka, and E. Alon, “Design and analysis of energy-efficient reconfigurable pre-emphasis voltage-mode transmitters,” IEEE J. Solid-State Circuits, vol. 48, no. 8, pp. 1898–1909, Aug. 2013.</w:t>
      </w:r>
    </w:p>
    <w:p w:rsidR="00000000" w:rsidRPr="00913F71" w:rsidRDefault="0072609C" w:rsidP="00913F71">
      <w:pPr>
        <w:pStyle w:val="BodyText"/>
        <w:numPr>
          <w:ilvl w:val="0"/>
          <w:numId w:val="42"/>
        </w:numPr>
        <w:rPr>
          <w:sz w:val="32"/>
          <w:szCs w:val="32"/>
          <w:lang w:val="en-IN"/>
        </w:rPr>
      </w:pPr>
      <w:r w:rsidRPr="00913F71">
        <w:rPr>
          <w:sz w:val="32"/>
          <w:szCs w:val="32"/>
          <w:lang w:val="en-IN"/>
        </w:rPr>
        <w:t>[9] G. E. Th</w:t>
      </w:r>
      <w:r w:rsidRPr="00913F71">
        <w:rPr>
          <w:sz w:val="32"/>
          <w:szCs w:val="32"/>
          <w:lang w:val="en-IN"/>
        </w:rPr>
        <w:t>omas, “Magnetic storage,” in Proc. 1st Cambridge Comput. Conf., 1949. [Online]. Available: http://www.chilton-computing. org.uk/acl/literature/manuals/cambridge/p017.htm.</w:t>
      </w:r>
    </w:p>
    <w:p w:rsidR="00000000" w:rsidRPr="00913F71" w:rsidRDefault="0072609C" w:rsidP="00913F71">
      <w:pPr>
        <w:pStyle w:val="BodyText"/>
        <w:numPr>
          <w:ilvl w:val="0"/>
          <w:numId w:val="42"/>
        </w:numPr>
        <w:rPr>
          <w:sz w:val="32"/>
          <w:szCs w:val="32"/>
          <w:lang w:val="en-IN"/>
        </w:rPr>
      </w:pPr>
      <w:r w:rsidRPr="00913F71">
        <w:rPr>
          <w:sz w:val="32"/>
          <w:szCs w:val="32"/>
          <w:lang w:val="en-IN"/>
        </w:rPr>
        <w:t>[10] S. Saxena, R. K. Nandwana, and P. K. Hanumolu, “A 5 Gb/s energyefficient voltag</w:t>
      </w:r>
      <w:r w:rsidRPr="00913F71">
        <w:rPr>
          <w:sz w:val="32"/>
          <w:szCs w:val="32"/>
          <w:lang w:val="en-IN"/>
        </w:rPr>
        <w:t>e-mode transmitter using time-based de-emphasis,” IEEE J. Solid-State Circuits, vol. 49, no. 8, pp. 1827–1836, Aug. 2014.</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609C" w:rsidRDefault="0072609C" w:rsidP="003654DF">
      <w:pPr>
        <w:spacing w:after="0" w:line="240" w:lineRule="auto"/>
      </w:pPr>
      <w:r>
        <w:separator/>
      </w:r>
    </w:p>
  </w:endnote>
  <w:endnote w:type="continuationSeparator" w:id="1">
    <w:p w:rsidR="0072609C" w:rsidRDefault="0072609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609C" w:rsidRDefault="0072609C" w:rsidP="003654DF">
      <w:pPr>
        <w:spacing w:after="0" w:line="240" w:lineRule="auto"/>
      </w:pPr>
      <w:r>
        <w:separator/>
      </w:r>
    </w:p>
  </w:footnote>
  <w:footnote w:type="continuationSeparator" w:id="1">
    <w:p w:rsidR="0072609C" w:rsidRDefault="0072609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677FE">
        <w:pPr>
          <w:pStyle w:val="Header"/>
          <w:jc w:val="right"/>
        </w:pPr>
        <w:fldSimple w:instr=" PAGE   \* MERGEFORMAT ">
          <w:r w:rsidR="003E2813">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B83958"/>
    <w:multiLevelType w:val="hybridMultilevel"/>
    <w:tmpl w:val="6C848882"/>
    <w:lvl w:ilvl="0" w:tplc="6830874A">
      <w:start w:val="1"/>
      <w:numFmt w:val="bullet"/>
      <w:lvlText w:val=""/>
      <w:lvlJc w:val="left"/>
      <w:pPr>
        <w:tabs>
          <w:tab w:val="num" w:pos="720"/>
        </w:tabs>
        <w:ind w:left="720" w:hanging="360"/>
      </w:pPr>
      <w:rPr>
        <w:rFonts w:ascii="Wingdings 2" w:hAnsi="Wingdings 2" w:hint="default"/>
      </w:rPr>
    </w:lvl>
    <w:lvl w:ilvl="1" w:tplc="96AA9362" w:tentative="1">
      <w:start w:val="1"/>
      <w:numFmt w:val="bullet"/>
      <w:lvlText w:val=""/>
      <w:lvlJc w:val="left"/>
      <w:pPr>
        <w:tabs>
          <w:tab w:val="num" w:pos="1440"/>
        </w:tabs>
        <w:ind w:left="1440" w:hanging="360"/>
      </w:pPr>
      <w:rPr>
        <w:rFonts w:ascii="Wingdings 2" w:hAnsi="Wingdings 2" w:hint="default"/>
      </w:rPr>
    </w:lvl>
    <w:lvl w:ilvl="2" w:tplc="899483B6" w:tentative="1">
      <w:start w:val="1"/>
      <w:numFmt w:val="bullet"/>
      <w:lvlText w:val=""/>
      <w:lvlJc w:val="left"/>
      <w:pPr>
        <w:tabs>
          <w:tab w:val="num" w:pos="2160"/>
        </w:tabs>
        <w:ind w:left="2160" w:hanging="360"/>
      </w:pPr>
      <w:rPr>
        <w:rFonts w:ascii="Wingdings 2" w:hAnsi="Wingdings 2" w:hint="default"/>
      </w:rPr>
    </w:lvl>
    <w:lvl w:ilvl="3" w:tplc="856C101C" w:tentative="1">
      <w:start w:val="1"/>
      <w:numFmt w:val="bullet"/>
      <w:lvlText w:val=""/>
      <w:lvlJc w:val="left"/>
      <w:pPr>
        <w:tabs>
          <w:tab w:val="num" w:pos="2880"/>
        </w:tabs>
        <w:ind w:left="2880" w:hanging="360"/>
      </w:pPr>
      <w:rPr>
        <w:rFonts w:ascii="Wingdings 2" w:hAnsi="Wingdings 2" w:hint="default"/>
      </w:rPr>
    </w:lvl>
    <w:lvl w:ilvl="4" w:tplc="67BE5DD8" w:tentative="1">
      <w:start w:val="1"/>
      <w:numFmt w:val="bullet"/>
      <w:lvlText w:val=""/>
      <w:lvlJc w:val="left"/>
      <w:pPr>
        <w:tabs>
          <w:tab w:val="num" w:pos="3600"/>
        </w:tabs>
        <w:ind w:left="3600" w:hanging="360"/>
      </w:pPr>
      <w:rPr>
        <w:rFonts w:ascii="Wingdings 2" w:hAnsi="Wingdings 2" w:hint="default"/>
      </w:rPr>
    </w:lvl>
    <w:lvl w:ilvl="5" w:tplc="C298BD58" w:tentative="1">
      <w:start w:val="1"/>
      <w:numFmt w:val="bullet"/>
      <w:lvlText w:val=""/>
      <w:lvlJc w:val="left"/>
      <w:pPr>
        <w:tabs>
          <w:tab w:val="num" w:pos="4320"/>
        </w:tabs>
        <w:ind w:left="4320" w:hanging="360"/>
      </w:pPr>
      <w:rPr>
        <w:rFonts w:ascii="Wingdings 2" w:hAnsi="Wingdings 2" w:hint="default"/>
      </w:rPr>
    </w:lvl>
    <w:lvl w:ilvl="6" w:tplc="741EFEDE" w:tentative="1">
      <w:start w:val="1"/>
      <w:numFmt w:val="bullet"/>
      <w:lvlText w:val=""/>
      <w:lvlJc w:val="left"/>
      <w:pPr>
        <w:tabs>
          <w:tab w:val="num" w:pos="5040"/>
        </w:tabs>
        <w:ind w:left="5040" w:hanging="360"/>
      </w:pPr>
      <w:rPr>
        <w:rFonts w:ascii="Wingdings 2" w:hAnsi="Wingdings 2" w:hint="default"/>
      </w:rPr>
    </w:lvl>
    <w:lvl w:ilvl="7" w:tplc="3C74ABA4" w:tentative="1">
      <w:start w:val="1"/>
      <w:numFmt w:val="bullet"/>
      <w:lvlText w:val=""/>
      <w:lvlJc w:val="left"/>
      <w:pPr>
        <w:tabs>
          <w:tab w:val="num" w:pos="5760"/>
        </w:tabs>
        <w:ind w:left="5760" w:hanging="360"/>
      </w:pPr>
      <w:rPr>
        <w:rFonts w:ascii="Wingdings 2" w:hAnsi="Wingdings 2" w:hint="default"/>
      </w:rPr>
    </w:lvl>
    <w:lvl w:ilvl="8" w:tplc="46745D18" w:tentative="1">
      <w:start w:val="1"/>
      <w:numFmt w:val="bullet"/>
      <w:lvlText w:val=""/>
      <w:lvlJc w:val="left"/>
      <w:pPr>
        <w:tabs>
          <w:tab w:val="num" w:pos="6480"/>
        </w:tabs>
        <w:ind w:left="6480" w:hanging="360"/>
      </w:pPr>
      <w:rPr>
        <w:rFonts w:ascii="Wingdings 2" w:hAnsi="Wingdings 2" w:hint="default"/>
      </w:rPr>
    </w:lvl>
  </w:abstractNum>
  <w:abstractNum w:abstractNumId="2">
    <w:nsid w:val="062F6D3C"/>
    <w:multiLevelType w:val="hybridMultilevel"/>
    <w:tmpl w:val="CFD49FD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C557246"/>
    <w:multiLevelType w:val="hybridMultilevel"/>
    <w:tmpl w:val="507CF878"/>
    <w:lvl w:ilvl="0" w:tplc="B3B821D4">
      <w:start w:val="1"/>
      <w:numFmt w:val="bullet"/>
      <w:lvlText w:val=""/>
      <w:lvlJc w:val="left"/>
      <w:pPr>
        <w:tabs>
          <w:tab w:val="num" w:pos="720"/>
        </w:tabs>
        <w:ind w:left="720" w:hanging="360"/>
      </w:pPr>
      <w:rPr>
        <w:rFonts w:ascii="Wingdings 2" w:hAnsi="Wingdings 2" w:hint="default"/>
      </w:rPr>
    </w:lvl>
    <w:lvl w:ilvl="1" w:tplc="17E05B5C" w:tentative="1">
      <w:start w:val="1"/>
      <w:numFmt w:val="bullet"/>
      <w:lvlText w:val=""/>
      <w:lvlJc w:val="left"/>
      <w:pPr>
        <w:tabs>
          <w:tab w:val="num" w:pos="1440"/>
        </w:tabs>
        <w:ind w:left="1440" w:hanging="360"/>
      </w:pPr>
      <w:rPr>
        <w:rFonts w:ascii="Wingdings 2" w:hAnsi="Wingdings 2" w:hint="default"/>
      </w:rPr>
    </w:lvl>
    <w:lvl w:ilvl="2" w:tplc="4AEA784E" w:tentative="1">
      <w:start w:val="1"/>
      <w:numFmt w:val="bullet"/>
      <w:lvlText w:val=""/>
      <w:lvlJc w:val="left"/>
      <w:pPr>
        <w:tabs>
          <w:tab w:val="num" w:pos="2160"/>
        </w:tabs>
        <w:ind w:left="2160" w:hanging="360"/>
      </w:pPr>
      <w:rPr>
        <w:rFonts w:ascii="Wingdings 2" w:hAnsi="Wingdings 2" w:hint="default"/>
      </w:rPr>
    </w:lvl>
    <w:lvl w:ilvl="3" w:tplc="DF4877D8" w:tentative="1">
      <w:start w:val="1"/>
      <w:numFmt w:val="bullet"/>
      <w:lvlText w:val=""/>
      <w:lvlJc w:val="left"/>
      <w:pPr>
        <w:tabs>
          <w:tab w:val="num" w:pos="2880"/>
        </w:tabs>
        <w:ind w:left="2880" w:hanging="360"/>
      </w:pPr>
      <w:rPr>
        <w:rFonts w:ascii="Wingdings 2" w:hAnsi="Wingdings 2" w:hint="default"/>
      </w:rPr>
    </w:lvl>
    <w:lvl w:ilvl="4" w:tplc="038694E4" w:tentative="1">
      <w:start w:val="1"/>
      <w:numFmt w:val="bullet"/>
      <w:lvlText w:val=""/>
      <w:lvlJc w:val="left"/>
      <w:pPr>
        <w:tabs>
          <w:tab w:val="num" w:pos="3600"/>
        </w:tabs>
        <w:ind w:left="3600" w:hanging="360"/>
      </w:pPr>
      <w:rPr>
        <w:rFonts w:ascii="Wingdings 2" w:hAnsi="Wingdings 2" w:hint="default"/>
      </w:rPr>
    </w:lvl>
    <w:lvl w:ilvl="5" w:tplc="8C0C3B0A" w:tentative="1">
      <w:start w:val="1"/>
      <w:numFmt w:val="bullet"/>
      <w:lvlText w:val=""/>
      <w:lvlJc w:val="left"/>
      <w:pPr>
        <w:tabs>
          <w:tab w:val="num" w:pos="4320"/>
        </w:tabs>
        <w:ind w:left="4320" w:hanging="360"/>
      </w:pPr>
      <w:rPr>
        <w:rFonts w:ascii="Wingdings 2" w:hAnsi="Wingdings 2" w:hint="default"/>
      </w:rPr>
    </w:lvl>
    <w:lvl w:ilvl="6" w:tplc="5B0A18DE" w:tentative="1">
      <w:start w:val="1"/>
      <w:numFmt w:val="bullet"/>
      <w:lvlText w:val=""/>
      <w:lvlJc w:val="left"/>
      <w:pPr>
        <w:tabs>
          <w:tab w:val="num" w:pos="5040"/>
        </w:tabs>
        <w:ind w:left="5040" w:hanging="360"/>
      </w:pPr>
      <w:rPr>
        <w:rFonts w:ascii="Wingdings 2" w:hAnsi="Wingdings 2" w:hint="default"/>
      </w:rPr>
    </w:lvl>
    <w:lvl w:ilvl="7" w:tplc="6896AB16" w:tentative="1">
      <w:start w:val="1"/>
      <w:numFmt w:val="bullet"/>
      <w:lvlText w:val=""/>
      <w:lvlJc w:val="left"/>
      <w:pPr>
        <w:tabs>
          <w:tab w:val="num" w:pos="5760"/>
        </w:tabs>
        <w:ind w:left="5760" w:hanging="360"/>
      </w:pPr>
      <w:rPr>
        <w:rFonts w:ascii="Wingdings 2" w:hAnsi="Wingdings 2" w:hint="default"/>
      </w:rPr>
    </w:lvl>
    <w:lvl w:ilvl="8" w:tplc="DC0675F0" w:tentative="1">
      <w:start w:val="1"/>
      <w:numFmt w:val="bullet"/>
      <w:lvlText w:val=""/>
      <w:lvlJc w:val="left"/>
      <w:pPr>
        <w:tabs>
          <w:tab w:val="num" w:pos="6480"/>
        </w:tabs>
        <w:ind w:left="6480" w:hanging="360"/>
      </w:pPr>
      <w:rPr>
        <w:rFonts w:ascii="Wingdings 2" w:hAnsi="Wingdings 2"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820D27"/>
    <w:multiLevelType w:val="hybridMultilevel"/>
    <w:tmpl w:val="96A8312C"/>
    <w:lvl w:ilvl="0" w:tplc="F0488682">
      <w:start w:val="1"/>
      <w:numFmt w:val="bullet"/>
      <w:lvlText w:val=""/>
      <w:lvlJc w:val="left"/>
      <w:pPr>
        <w:tabs>
          <w:tab w:val="num" w:pos="720"/>
        </w:tabs>
        <w:ind w:left="720" w:hanging="360"/>
      </w:pPr>
      <w:rPr>
        <w:rFonts w:ascii="Wingdings 2" w:hAnsi="Wingdings 2" w:hint="default"/>
      </w:rPr>
    </w:lvl>
    <w:lvl w:ilvl="1" w:tplc="8AF41A1A" w:tentative="1">
      <w:start w:val="1"/>
      <w:numFmt w:val="bullet"/>
      <w:lvlText w:val=""/>
      <w:lvlJc w:val="left"/>
      <w:pPr>
        <w:tabs>
          <w:tab w:val="num" w:pos="1440"/>
        </w:tabs>
        <w:ind w:left="1440" w:hanging="360"/>
      </w:pPr>
      <w:rPr>
        <w:rFonts w:ascii="Wingdings 2" w:hAnsi="Wingdings 2" w:hint="default"/>
      </w:rPr>
    </w:lvl>
    <w:lvl w:ilvl="2" w:tplc="DDAEE672" w:tentative="1">
      <w:start w:val="1"/>
      <w:numFmt w:val="bullet"/>
      <w:lvlText w:val=""/>
      <w:lvlJc w:val="left"/>
      <w:pPr>
        <w:tabs>
          <w:tab w:val="num" w:pos="2160"/>
        </w:tabs>
        <w:ind w:left="2160" w:hanging="360"/>
      </w:pPr>
      <w:rPr>
        <w:rFonts w:ascii="Wingdings 2" w:hAnsi="Wingdings 2" w:hint="default"/>
      </w:rPr>
    </w:lvl>
    <w:lvl w:ilvl="3" w:tplc="47B2E880" w:tentative="1">
      <w:start w:val="1"/>
      <w:numFmt w:val="bullet"/>
      <w:lvlText w:val=""/>
      <w:lvlJc w:val="left"/>
      <w:pPr>
        <w:tabs>
          <w:tab w:val="num" w:pos="2880"/>
        </w:tabs>
        <w:ind w:left="2880" w:hanging="360"/>
      </w:pPr>
      <w:rPr>
        <w:rFonts w:ascii="Wingdings 2" w:hAnsi="Wingdings 2" w:hint="default"/>
      </w:rPr>
    </w:lvl>
    <w:lvl w:ilvl="4" w:tplc="25CEA10E" w:tentative="1">
      <w:start w:val="1"/>
      <w:numFmt w:val="bullet"/>
      <w:lvlText w:val=""/>
      <w:lvlJc w:val="left"/>
      <w:pPr>
        <w:tabs>
          <w:tab w:val="num" w:pos="3600"/>
        </w:tabs>
        <w:ind w:left="3600" w:hanging="360"/>
      </w:pPr>
      <w:rPr>
        <w:rFonts w:ascii="Wingdings 2" w:hAnsi="Wingdings 2" w:hint="default"/>
      </w:rPr>
    </w:lvl>
    <w:lvl w:ilvl="5" w:tplc="1BBEC2AA" w:tentative="1">
      <w:start w:val="1"/>
      <w:numFmt w:val="bullet"/>
      <w:lvlText w:val=""/>
      <w:lvlJc w:val="left"/>
      <w:pPr>
        <w:tabs>
          <w:tab w:val="num" w:pos="4320"/>
        </w:tabs>
        <w:ind w:left="4320" w:hanging="360"/>
      </w:pPr>
      <w:rPr>
        <w:rFonts w:ascii="Wingdings 2" w:hAnsi="Wingdings 2" w:hint="default"/>
      </w:rPr>
    </w:lvl>
    <w:lvl w:ilvl="6" w:tplc="6DCEE1E6" w:tentative="1">
      <w:start w:val="1"/>
      <w:numFmt w:val="bullet"/>
      <w:lvlText w:val=""/>
      <w:lvlJc w:val="left"/>
      <w:pPr>
        <w:tabs>
          <w:tab w:val="num" w:pos="5040"/>
        </w:tabs>
        <w:ind w:left="5040" w:hanging="360"/>
      </w:pPr>
      <w:rPr>
        <w:rFonts w:ascii="Wingdings 2" w:hAnsi="Wingdings 2" w:hint="default"/>
      </w:rPr>
    </w:lvl>
    <w:lvl w:ilvl="7" w:tplc="F7A0528C" w:tentative="1">
      <w:start w:val="1"/>
      <w:numFmt w:val="bullet"/>
      <w:lvlText w:val=""/>
      <w:lvlJc w:val="left"/>
      <w:pPr>
        <w:tabs>
          <w:tab w:val="num" w:pos="5760"/>
        </w:tabs>
        <w:ind w:left="5760" w:hanging="360"/>
      </w:pPr>
      <w:rPr>
        <w:rFonts w:ascii="Wingdings 2" w:hAnsi="Wingdings 2" w:hint="default"/>
      </w:rPr>
    </w:lvl>
    <w:lvl w:ilvl="8" w:tplc="25848B44" w:tentative="1">
      <w:start w:val="1"/>
      <w:numFmt w:val="bullet"/>
      <w:lvlText w:val=""/>
      <w:lvlJc w:val="left"/>
      <w:pPr>
        <w:tabs>
          <w:tab w:val="num" w:pos="6480"/>
        </w:tabs>
        <w:ind w:left="6480" w:hanging="360"/>
      </w:pPr>
      <w:rPr>
        <w:rFonts w:ascii="Wingdings 2" w:hAnsi="Wingdings 2"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EE0005"/>
    <w:multiLevelType w:val="hybridMultilevel"/>
    <w:tmpl w:val="D42EA040"/>
    <w:lvl w:ilvl="0" w:tplc="30464000">
      <w:start w:val="1"/>
      <w:numFmt w:val="bullet"/>
      <w:lvlText w:val=""/>
      <w:lvlJc w:val="left"/>
      <w:pPr>
        <w:tabs>
          <w:tab w:val="num" w:pos="720"/>
        </w:tabs>
        <w:ind w:left="720" w:hanging="360"/>
      </w:pPr>
      <w:rPr>
        <w:rFonts w:ascii="Wingdings 2" w:hAnsi="Wingdings 2" w:hint="default"/>
      </w:rPr>
    </w:lvl>
    <w:lvl w:ilvl="1" w:tplc="CA383B3E" w:tentative="1">
      <w:start w:val="1"/>
      <w:numFmt w:val="bullet"/>
      <w:lvlText w:val=""/>
      <w:lvlJc w:val="left"/>
      <w:pPr>
        <w:tabs>
          <w:tab w:val="num" w:pos="1440"/>
        </w:tabs>
        <w:ind w:left="1440" w:hanging="360"/>
      </w:pPr>
      <w:rPr>
        <w:rFonts w:ascii="Wingdings 2" w:hAnsi="Wingdings 2" w:hint="default"/>
      </w:rPr>
    </w:lvl>
    <w:lvl w:ilvl="2" w:tplc="4882FAEC" w:tentative="1">
      <w:start w:val="1"/>
      <w:numFmt w:val="bullet"/>
      <w:lvlText w:val=""/>
      <w:lvlJc w:val="left"/>
      <w:pPr>
        <w:tabs>
          <w:tab w:val="num" w:pos="2160"/>
        </w:tabs>
        <w:ind w:left="2160" w:hanging="360"/>
      </w:pPr>
      <w:rPr>
        <w:rFonts w:ascii="Wingdings 2" w:hAnsi="Wingdings 2" w:hint="default"/>
      </w:rPr>
    </w:lvl>
    <w:lvl w:ilvl="3" w:tplc="E8E4F664" w:tentative="1">
      <w:start w:val="1"/>
      <w:numFmt w:val="bullet"/>
      <w:lvlText w:val=""/>
      <w:lvlJc w:val="left"/>
      <w:pPr>
        <w:tabs>
          <w:tab w:val="num" w:pos="2880"/>
        </w:tabs>
        <w:ind w:left="2880" w:hanging="360"/>
      </w:pPr>
      <w:rPr>
        <w:rFonts w:ascii="Wingdings 2" w:hAnsi="Wingdings 2" w:hint="default"/>
      </w:rPr>
    </w:lvl>
    <w:lvl w:ilvl="4" w:tplc="074660C0" w:tentative="1">
      <w:start w:val="1"/>
      <w:numFmt w:val="bullet"/>
      <w:lvlText w:val=""/>
      <w:lvlJc w:val="left"/>
      <w:pPr>
        <w:tabs>
          <w:tab w:val="num" w:pos="3600"/>
        </w:tabs>
        <w:ind w:left="3600" w:hanging="360"/>
      </w:pPr>
      <w:rPr>
        <w:rFonts w:ascii="Wingdings 2" w:hAnsi="Wingdings 2" w:hint="default"/>
      </w:rPr>
    </w:lvl>
    <w:lvl w:ilvl="5" w:tplc="3BF2033A" w:tentative="1">
      <w:start w:val="1"/>
      <w:numFmt w:val="bullet"/>
      <w:lvlText w:val=""/>
      <w:lvlJc w:val="left"/>
      <w:pPr>
        <w:tabs>
          <w:tab w:val="num" w:pos="4320"/>
        </w:tabs>
        <w:ind w:left="4320" w:hanging="360"/>
      </w:pPr>
      <w:rPr>
        <w:rFonts w:ascii="Wingdings 2" w:hAnsi="Wingdings 2" w:hint="default"/>
      </w:rPr>
    </w:lvl>
    <w:lvl w:ilvl="6" w:tplc="307C4F9C" w:tentative="1">
      <w:start w:val="1"/>
      <w:numFmt w:val="bullet"/>
      <w:lvlText w:val=""/>
      <w:lvlJc w:val="left"/>
      <w:pPr>
        <w:tabs>
          <w:tab w:val="num" w:pos="5040"/>
        </w:tabs>
        <w:ind w:left="5040" w:hanging="360"/>
      </w:pPr>
      <w:rPr>
        <w:rFonts w:ascii="Wingdings 2" w:hAnsi="Wingdings 2" w:hint="default"/>
      </w:rPr>
    </w:lvl>
    <w:lvl w:ilvl="7" w:tplc="8C564442" w:tentative="1">
      <w:start w:val="1"/>
      <w:numFmt w:val="bullet"/>
      <w:lvlText w:val=""/>
      <w:lvlJc w:val="left"/>
      <w:pPr>
        <w:tabs>
          <w:tab w:val="num" w:pos="5760"/>
        </w:tabs>
        <w:ind w:left="5760" w:hanging="360"/>
      </w:pPr>
      <w:rPr>
        <w:rFonts w:ascii="Wingdings 2" w:hAnsi="Wingdings 2" w:hint="default"/>
      </w:rPr>
    </w:lvl>
    <w:lvl w:ilvl="8" w:tplc="F7E23EEC"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0EB39A0"/>
    <w:multiLevelType w:val="hybridMultilevel"/>
    <w:tmpl w:val="E3723ACE"/>
    <w:lvl w:ilvl="0" w:tplc="6E4E0180">
      <w:start w:val="1"/>
      <w:numFmt w:val="bullet"/>
      <w:lvlText w:val=""/>
      <w:lvlJc w:val="left"/>
      <w:pPr>
        <w:tabs>
          <w:tab w:val="num" w:pos="720"/>
        </w:tabs>
        <w:ind w:left="720" w:hanging="360"/>
      </w:pPr>
      <w:rPr>
        <w:rFonts w:ascii="Wingdings 2" w:hAnsi="Wingdings 2" w:hint="default"/>
      </w:rPr>
    </w:lvl>
    <w:lvl w:ilvl="1" w:tplc="D9867278" w:tentative="1">
      <w:start w:val="1"/>
      <w:numFmt w:val="bullet"/>
      <w:lvlText w:val=""/>
      <w:lvlJc w:val="left"/>
      <w:pPr>
        <w:tabs>
          <w:tab w:val="num" w:pos="1440"/>
        </w:tabs>
        <w:ind w:left="1440" w:hanging="360"/>
      </w:pPr>
      <w:rPr>
        <w:rFonts w:ascii="Wingdings 2" w:hAnsi="Wingdings 2" w:hint="default"/>
      </w:rPr>
    </w:lvl>
    <w:lvl w:ilvl="2" w:tplc="E8CA527E" w:tentative="1">
      <w:start w:val="1"/>
      <w:numFmt w:val="bullet"/>
      <w:lvlText w:val=""/>
      <w:lvlJc w:val="left"/>
      <w:pPr>
        <w:tabs>
          <w:tab w:val="num" w:pos="2160"/>
        </w:tabs>
        <w:ind w:left="2160" w:hanging="360"/>
      </w:pPr>
      <w:rPr>
        <w:rFonts w:ascii="Wingdings 2" w:hAnsi="Wingdings 2" w:hint="default"/>
      </w:rPr>
    </w:lvl>
    <w:lvl w:ilvl="3" w:tplc="306E654C" w:tentative="1">
      <w:start w:val="1"/>
      <w:numFmt w:val="bullet"/>
      <w:lvlText w:val=""/>
      <w:lvlJc w:val="left"/>
      <w:pPr>
        <w:tabs>
          <w:tab w:val="num" w:pos="2880"/>
        </w:tabs>
        <w:ind w:left="2880" w:hanging="360"/>
      </w:pPr>
      <w:rPr>
        <w:rFonts w:ascii="Wingdings 2" w:hAnsi="Wingdings 2" w:hint="default"/>
      </w:rPr>
    </w:lvl>
    <w:lvl w:ilvl="4" w:tplc="81C005A8" w:tentative="1">
      <w:start w:val="1"/>
      <w:numFmt w:val="bullet"/>
      <w:lvlText w:val=""/>
      <w:lvlJc w:val="left"/>
      <w:pPr>
        <w:tabs>
          <w:tab w:val="num" w:pos="3600"/>
        </w:tabs>
        <w:ind w:left="3600" w:hanging="360"/>
      </w:pPr>
      <w:rPr>
        <w:rFonts w:ascii="Wingdings 2" w:hAnsi="Wingdings 2" w:hint="default"/>
      </w:rPr>
    </w:lvl>
    <w:lvl w:ilvl="5" w:tplc="44DABDD8" w:tentative="1">
      <w:start w:val="1"/>
      <w:numFmt w:val="bullet"/>
      <w:lvlText w:val=""/>
      <w:lvlJc w:val="left"/>
      <w:pPr>
        <w:tabs>
          <w:tab w:val="num" w:pos="4320"/>
        </w:tabs>
        <w:ind w:left="4320" w:hanging="360"/>
      </w:pPr>
      <w:rPr>
        <w:rFonts w:ascii="Wingdings 2" w:hAnsi="Wingdings 2" w:hint="default"/>
      </w:rPr>
    </w:lvl>
    <w:lvl w:ilvl="6" w:tplc="8FB69A80" w:tentative="1">
      <w:start w:val="1"/>
      <w:numFmt w:val="bullet"/>
      <w:lvlText w:val=""/>
      <w:lvlJc w:val="left"/>
      <w:pPr>
        <w:tabs>
          <w:tab w:val="num" w:pos="5040"/>
        </w:tabs>
        <w:ind w:left="5040" w:hanging="360"/>
      </w:pPr>
      <w:rPr>
        <w:rFonts w:ascii="Wingdings 2" w:hAnsi="Wingdings 2" w:hint="default"/>
      </w:rPr>
    </w:lvl>
    <w:lvl w:ilvl="7" w:tplc="9B98C2FA" w:tentative="1">
      <w:start w:val="1"/>
      <w:numFmt w:val="bullet"/>
      <w:lvlText w:val=""/>
      <w:lvlJc w:val="left"/>
      <w:pPr>
        <w:tabs>
          <w:tab w:val="num" w:pos="5760"/>
        </w:tabs>
        <w:ind w:left="5760" w:hanging="360"/>
      </w:pPr>
      <w:rPr>
        <w:rFonts w:ascii="Wingdings 2" w:hAnsi="Wingdings 2" w:hint="default"/>
      </w:rPr>
    </w:lvl>
    <w:lvl w:ilvl="8" w:tplc="6498A288"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6"/>
  </w:num>
  <w:num w:numId="9">
    <w:abstractNumId w:val="7"/>
  </w:num>
  <w:num w:numId="10">
    <w:abstractNumId w:val="3"/>
  </w:num>
  <w:num w:numId="11">
    <w:abstractNumId w:val="11"/>
  </w:num>
  <w:num w:numId="12">
    <w:abstractNumId w:val="34"/>
  </w:num>
  <w:num w:numId="13">
    <w:abstractNumId w:val="41"/>
  </w:num>
  <w:num w:numId="14">
    <w:abstractNumId w:val="45"/>
  </w:num>
  <w:num w:numId="15">
    <w:abstractNumId w:val="36"/>
  </w:num>
  <w:num w:numId="16">
    <w:abstractNumId w:val="33"/>
  </w:num>
  <w:num w:numId="17">
    <w:abstractNumId w:val="9"/>
  </w:num>
  <w:num w:numId="18">
    <w:abstractNumId w:val="35"/>
  </w:num>
  <w:num w:numId="19">
    <w:abstractNumId w:val="26"/>
  </w:num>
  <w:num w:numId="20">
    <w:abstractNumId w:val="8"/>
  </w:num>
  <w:num w:numId="21">
    <w:abstractNumId w:val="46"/>
  </w:num>
  <w:num w:numId="22">
    <w:abstractNumId w:val="20"/>
  </w:num>
  <w:num w:numId="23">
    <w:abstractNumId w:val="42"/>
  </w:num>
  <w:num w:numId="24">
    <w:abstractNumId w:val="44"/>
  </w:num>
  <w:num w:numId="25">
    <w:abstractNumId w:val="31"/>
  </w:num>
  <w:num w:numId="26">
    <w:abstractNumId w:val="19"/>
  </w:num>
  <w:num w:numId="27">
    <w:abstractNumId w:val="5"/>
  </w:num>
  <w:num w:numId="28">
    <w:abstractNumId w:val="12"/>
  </w:num>
  <w:num w:numId="29">
    <w:abstractNumId w:val="32"/>
  </w:num>
  <w:num w:numId="30">
    <w:abstractNumId w:val="38"/>
  </w:num>
  <w:num w:numId="31">
    <w:abstractNumId w:val="29"/>
  </w:num>
  <w:num w:numId="32">
    <w:abstractNumId w:val="4"/>
  </w:num>
  <w:num w:numId="33">
    <w:abstractNumId w:val="28"/>
  </w:num>
  <w:num w:numId="34">
    <w:abstractNumId w:val="24"/>
  </w:num>
  <w:num w:numId="35">
    <w:abstractNumId w:val="15"/>
  </w:num>
  <w:num w:numId="36">
    <w:abstractNumId w:val="13"/>
  </w:num>
  <w:num w:numId="37">
    <w:abstractNumId w:val="10"/>
  </w:num>
  <w:num w:numId="38">
    <w:abstractNumId w:val="37"/>
  </w:num>
  <w:num w:numId="39">
    <w:abstractNumId w:val="18"/>
  </w:num>
  <w:num w:numId="40">
    <w:abstractNumId w:val="14"/>
  </w:num>
  <w:num w:numId="41">
    <w:abstractNumId w:val="25"/>
  </w:num>
  <w:num w:numId="42">
    <w:abstractNumId w:val="40"/>
  </w:num>
  <w:num w:numId="43">
    <w:abstractNumId w:val="16"/>
  </w:num>
  <w:num w:numId="44">
    <w:abstractNumId w:val="21"/>
  </w:num>
  <w:num w:numId="45">
    <w:abstractNumId w:val="1"/>
  </w:num>
  <w:num w:numId="46">
    <w:abstractNumId w:val="2"/>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376"/>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982"/>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C96"/>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886"/>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813"/>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7FE"/>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09C"/>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53DD"/>
    <w:rsid w:val="007A60DE"/>
    <w:rsid w:val="007A6138"/>
    <w:rsid w:val="007A6DCE"/>
    <w:rsid w:val="007B0168"/>
    <w:rsid w:val="007B0253"/>
    <w:rsid w:val="007B134F"/>
    <w:rsid w:val="007B16B5"/>
    <w:rsid w:val="007B21F8"/>
    <w:rsid w:val="007B29AE"/>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13F71"/>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1309"/>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249A"/>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4B73"/>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3BE3"/>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2E44"/>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27EA"/>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1921"/>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5537"/>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39276232">
      <w:bodyDiv w:val="1"/>
      <w:marLeft w:val="0"/>
      <w:marRight w:val="0"/>
      <w:marTop w:val="0"/>
      <w:marBottom w:val="0"/>
      <w:divBdr>
        <w:top w:val="none" w:sz="0" w:space="0" w:color="auto"/>
        <w:left w:val="none" w:sz="0" w:space="0" w:color="auto"/>
        <w:bottom w:val="none" w:sz="0" w:space="0" w:color="auto"/>
        <w:right w:val="none" w:sz="0" w:space="0" w:color="auto"/>
      </w:divBdr>
      <w:divsChild>
        <w:div w:id="1372993296">
          <w:marLeft w:val="576"/>
          <w:marRight w:val="0"/>
          <w:marTop w:val="120"/>
          <w:marBottom w:val="0"/>
          <w:divBdr>
            <w:top w:val="none" w:sz="0" w:space="0" w:color="auto"/>
            <w:left w:val="none" w:sz="0" w:space="0" w:color="auto"/>
            <w:bottom w:val="none" w:sz="0" w:space="0" w:color="auto"/>
            <w:right w:val="none" w:sz="0" w:space="0" w:color="auto"/>
          </w:divBdr>
        </w:div>
        <w:div w:id="126902001">
          <w:marLeft w:val="576"/>
          <w:marRight w:val="0"/>
          <w:marTop w:val="120"/>
          <w:marBottom w:val="0"/>
          <w:divBdr>
            <w:top w:val="none" w:sz="0" w:space="0" w:color="auto"/>
            <w:left w:val="none" w:sz="0" w:space="0" w:color="auto"/>
            <w:bottom w:val="none" w:sz="0" w:space="0" w:color="auto"/>
            <w:right w:val="none" w:sz="0" w:space="0" w:color="auto"/>
          </w:divBdr>
        </w:div>
        <w:div w:id="1578243776">
          <w:marLeft w:val="576"/>
          <w:marRight w:val="0"/>
          <w:marTop w:val="120"/>
          <w:marBottom w:val="0"/>
          <w:divBdr>
            <w:top w:val="none" w:sz="0" w:space="0" w:color="auto"/>
            <w:left w:val="none" w:sz="0" w:space="0" w:color="auto"/>
            <w:bottom w:val="none" w:sz="0" w:space="0" w:color="auto"/>
            <w:right w:val="none" w:sz="0" w:space="0" w:color="auto"/>
          </w:divBdr>
        </w:div>
        <w:div w:id="1520509431">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3336096">
      <w:bodyDiv w:val="1"/>
      <w:marLeft w:val="0"/>
      <w:marRight w:val="0"/>
      <w:marTop w:val="0"/>
      <w:marBottom w:val="0"/>
      <w:divBdr>
        <w:top w:val="none" w:sz="0" w:space="0" w:color="auto"/>
        <w:left w:val="none" w:sz="0" w:space="0" w:color="auto"/>
        <w:bottom w:val="none" w:sz="0" w:space="0" w:color="auto"/>
        <w:right w:val="none" w:sz="0" w:space="0" w:color="auto"/>
      </w:divBdr>
      <w:divsChild>
        <w:div w:id="412046132">
          <w:marLeft w:val="576"/>
          <w:marRight w:val="0"/>
          <w:marTop w:val="120"/>
          <w:marBottom w:val="0"/>
          <w:divBdr>
            <w:top w:val="none" w:sz="0" w:space="0" w:color="auto"/>
            <w:left w:val="none" w:sz="0" w:space="0" w:color="auto"/>
            <w:bottom w:val="none" w:sz="0" w:space="0" w:color="auto"/>
            <w:right w:val="none" w:sz="0" w:space="0" w:color="auto"/>
          </w:divBdr>
        </w:div>
        <w:div w:id="506094171">
          <w:marLeft w:val="576"/>
          <w:marRight w:val="0"/>
          <w:marTop w:val="120"/>
          <w:marBottom w:val="0"/>
          <w:divBdr>
            <w:top w:val="none" w:sz="0" w:space="0" w:color="auto"/>
            <w:left w:val="none" w:sz="0" w:space="0" w:color="auto"/>
            <w:bottom w:val="none" w:sz="0" w:space="0" w:color="auto"/>
            <w:right w:val="none" w:sz="0" w:space="0" w:color="auto"/>
          </w:divBdr>
        </w:div>
        <w:div w:id="1933511796">
          <w:marLeft w:val="576"/>
          <w:marRight w:val="0"/>
          <w:marTop w:val="120"/>
          <w:marBottom w:val="0"/>
          <w:divBdr>
            <w:top w:val="none" w:sz="0" w:space="0" w:color="auto"/>
            <w:left w:val="none" w:sz="0" w:space="0" w:color="auto"/>
            <w:bottom w:val="none" w:sz="0" w:space="0" w:color="auto"/>
            <w:right w:val="none" w:sz="0" w:space="0" w:color="auto"/>
          </w:divBdr>
        </w:div>
        <w:div w:id="1036732755">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4296707">
      <w:bodyDiv w:val="1"/>
      <w:marLeft w:val="0"/>
      <w:marRight w:val="0"/>
      <w:marTop w:val="0"/>
      <w:marBottom w:val="0"/>
      <w:divBdr>
        <w:top w:val="none" w:sz="0" w:space="0" w:color="auto"/>
        <w:left w:val="none" w:sz="0" w:space="0" w:color="auto"/>
        <w:bottom w:val="none" w:sz="0" w:space="0" w:color="auto"/>
        <w:right w:val="none" w:sz="0" w:space="0" w:color="auto"/>
      </w:divBdr>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35864718">
      <w:bodyDiv w:val="1"/>
      <w:marLeft w:val="0"/>
      <w:marRight w:val="0"/>
      <w:marTop w:val="0"/>
      <w:marBottom w:val="0"/>
      <w:divBdr>
        <w:top w:val="none" w:sz="0" w:space="0" w:color="auto"/>
        <w:left w:val="none" w:sz="0" w:space="0" w:color="auto"/>
        <w:bottom w:val="none" w:sz="0" w:space="0" w:color="auto"/>
        <w:right w:val="none" w:sz="0" w:space="0" w:color="auto"/>
      </w:divBdr>
      <w:divsChild>
        <w:div w:id="1728987732">
          <w:marLeft w:val="576"/>
          <w:marRight w:val="0"/>
          <w:marTop w:val="120"/>
          <w:marBottom w:val="0"/>
          <w:divBdr>
            <w:top w:val="none" w:sz="0" w:space="0" w:color="auto"/>
            <w:left w:val="none" w:sz="0" w:space="0" w:color="auto"/>
            <w:bottom w:val="none" w:sz="0" w:space="0" w:color="auto"/>
            <w:right w:val="none" w:sz="0" w:space="0" w:color="auto"/>
          </w:divBdr>
        </w:div>
        <w:div w:id="1577085337">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11034076">
      <w:bodyDiv w:val="1"/>
      <w:marLeft w:val="0"/>
      <w:marRight w:val="0"/>
      <w:marTop w:val="0"/>
      <w:marBottom w:val="0"/>
      <w:divBdr>
        <w:top w:val="none" w:sz="0" w:space="0" w:color="auto"/>
        <w:left w:val="none" w:sz="0" w:space="0" w:color="auto"/>
        <w:bottom w:val="none" w:sz="0" w:space="0" w:color="auto"/>
        <w:right w:val="none" w:sz="0" w:space="0" w:color="auto"/>
      </w:divBdr>
      <w:divsChild>
        <w:div w:id="101846286">
          <w:marLeft w:val="576"/>
          <w:marRight w:val="0"/>
          <w:marTop w:val="120"/>
          <w:marBottom w:val="0"/>
          <w:divBdr>
            <w:top w:val="none" w:sz="0" w:space="0" w:color="auto"/>
            <w:left w:val="none" w:sz="0" w:space="0" w:color="auto"/>
            <w:bottom w:val="none" w:sz="0" w:space="0" w:color="auto"/>
            <w:right w:val="none" w:sz="0" w:space="0" w:color="auto"/>
          </w:divBdr>
        </w:div>
        <w:div w:id="1255550881">
          <w:marLeft w:val="576"/>
          <w:marRight w:val="0"/>
          <w:marTop w:val="120"/>
          <w:marBottom w:val="0"/>
          <w:divBdr>
            <w:top w:val="none" w:sz="0" w:space="0" w:color="auto"/>
            <w:left w:val="none" w:sz="0" w:space="0" w:color="auto"/>
            <w:bottom w:val="none" w:sz="0" w:space="0" w:color="auto"/>
            <w:right w:val="none" w:sz="0" w:space="0" w:color="auto"/>
          </w:divBdr>
        </w:div>
        <w:div w:id="1221332949">
          <w:marLeft w:val="576"/>
          <w:marRight w:val="0"/>
          <w:marTop w:val="120"/>
          <w:marBottom w:val="0"/>
          <w:divBdr>
            <w:top w:val="none" w:sz="0" w:space="0" w:color="auto"/>
            <w:left w:val="none" w:sz="0" w:space="0" w:color="auto"/>
            <w:bottom w:val="none" w:sz="0" w:space="0" w:color="auto"/>
            <w:right w:val="none" w:sz="0" w:space="0" w:color="auto"/>
          </w:divBdr>
        </w:div>
        <w:div w:id="1835300497">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0667132">
      <w:bodyDiv w:val="1"/>
      <w:marLeft w:val="0"/>
      <w:marRight w:val="0"/>
      <w:marTop w:val="0"/>
      <w:marBottom w:val="0"/>
      <w:divBdr>
        <w:top w:val="none" w:sz="0" w:space="0" w:color="auto"/>
        <w:left w:val="none" w:sz="0" w:space="0" w:color="auto"/>
        <w:bottom w:val="none" w:sz="0" w:space="0" w:color="auto"/>
        <w:right w:val="none" w:sz="0" w:space="0" w:color="auto"/>
      </w:divBdr>
      <w:divsChild>
        <w:div w:id="2001537554">
          <w:marLeft w:val="576"/>
          <w:marRight w:val="0"/>
          <w:marTop w:val="120"/>
          <w:marBottom w:val="0"/>
          <w:divBdr>
            <w:top w:val="none" w:sz="0" w:space="0" w:color="auto"/>
            <w:left w:val="none" w:sz="0" w:space="0" w:color="auto"/>
            <w:bottom w:val="none" w:sz="0" w:space="0" w:color="auto"/>
            <w:right w:val="none" w:sz="0" w:space="0" w:color="auto"/>
          </w:divBdr>
        </w:div>
        <w:div w:id="1761218671">
          <w:marLeft w:val="576"/>
          <w:marRight w:val="0"/>
          <w:marTop w:val="120"/>
          <w:marBottom w:val="0"/>
          <w:divBdr>
            <w:top w:val="none" w:sz="0" w:space="0" w:color="auto"/>
            <w:left w:val="none" w:sz="0" w:space="0" w:color="auto"/>
            <w:bottom w:val="none" w:sz="0" w:space="0" w:color="auto"/>
            <w:right w:val="none" w:sz="0" w:space="0" w:color="auto"/>
          </w:divBdr>
        </w:div>
        <w:div w:id="1900826790">
          <w:marLeft w:val="576"/>
          <w:marRight w:val="0"/>
          <w:marTop w:val="120"/>
          <w:marBottom w:val="0"/>
          <w:divBdr>
            <w:top w:val="none" w:sz="0" w:space="0" w:color="auto"/>
            <w:left w:val="none" w:sz="0" w:space="0" w:color="auto"/>
            <w:bottom w:val="none" w:sz="0" w:space="0" w:color="auto"/>
            <w:right w:val="none" w:sz="0" w:space="0" w:color="auto"/>
          </w:divBdr>
        </w:div>
        <w:div w:id="6061703">
          <w:marLeft w:val="576"/>
          <w:marRight w:val="0"/>
          <w:marTop w:val="120"/>
          <w:marBottom w:val="0"/>
          <w:divBdr>
            <w:top w:val="none" w:sz="0" w:space="0" w:color="auto"/>
            <w:left w:val="none" w:sz="0" w:space="0" w:color="auto"/>
            <w:bottom w:val="none" w:sz="0" w:space="0" w:color="auto"/>
            <w:right w:val="none" w:sz="0" w:space="0" w:color="auto"/>
          </w:divBdr>
        </w:div>
        <w:div w:id="868646712">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61579294">
      <w:bodyDiv w:val="1"/>
      <w:marLeft w:val="0"/>
      <w:marRight w:val="0"/>
      <w:marTop w:val="0"/>
      <w:marBottom w:val="0"/>
      <w:divBdr>
        <w:top w:val="none" w:sz="0" w:space="0" w:color="auto"/>
        <w:left w:val="none" w:sz="0" w:space="0" w:color="auto"/>
        <w:bottom w:val="none" w:sz="0" w:space="0" w:color="auto"/>
        <w:right w:val="none" w:sz="0" w:space="0" w:color="auto"/>
      </w:divBdr>
      <w:divsChild>
        <w:div w:id="972056581">
          <w:marLeft w:val="576"/>
          <w:marRight w:val="0"/>
          <w:marTop w:val="120"/>
          <w:marBottom w:val="0"/>
          <w:divBdr>
            <w:top w:val="none" w:sz="0" w:space="0" w:color="auto"/>
            <w:left w:val="none" w:sz="0" w:space="0" w:color="auto"/>
            <w:bottom w:val="none" w:sz="0" w:space="0" w:color="auto"/>
            <w:right w:val="none" w:sz="0" w:space="0" w:color="auto"/>
          </w:divBdr>
        </w:div>
        <w:div w:id="933711019">
          <w:marLeft w:val="576"/>
          <w:marRight w:val="0"/>
          <w:marTop w:val="120"/>
          <w:marBottom w:val="0"/>
          <w:divBdr>
            <w:top w:val="none" w:sz="0" w:space="0" w:color="auto"/>
            <w:left w:val="none" w:sz="0" w:space="0" w:color="auto"/>
            <w:bottom w:val="none" w:sz="0" w:space="0" w:color="auto"/>
            <w:right w:val="none" w:sz="0" w:space="0" w:color="auto"/>
          </w:divBdr>
        </w:div>
        <w:div w:id="1259412854">
          <w:marLeft w:val="576"/>
          <w:marRight w:val="0"/>
          <w:marTop w:val="120"/>
          <w:marBottom w:val="0"/>
          <w:divBdr>
            <w:top w:val="none" w:sz="0" w:space="0" w:color="auto"/>
            <w:left w:val="none" w:sz="0" w:space="0" w:color="auto"/>
            <w:bottom w:val="none" w:sz="0" w:space="0" w:color="auto"/>
            <w:right w:val="none" w:sz="0" w:space="0" w:color="auto"/>
          </w:divBdr>
        </w:div>
        <w:div w:id="1382972243">
          <w:marLeft w:val="576"/>
          <w:marRight w:val="0"/>
          <w:marTop w:val="120"/>
          <w:marBottom w:val="0"/>
          <w:divBdr>
            <w:top w:val="none" w:sz="0" w:space="0" w:color="auto"/>
            <w:left w:val="none" w:sz="0" w:space="0" w:color="auto"/>
            <w:bottom w:val="none" w:sz="0" w:space="0" w:color="auto"/>
            <w:right w:val="none" w:sz="0" w:space="0" w:color="auto"/>
          </w:divBdr>
        </w:div>
        <w:div w:id="1573927191">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2056698">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61337633">
      <w:bodyDiv w:val="1"/>
      <w:marLeft w:val="0"/>
      <w:marRight w:val="0"/>
      <w:marTop w:val="0"/>
      <w:marBottom w:val="0"/>
      <w:divBdr>
        <w:top w:val="none" w:sz="0" w:space="0" w:color="auto"/>
        <w:left w:val="none" w:sz="0" w:space="0" w:color="auto"/>
        <w:bottom w:val="none" w:sz="0" w:space="0" w:color="auto"/>
        <w:right w:val="none" w:sz="0" w:space="0" w:color="auto"/>
      </w:divBdr>
      <w:divsChild>
        <w:div w:id="1699768564">
          <w:marLeft w:val="576"/>
          <w:marRight w:val="0"/>
          <w:marTop w:val="120"/>
          <w:marBottom w:val="0"/>
          <w:divBdr>
            <w:top w:val="none" w:sz="0" w:space="0" w:color="auto"/>
            <w:left w:val="none" w:sz="0" w:space="0" w:color="auto"/>
            <w:bottom w:val="none" w:sz="0" w:space="0" w:color="auto"/>
            <w:right w:val="none" w:sz="0" w:space="0" w:color="auto"/>
          </w:divBdr>
        </w:div>
        <w:div w:id="1881624741">
          <w:marLeft w:val="576"/>
          <w:marRight w:val="0"/>
          <w:marTop w:val="120"/>
          <w:marBottom w:val="0"/>
          <w:divBdr>
            <w:top w:val="none" w:sz="0" w:space="0" w:color="auto"/>
            <w:left w:val="none" w:sz="0" w:space="0" w:color="auto"/>
            <w:bottom w:val="none" w:sz="0" w:space="0" w:color="auto"/>
            <w:right w:val="none" w:sz="0" w:space="0" w:color="auto"/>
          </w:divBdr>
        </w:div>
        <w:div w:id="1659528943">
          <w:marLeft w:val="576"/>
          <w:marRight w:val="0"/>
          <w:marTop w:val="120"/>
          <w:marBottom w:val="0"/>
          <w:divBdr>
            <w:top w:val="none" w:sz="0" w:space="0" w:color="auto"/>
            <w:left w:val="none" w:sz="0" w:space="0" w:color="auto"/>
            <w:bottom w:val="none" w:sz="0" w:space="0" w:color="auto"/>
            <w:right w:val="none" w:sz="0" w:space="0" w:color="auto"/>
          </w:divBdr>
        </w:div>
        <w:div w:id="291906171">
          <w:marLeft w:val="576"/>
          <w:marRight w:val="0"/>
          <w:marTop w:val="120"/>
          <w:marBottom w:val="0"/>
          <w:divBdr>
            <w:top w:val="none" w:sz="0" w:space="0" w:color="auto"/>
            <w:left w:val="none" w:sz="0" w:space="0" w:color="auto"/>
            <w:bottom w:val="none" w:sz="0" w:space="0" w:color="auto"/>
            <w:right w:val="none" w:sz="0" w:space="0" w:color="auto"/>
          </w:divBdr>
        </w:div>
        <w:div w:id="1600718957">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3601</TotalTime>
  <Pages>14</Pages>
  <Words>1837</Words>
  <Characters>10476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2021-12-25T15:19:00Z</dcterms:modified>
</cp:coreProperties>
</file>