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E20B40" w:rsidRDefault="00E20B40" w:rsidP="00E53AA4">
      <w:pPr>
        <w:spacing w:line="360" w:lineRule="auto"/>
        <w:jc w:val="both"/>
        <w:rPr>
          <w:rFonts w:ascii="Times New Roman" w:hAnsi="Times New Roman" w:cs="Times New Roman"/>
          <w:b/>
          <w:sz w:val="40"/>
          <w:szCs w:val="40"/>
        </w:rPr>
      </w:pPr>
    </w:p>
    <w:p w:rsidR="00CF3C1B" w:rsidRPr="00E20B40" w:rsidRDefault="00E20B40" w:rsidP="00E20B40">
      <w:pPr>
        <w:spacing w:line="360" w:lineRule="auto"/>
        <w:jc w:val="center"/>
        <w:rPr>
          <w:rFonts w:ascii="Times New Roman" w:hAnsi="Times New Roman" w:cs="Times New Roman"/>
          <w:b/>
          <w:bCs/>
          <w:sz w:val="144"/>
          <w:szCs w:val="144"/>
        </w:rPr>
      </w:pPr>
      <w:r w:rsidRPr="00E20B40">
        <w:rPr>
          <w:rFonts w:ascii="Times New Roman" w:hAnsi="Times New Roman" w:cs="Times New Roman"/>
          <w:b/>
          <w:bCs/>
          <w:sz w:val="52"/>
          <w:szCs w:val="52"/>
        </w:rPr>
        <w:t>An Analog LO Harmonic Suppression Technique for SDR Receivers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20B40" w:rsidRDefault="00E20B4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D3F19" w:rsidRDefault="003D3F19" w:rsidP="00E53AA4">
      <w:pPr>
        <w:spacing w:line="360" w:lineRule="auto"/>
        <w:jc w:val="both"/>
        <w:rPr>
          <w:rFonts w:ascii="Times New Roman" w:hAnsi="Times New Roman" w:cs="Times New Roman"/>
          <w:b/>
          <w:sz w:val="32"/>
          <w:szCs w:val="32"/>
        </w:rPr>
      </w:pPr>
      <w:r w:rsidRPr="003D3F19">
        <w:rPr>
          <w:rFonts w:ascii="Times New Roman" w:hAnsi="Times New Roman" w:cs="Times New Roman"/>
          <w:sz w:val="32"/>
          <w:szCs w:val="32"/>
        </w:rPr>
        <w:t>A low-complexity analog technique to suppress the local oscillator (LO) harmonics in software-defined radios is presented. Accurate mathematical analyses show that an effective attenuation of the LO harmonics is achieved by modulating the transconductance of the low-noise transconductance amplifier (LNTA) with a raised-cosine signal. This modulation is performed through the bias network of a cascode device with a negligible increase in the LNTA noise figure. The proposed technique results in a notch at the third harmonic and at least 36 dB of attenuation at the fifth and the seventh harmonics. Experimental results in 130-nm CMOS and postlayout simulation results in 65-nm CMOS verify the proper functionality of the proposed technique and the accuracy of the proposed analyses.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3D3F19" w:rsidRDefault="003D3F19" w:rsidP="003D3F19">
      <w:pPr>
        <w:spacing w:line="360" w:lineRule="auto"/>
        <w:jc w:val="center"/>
        <w:rPr>
          <w:rFonts w:ascii="Times New Roman" w:hAnsi="Times New Roman" w:cs="Times New Roman"/>
          <w:sz w:val="40"/>
          <w:szCs w:val="40"/>
        </w:rPr>
      </w:pPr>
    </w:p>
    <w:p w:rsidR="006A300A" w:rsidRPr="003D03F4" w:rsidRDefault="006A300A" w:rsidP="003D3F1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B7ADC" w:rsidRDefault="00BD315C" w:rsidP="005B7AD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B7ADC">
        <w:rPr>
          <w:rFonts w:ascii="Times New Roman" w:hAnsi="Times New Roman" w:cs="Times New Roman"/>
          <w:sz w:val="32"/>
          <w:szCs w:val="32"/>
          <w:lang w:val="en-IN"/>
        </w:rPr>
        <w:t>The digitally enhanced HR approach is indeed a powerful one; it produces unprecedented HR figures, irrespective of (small) analog mismatches that exist in the analog front-end.</w:t>
      </w:r>
    </w:p>
    <w:p w:rsidR="00000000" w:rsidRPr="005B7ADC" w:rsidRDefault="00BD315C" w:rsidP="005B7AD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B7ADC">
        <w:rPr>
          <w:rFonts w:ascii="Times New Roman" w:hAnsi="Times New Roman" w:cs="Times New Roman"/>
          <w:sz w:val="32"/>
          <w:szCs w:val="32"/>
          <w:lang w:val="en-IN"/>
        </w:rPr>
        <w:t xml:space="preserve">The </w:t>
      </w:r>
      <w:r w:rsidRPr="005B7ADC">
        <w:rPr>
          <w:rFonts w:ascii="Times New Roman" w:hAnsi="Times New Roman" w:cs="Times New Roman"/>
          <w:sz w:val="32"/>
          <w:szCs w:val="32"/>
          <w:lang w:val="en-IN"/>
        </w:rPr>
        <w:t xml:space="preserve">existence of mismatch (random and systematic) in weighting coefficients, LO generation circuitry, downconversion mixers and eventually layout routings is inevitable particularly at lower technology nodes and higher frequencies. </w:t>
      </w:r>
    </w:p>
    <w:p w:rsidR="00000000" w:rsidRPr="005B7ADC" w:rsidRDefault="00BD315C" w:rsidP="005B7AD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B7ADC">
        <w:rPr>
          <w:rFonts w:ascii="Times New Roman" w:hAnsi="Times New Roman" w:cs="Times New Roman"/>
          <w:sz w:val="32"/>
          <w:szCs w:val="32"/>
          <w:lang w:val="en-IN"/>
        </w:rPr>
        <w:t>Many of the existing modul</w:t>
      </w:r>
      <w:r w:rsidRPr="005B7ADC">
        <w:rPr>
          <w:rFonts w:ascii="Times New Roman" w:hAnsi="Times New Roman" w:cs="Times New Roman"/>
          <w:sz w:val="32"/>
          <w:szCs w:val="32"/>
          <w:lang w:val="en-IN"/>
        </w:rPr>
        <w:t xml:space="preserve">ation schemes naturally lend to such frequency decomposition (e.g., OFDM). </w:t>
      </w:r>
    </w:p>
    <w:p w:rsidR="00F936BC" w:rsidRPr="005B7ADC" w:rsidRDefault="00BD315C" w:rsidP="005B7AD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B7ADC">
        <w:rPr>
          <w:rFonts w:ascii="Times New Roman" w:hAnsi="Times New Roman" w:cs="Times New Roman"/>
          <w:sz w:val="32"/>
          <w:szCs w:val="32"/>
          <w:lang w:val="en-IN"/>
        </w:rPr>
        <w:t>The high output impedance of the following switching mixer amplifies the wanted channel, while the blocker suppression is realized by designing this output impedance to be low out</w:t>
      </w:r>
      <w:r w:rsidRPr="005B7ADC">
        <w:rPr>
          <w:rFonts w:ascii="Times New Roman" w:hAnsi="Times New Roman" w:cs="Times New Roman"/>
          <w:sz w:val="32"/>
          <w:szCs w:val="32"/>
          <w:lang w:val="en-IN"/>
        </w:rPr>
        <w:t>side of the wanted channel, where the blocker exists.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57777" w:rsidRDefault="00BD315C" w:rsidP="00B57777">
      <w:pPr>
        <w:numPr>
          <w:ilvl w:val="0"/>
          <w:numId w:val="45"/>
        </w:numPr>
        <w:spacing w:line="360" w:lineRule="auto"/>
        <w:jc w:val="both"/>
        <w:rPr>
          <w:rFonts w:ascii="Times New Roman" w:hAnsi="Times New Roman" w:cs="Times New Roman"/>
          <w:bCs/>
          <w:sz w:val="32"/>
          <w:szCs w:val="32"/>
          <w:lang w:val="en-IN"/>
        </w:rPr>
      </w:pPr>
      <w:r w:rsidRPr="00B57777">
        <w:rPr>
          <w:rFonts w:ascii="Times New Roman" w:hAnsi="Times New Roman" w:cs="Times New Roman"/>
          <w:bCs/>
          <w:sz w:val="32"/>
          <w:szCs w:val="32"/>
          <w:lang w:val="en-IN"/>
        </w:rPr>
        <w:t>The base-band AC coupling has an important impact on the DC offset of the receiver.</w:t>
      </w:r>
    </w:p>
    <w:p w:rsidR="00000000" w:rsidRPr="00B57777" w:rsidRDefault="00BD315C" w:rsidP="00B57777">
      <w:pPr>
        <w:numPr>
          <w:ilvl w:val="0"/>
          <w:numId w:val="45"/>
        </w:numPr>
        <w:spacing w:line="360" w:lineRule="auto"/>
        <w:jc w:val="both"/>
        <w:rPr>
          <w:rFonts w:ascii="Times New Roman" w:hAnsi="Times New Roman" w:cs="Times New Roman"/>
          <w:bCs/>
          <w:sz w:val="32"/>
          <w:szCs w:val="32"/>
          <w:lang w:val="en-IN"/>
        </w:rPr>
      </w:pPr>
      <w:r w:rsidRPr="00B57777">
        <w:rPr>
          <w:rFonts w:ascii="Times New Roman" w:hAnsi="Times New Roman" w:cs="Times New Roman"/>
          <w:bCs/>
          <w:sz w:val="32"/>
          <w:szCs w:val="32"/>
          <w:lang w:val="en-IN"/>
        </w:rPr>
        <w:t>To avoid self-mixing issue at the baseband, we used simple high pass filters prior to digital sampling.</w:t>
      </w:r>
    </w:p>
    <w:p w:rsidR="00000000" w:rsidRPr="00B57777" w:rsidRDefault="00BD315C" w:rsidP="00B57777">
      <w:pPr>
        <w:numPr>
          <w:ilvl w:val="0"/>
          <w:numId w:val="45"/>
        </w:numPr>
        <w:spacing w:line="360" w:lineRule="auto"/>
        <w:jc w:val="both"/>
        <w:rPr>
          <w:rFonts w:ascii="Times New Roman" w:hAnsi="Times New Roman" w:cs="Times New Roman"/>
          <w:bCs/>
          <w:sz w:val="32"/>
          <w:szCs w:val="32"/>
          <w:lang w:val="en-IN"/>
        </w:rPr>
      </w:pPr>
      <w:r w:rsidRPr="00B57777">
        <w:rPr>
          <w:rFonts w:ascii="Times New Roman" w:hAnsi="Times New Roman" w:cs="Times New Roman"/>
          <w:bCs/>
          <w:sz w:val="32"/>
          <w:szCs w:val="32"/>
          <w:lang w:val="en-IN"/>
        </w:rPr>
        <w:lastRenderedPageBreak/>
        <w:t>To understa</w:t>
      </w:r>
      <w:r w:rsidRPr="00B57777">
        <w:rPr>
          <w:rFonts w:ascii="Times New Roman" w:hAnsi="Times New Roman" w:cs="Times New Roman"/>
          <w:bCs/>
          <w:sz w:val="32"/>
          <w:szCs w:val="32"/>
          <w:lang w:val="en-IN"/>
        </w:rPr>
        <w:t>nd the impact of the receiver noise performance on the overall array energy efficiency, we will compare the transmitter (TX) and the receiver (RX) behavior in large arrays.</w:t>
      </w:r>
    </w:p>
    <w:p w:rsidR="00F94960" w:rsidRPr="00B57777" w:rsidRDefault="00BD315C" w:rsidP="00E53AA4">
      <w:pPr>
        <w:numPr>
          <w:ilvl w:val="0"/>
          <w:numId w:val="45"/>
        </w:numPr>
        <w:spacing w:line="360" w:lineRule="auto"/>
        <w:jc w:val="both"/>
        <w:rPr>
          <w:rFonts w:ascii="Times New Roman" w:hAnsi="Times New Roman" w:cs="Times New Roman"/>
          <w:bCs/>
          <w:sz w:val="32"/>
          <w:szCs w:val="32"/>
          <w:lang w:val="en-IN"/>
        </w:rPr>
      </w:pPr>
      <w:r w:rsidRPr="00B57777">
        <w:rPr>
          <w:rFonts w:ascii="Times New Roman" w:hAnsi="Times New Roman" w:cs="Times New Roman"/>
          <w:bCs/>
          <w:sz w:val="32"/>
          <w:szCs w:val="32"/>
          <w:lang w:val="en-IN"/>
        </w:rPr>
        <w:t>To minimize the leakage of the pmos devices when turned off, high-threshold device</w:t>
      </w:r>
      <w:r w:rsidRPr="00B57777">
        <w:rPr>
          <w:rFonts w:ascii="Times New Roman" w:hAnsi="Times New Roman" w:cs="Times New Roman"/>
          <w:bCs/>
          <w:sz w:val="32"/>
          <w:szCs w:val="32"/>
          <w:lang w:val="en-IN"/>
        </w:rPr>
        <w:t xml:space="preserve">s are used. It was tested that even for FF corner (lowest threshold voltage) the leakage is small enough to have a negligible impact on the waveform at the lowest frequency of 1GHz.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D5E83" w:rsidRPr="00BD5E83" w:rsidRDefault="00BD5E83" w:rsidP="00BD5E83">
      <w:pPr>
        <w:pStyle w:val="NormalWeb"/>
        <w:numPr>
          <w:ilvl w:val="0"/>
          <w:numId w:val="46"/>
        </w:numPr>
        <w:spacing w:before="0" w:beforeAutospacing="0" w:after="0" w:afterAutospacing="0" w:line="360" w:lineRule="auto"/>
        <w:ind w:left="426"/>
        <w:jc w:val="both"/>
        <w:rPr>
          <w:sz w:val="32"/>
          <w:szCs w:val="32"/>
        </w:rPr>
      </w:pPr>
      <w:r w:rsidRPr="00BD5E83">
        <w:rPr>
          <w:sz w:val="32"/>
          <w:szCs w:val="32"/>
        </w:rPr>
        <w:t xml:space="preserve">We propose a digitally enhanced HR architecture exploiting digital adaptive interference cancelling (AIC). </w:t>
      </w:r>
    </w:p>
    <w:p w:rsidR="00BD5E83" w:rsidRPr="00BD5E83" w:rsidRDefault="00BD5E83" w:rsidP="00BD5E83">
      <w:pPr>
        <w:pStyle w:val="NormalWeb"/>
        <w:numPr>
          <w:ilvl w:val="0"/>
          <w:numId w:val="46"/>
        </w:numPr>
        <w:spacing w:before="0" w:beforeAutospacing="0" w:after="0" w:afterAutospacing="0" w:line="360" w:lineRule="auto"/>
        <w:ind w:left="426"/>
        <w:jc w:val="both"/>
        <w:rPr>
          <w:sz w:val="32"/>
          <w:szCs w:val="32"/>
        </w:rPr>
      </w:pPr>
      <w:r w:rsidRPr="00BD5E83">
        <w:rPr>
          <w:sz w:val="32"/>
          <w:szCs w:val="32"/>
        </w:rPr>
        <w:t xml:space="preserve">An analog two-stage polyphase HR concept is proposed to greatly enhance the amplitude accuracy for both third and fifth harmonics so that the total amplitude error becomes product of errors. </w:t>
      </w:r>
    </w:p>
    <w:p w:rsidR="00BD5E83" w:rsidRPr="00BD5E83" w:rsidRDefault="00BD5E83" w:rsidP="00BD5E83">
      <w:pPr>
        <w:pStyle w:val="NormalWeb"/>
        <w:numPr>
          <w:ilvl w:val="0"/>
          <w:numId w:val="46"/>
        </w:numPr>
        <w:spacing w:before="0" w:beforeAutospacing="0" w:after="0" w:afterAutospacing="0" w:line="360" w:lineRule="auto"/>
        <w:ind w:left="426"/>
        <w:jc w:val="both"/>
        <w:rPr>
          <w:sz w:val="32"/>
          <w:szCs w:val="32"/>
        </w:rPr>
      </w:pPr>
      <w:r w:rsidRPr="00BD5E83">
        <w:rPr>
          <w:sz w:val="32"/>
          <w:szCs w:val="32"/>
        </w:rPr>
        <w:t xml:space="preserve">To improve resilience of such receivers to LO harmonic interferers, a digitally-assisted dual-path receiver with nonuniform LO phases is proposed which employs an adaptive digital equalizer to suppress distortion products. </w:t>
      </w:r>
    </w:p>
    <w:p w:rsidR="003A5D44" w:rsidRDefault="00BD5E83" w:rsidP="00E53AA4">
      <w:pPr>
        <w:pStyle w:val="NormalWeb"/>
        <w:numPr>
          <w:ilvl w:val="0"/>
          <w:numId w:val="46"/>
        </w:numPr>
        <w:spacing w:before="0" w:beforeAutospacing="0" w:after="0" w:afterAutospacing="0" w:line="360" w:lineRule="auto"/>
        <w:ind w:left="426"/>
        <w:jc w:val="both"/>
        <w:rPr>
          <w:sz w:val="32"/>
          <w:szCs w:val="32"/>
        </w:rPr>
      </w:pPr>
      <w:r w:rsidRPr="00BD5E83">
        <w:rPr>
          <w:sz w:val="32"/>
          <w:szCs w:val="32"/>
        </w:rPr>
        <w:t>In the proposed 4-phase dual-path receiver, the MMSE equalizer minimizes the LO harmonic distortion while accounting for the noise correlation among the polyphase paths to achieve high HRR and low NF values.</w:t>
      </w:r>
    </w:p>
    <w:p w:rsidR="00BD5E83" w:rsidRPr="00BD5E83" w:rsidRDefault="00BD5E83" w:rsidP="00BD5E83">
      <w:pPr>
        <w:pStyle w:val="NormalWeb"/>
        <w:spacing w:before="0" w:beforeAutospacing="0" w:after="0" w:afterAutospacing="0" w:line="360" w:lineRule="auto"/>
        <w:ind w:left="426"/>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A69E4" w:rsidRDefault="00BD315C" w:rsidP="00DA69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69E4">
        <w:rPr>
          <w:rFonts w:ascii="Times New Roman" w:eastAsia="AdvGulliv-R" w:hAnsi="Times New Roman" w:cs="Times New Roman"/>
          <w:bCs/>
          <w:sz w:val="32"/>
          <w:szCs w:val="32"/>
          <w:lang w:val="en-IN"/>
        </w:rPr>
        <w:t>If the harmonic interferer statistics remains approximately constant, which can be readily measured by monitoring changes in the covarianc</w:t>
      </w:r>
      <w:r w:rsidRPr="00DA69E4">
        <w:rPr>
          <w:rFonts w:ascii="Times New Roman" w:eastAsia="AdvGulliv-R" w:hAnsi="Times New Roman" w:cs="Times New Roman"/>
          <w:bCs/>
          <w:sz w:val="32"/>
          <w:szCs w:val="32"/>
          <w:lang w:val="en-IN"/>
        </w:rPr>
        <w:t xml:space="preserve">e matrix elements that is constantly updated based on each digitized samples, the equalizer coefficients need not be changed and one-time calibration would be sufficient. </w:t>
      </w:r>
    </w:p>
    <w:p w:rsidR="00000000" w:rsidRPr="00DA69E4" w:rsidRDefault="00BD315C" w:rsidP="00DA69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69E4">
        <w:rPr>
          <w:rFonts w:ascii="Times New Roman" w:eastAsia="AdvGulliv-R" w:hAnsi="Times New Roman" w:cs="Times New Roman"/>
          <w:bCs/>
          <w:sz w:val="32"/>
          <w:szCs w:val="32"/>
          <w:lang w:val="en-IN"/>
        </w:rPr>
        <w:t>Although this tuning process is foreground and should be performed during the start</w:t>
      </w:r>
      <w:r w:rsidRPr="00DA69E4">
        <w:rPr>
          <w:rFonts w:ascii="Times New Roman" w:eastAsia="AdvGulliv-R" w:hAnsi="Times New Roman" w:cs="Times New Roman"/>
          <w:bCs/>
          <w:sz w:val="32"/>
          <w:szCs w:val="32"/>
          <w:lang w:val="en-IN"/>
        </w:rPr>
        <w:t>up, similar to many other foreground tuning techniques, the temperature can affect the tuned coefficients.</w:t>
      </w:r>
    </w:p>
    <w:p w:rsidR="00000000" w:rsidRPr="00DA69E4" w:rsidRDefault="00BD315C" w:rsidP="00DA69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69E4">
        <w:rPr>
          <w:rFonts w:ascii="Times New Roman" w:eastAsia="AdvGulliv-R" w:hAnsi="Times New Roman" w:cs="Times New Roman"/>
          <w:bCs/>
          <w:sz w:val="32"/>
          <w:szCs w:val="32"/>
          <w:lang w:val="en-IN"/>
        </w:rPr>
        <w:t>The single and joint harmonic matching performance of a zero-IF M-phase mixer-first receiver is analyzed.</w:t>
      </w:r>
    </w:p>
    <w:p w:rsidR="00D81E16" w:rsidRPr="00DA69E4" w:rsidRDefault="00BD315C" w:rsidP="00DA69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69E4">
        <w:rPr>
          <w:rFonts w:ascii="Times New Roman" w:eastAsia="AdvGulliv-R" w:hAnsi="Times New Roman" w:cs="Times New Roman"/>
          <w:bCs/>
          <w:sz w:val="32"/>
          <w:szCs w:val="32"/>
          <w:lang w:val="en-IN"/>
        </w:rPr>
        <w:t>Digital compensation of harmonic distorti</w:t>
      </w:r>
      <w:r w:rsidRPr="00DA69E4">
        <w:rPr>
          <w:rFonts w:ascii="Times New Roman" w:eastAsia="AdvGulliv-R" w:hAnsi="Times New Roman" w:cs="Times New Roman"/>
          <w:bCs/>
          <w:sz w:val="32"/>
          <w:szCs w:val="32"/>
          <w:lang w:val="en-IN"/>
        </w:rPr>
        <w:t xml:space="preserve">on is employed to achieve robust and high-performance harmonic rejection.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DA69E4" w:rsidRDefault="00DA69E4" w:rsidP="00E53AA4">
      <w:pPr>
        <w:tabs>
          <w:tab w:val="left" w:pos="720"/>
          <w:tab w:val="left" w:pos="3390"/>
        </w:tabs>
        <w:spacing w:after="100" w:line="360" w:lineRule="auto"/>
        <w:jc w:val="both"/>
        <w:rPr>
          <w:rFonts w:ascii="Times New Roman" w:hAnsi="Times New Roman" w:cs="Times New Roman"/>
          <w:b/>
          <w:sz w:val="28"/>
          <w:szCs w:val="28"/>
        </w:rPr>
      </w:pPr>
    </w:p>
    <w:p w:rsidR="00DA69E4" w:rsidRDefault="00DA69E4"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067C3" w:rsidP="001067C3">
      <w:pPr>
        <w:spacing w:after="0" w:line="360" w:lineRule="auto"/>
        <w:jc w:val="center"/>
        <w:rPr>
          <w:rFonts w:ascii="Times New Roman" w:hAnsi="Times New Roman" w:cs="Times New Roman"/>
        </w:rPr>
      </w:pPr>
      <w:r w:rsidRPr="001067C3">
        <w:rPr>
          <w:rFonts w:ascii="Times New Roman" w:hAnsi="Times New Roman" w:cs="Times New Roman"/>
        </w:rPr>
        <w:drawing>
          <wp:inline distT="0" distB="0" distL="0" distR="0">
            <wp:extent cx="5943600" cy="49625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9625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1067C3">
      <w:pPr>
        <w:spacing w:after="0" w:line="360" w:lineRule="auto"/>
        <w:jc w:val="center"/>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E2E86" w:rsidRPr="00AE2E86" w:rsidRDefault="00AE2E86" w:rsidP="00AE2E86">
      <w:pPr>
        <w:pStyle w:val="BodyText"/>
        <w:rPr>
          <w:bCs/>
          <w:iCs/>
          <w:sz w:val="32"/>
          <w:szCs w:val="32"/>
          <w:lang w:val="en-IN"/>
        </w:rPr>
      </w:pPr>
      <w:r w:rsidRPr="00AE2E86">
        <w:rPr>
          <w:bCs/>
          <w:iCs/>
          <w:sz w:val="32"/>
          <w:szCs w:val="32"/>
          <w:lang w:val="en-IN"/>
        </w:rPr>
        <w:t xml:space="preserve">    This paper presented a low-complexity analog technique to mitigate LO harmonic mixing in SDR applications. It is shown that modulating the transconductance of the LNTA with a raised-cosine signal attenuates the LO harmonic mixing gain. This transconductance modulation is implemented using the bias voltage of a cascode device. The increase in the noise figure due to the proposed technique is negligible. Moreover, the amount of suppression of the proposed technique in different LO harmonics is analytically verified. The technique was demonstrated to effectively improve the harmonic rejection with relatively low-power consumption. It was also shown to apply uniformly to two CMOS technology nodes: 65 nm (postlayout simulation) and 130 nm (measurement).</w:t>
      </w:r>
      <w:r w:rsidRPr="00AE2E8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E2E86" w:rsidRDefault="00AE2E86" w:rsidP="00E53AA4">
      <w:pPr>
        <w:pStyle w:val="BodyText"/>
        <w:rPr>
          <w:b/>
          <w:iCs/>
          <w:sz w:val="28"/>
          <w:szCs w:val="28"/>
        </w:rPr>
      </w:pPr>
    </w:p>
    <w:p w:rsidR="00AE2E86" w:rsidRDefault="00AE2E86" w:rsidP="00E53AA4">
      <w:pPr>
        <w:pStyle w:val="BodyText"/>
        <w:rPr>
          <w:b/>
          <w:iCs/>
          <w:sz w:val="28"/>
          <w:szCs w:val="28"/>
        </w:rPr>
      </w:pPr>
    </w:p>
    <w:p w:rsidR="00AE2E86" w:rsidRDefault="00AE2E86" w:rsidP="00E53AA4">
      <w:pPr>
        <w:pStyle w:val="BodyText"/>
        <w:rPr>
          <w:b/>
          <w:iCs/>
          <w:sz w:val="28"/>
          <w:szCs w:val="28"/>
        </w:rPr>
      </w:pPr>
    </w:p>
    <w:p w:rsidR="00AE2E86" w:rsidRDefault="00AE2E86" w:rsidP="00E53AA4">
      <w:pPr>
        <w:pStyle w:val="BodyText"/>
        <w:rPr>
          <w:b/>
          <w:iCs/>
          <w:sz w:val="28"/>
          <w:szCs w:val="28"/>
        </w:rPr>
      </w:pPr>
    </w:p>
    <w:p w:rsidR="00AE2E86" w:rsidRDefault="00AE2E86" w:rsidP="00E53AA4">
      <w:pPr>
        <w:pStyle w:val="BodyText"/>
        <w:rPr>
          <w:b/>
          <w:iCs/>
          <w:sz w:val="28"/>
          <w:szCs w:val="28"/>
        </w:rPr>
      </w:pPr>
    </w:p>
    <w:p w:rsidR="00AE2E86" w:rsidRDefault="00AE2E86" w:rsidP="00E53AA4">
      <w:pPr>
        <w:pStyle w:val="BodyText"/>
        <w:rPr>
          <w:b/>
          <w:iCs/>
          <w:sz w:val="28"/>
          <w:szCs w:val="28"/>
        </w:rPr>
      </w:pPr>
    </w:p>
    <w:p w:rsidR="00AE2E86" w:rsidRDefault="00AE2E86" w:rsidP="00E53AA4">
      <w:pPr>
        <w:pStyle w:val="BodyText"/>
        <w:rPr>
          <w:b/>
          <w:iCs/>
          <w:sz w:val="28"/>
          <w:szCs w:val="28"/>
        </w:rPr>
      </w:pPr>
    </w:p>
    <w:p w:rsidR="00AE2E86" w:rsidRDefault="00AE2E86" w:rsidP="00E53AA4">
      <w:pPr>
        <w:pStyle w:val="BodyText"/>
        <w:rPr>
          <w:b/>
          <w:iCs/>
          <w:sz w:val="28"/>
          <w:szCs w:val="28"/>
        </w:rPr>
      </w:pPr>
    </w:p>
    <w:p w:rsidR="00AE2E86" w:rsidRDefault="00AE2E8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4A782D" w:rsidRPr="00D13B90" w:rsidRDefault="007F2C57" w:rsidP="00D13B90">
      <w:pPr>
        <w:pStyle w:val="BodyText"/>
        <w:numPr>
          <w:ilvl w:val="0"/>
          <w:numId w:val="42"/>
        </w:numPr>
        <w:rPr>
          <w:sz w:val="32"/>
          <w:szCs w:val="32"/>
          <w:lang w:val="en-IN"/>
        </w:rPr>
      </w:pPr>
      <w:r w:rsidRPr="00D13B90">
        <w:rPr>
          <w:sz w:val="32"/>
          <w:szCs w:val="32"/>
          <w:lang w:val="en-IN"/>
        </w:rPr>
        <w:t xml:space="preserve">[1] J. Mitola, “The software radio architecture,” IEEE Commun. Mag., vol. 33, no. 5, pp. 26–38, May 1995. </w:t>
      </w:r>
    </w:p>
    <w:p w:rsidR="004A782D" w:rsidRPr="00D13B90" w:rsidRDefault="007F2C57" w:rsidP="00D13B90">
      <w:pPr>
        <w:pStyle w:val="BodyText"/>
        <w:numPr>
          <w:ilvl w:val="0"/>
          <w:numId w:val="42"/>
        </w:numPr>
        <w:rPr>
          <w:sz w:val="32"/>
          <w:szCs w:val="32"/>
          <w:lang w:val="en-IN"/>
        </w:rPr>
      </w:pPr>
      <w:r w:rsidRPr="00D13B90">
        <w:rPr>
          <w:sz w:val="32"/>
          <w:szCs w:val="32"/>
          <w:lang w:val="en-IN"/>
        </w:rPr>
        <w:t xml:space="preserve">[2] B. Murmann, “A/D converter trends: Power dissipation, scaling and digitally assisted architectures,” in Proc. IEEE CICC Conf., Sep. 2008, pp. 105–112. </w:t>
      </w:r>
    </w:p>
    <w:p w:rsidR="004A782D" w:rsidRPr="00D13B90" w:rsidRDefault="007F2C57" w:rsidP="00D13B90">
      <w:pPr>
        <w:pStyle w:val="BodyText"/>
        <w:numPr>
          <w:ilvl w:val="0"/>
          <w:numId w:val="42"/>
        </w:numPr>
        <w:rPr>
          <w:sz w:val="32"/>
          <w:szCs w:val="32"/>
          <w:lang w:val="en-IN"/>
        </w:rPr>
      </w:pPr>
      <w:r w:rsidRPr="00D13B90">
        <w:rPr>
          <w:sz w:val="32"/>
          <w:szCs w:val="32"/>
          <w:lang w:val="en-IN"/>
        </w:rPr>
        <w:t xml:space="preserve">[3] R. Bagheri et al., “An 800-MHz–6-GHz software-defined wireless receiver in 90-nm CMOS,” IEEE J. Solid-State Circuits, vol. 41, no. 12, pp. 2860–2876, Dec. 2006. </w:t>
      </w:r>
    </w:p>
    <w:p w:rsidR="004A782D" w:rsidRPr="00D13B90" w:rsidRDefault="007F2C57" w:rsidP="00D13B90">
      <w:pPr>
        <w:pStyle w:val="BodyText"/>
        <w:numPr>
          <w:ilvl w:val="0"/>
          <w:numId w:val="42"/>
        </w:numPr>
        <w:rPr>
          <w:sz w:val="32"/>
          <w:szCs w:val="32"/>
          <w:lang w:val="en-IN"/>
        </w:rPr>
      </w:pPr>
      <w:r w:rsidRPr="00D13B90">
        <w:rPr>
          <w:sz w:val="32"/>
          <w:szCs w:val="32"/>
          <w:lang w:val="en-IN"/>
        </w:rPr>
        <w:t xml:space="preserve">[4] D. T. Lin, L. Li, S. Farahani, and M. P. Flynn, “A flexible 500 MHz to 3.6 GHz wireless receiver with configurable DT FIR and IIR filter embedded in a 7b 21 MS/s SAR ADC,” IEEE Trans. Circuits Syst. I, Reg. Papers, vol. 59, no. 12, pp. 2846–2857, Dec. 2012. </w:t>
      </w:r>
    </w:p>
    <w:p w:rsidR="004A782D" w:rsidRPr="00D13B90" w:rsidRDefault="007F2C57" w:rsidP="00D13B90">
      <w:pPr>
        <w:pStyle w:val="BodyText"/>
        <w:numPr>
          <w:ilvl w:val="0"/>
          <w:numId w:val="42"/>
        </w:numPr>
        <w:rPr>
          <w:sz w:val="32"/>
          <w:szCs w:val="32"/>
          <w:lang w:val="en-IN"/>
        </w:rPr>
      </w:pPr>
      <w:r w:rsidRPr="00D13B90">
        <w:rPr>
          <w:sz w:val="32"/>
          <w:szCs w:val="32"/>
          <w:lang w:val="en-IN"/>
        </w:rPr>
        <w:t>[5] H. Seo, I. Choi, C. Park, J. Yoon, and B. Kim, “A wideband digital RF receiver front-end employing a new discrete-time filter for m-WiMAX,” IEEE J. Solid-State Circuits, vol. 47, no. 5, pp. 1165–1174, May 2012.</w:t>
      </w:r>
      <w:r w:rsidRPr="00D13B90">
        <w:rPr>
          <w:sz w:val="32"/>
          <w:szCs w:val="32"/>
        </w:rPr>
        <w:t xml:space="preserve"> </w:t>
      </w:r>
    </w:p>
    <w:p w:rsidR="004A782D" w:rsidRPr="00D13B90" w:rsidRDefault="007F2C57" w:rsidP="00D13B90">
      <w:pPr>
        <w:pStyle w:val="BodyText"/>
        <w:numPr>
          <w:ilvl w:val="0"/>
          <w:numId w:val="42"/>
        </w:numPr>
        <w:rPr>
          <w:sz w:val="32"/>
          <w:szCs w:val="32"/>
          <w:lang w:val="en-IN"/>
        </w:rPr>
      </w:pPr>
      <w:r w:rsidRPr="00D13B90">
        <w:rPr>
          <w:sz w:val="32"/>
          <w:szCs w:val="32"/>
          <w:lang w:val="en-IN"/>
        </w:rPr>
        <w:t xml:space="preserve">[6] Z. Ru, E. A. M. Klumperink, and B. Nauta, “Discrete-time mixing receiver architecture for RF-sampling software-defined radio,” IEEE J. Solid-State Circuits, vol. 45, no. 9, pp. 1732–1745, Sep. 2010. </w:t>
      </w:r>
    </w:p>
    <w:p w:rsidR="004A782D" w:rsidRPr="00D13B90" w:rsidRDefault="007F2C57" w:rsidP="00D13B90">
      <w:pPr>
        <w:pStyle w:val="BodyText"/>
        <w:numPr>
          <w:ilvl w:val="0"/>
          <w:numId w:val="42"/>
        </w:numPr>
        <w:rPr>
          <w:sz w:val="32"/>
          <w:szCs w:val="32"/>
          <w:lang w:val="en-IN"/>
        </w:rPr>
      </w:pPr>
      <w:r w:rsidRPr="00D13B90">
        <w:rPr>
          <w:sz w:val="32"/>
          <w:szCs w:val="32"/>
          <w:lang w:val="en-IN"/>
        </w:rPr>
        <w:lastRenderedPageBreak/>
        <w:t xml:space="preserve">[7] A. Geis, J. Ryckaert, L. Bos, G. Vandersteen, Y. Rolain, and J. Craninckx, “A 0.5 mm2 power-scalable 0.5–3.8-GHz CMOS DT-SDR receiver with second-order RF band-pass sampler,” IEEE J. Solid-State Circuits, vol. 45, no. 11, pp. 2375–2387, Nov. 2010. </w:t>
      </w:r>
    </w:p>
    <w:p w:rsidR="004A782D" w:rsidRPr="00D13B90" w:rsidRDefault="007F2C57" w:rsidP="00D13B90">
      <w:pPr>
        <w:pStyle w:val="BodyText"/>
        <w:numPr>
          <w:ilvl w:val="0"/>
          <w:numId w:val="42"/>
        </w:numPr>
        <w:rPr>
          <w:sz w:val="32"/>
          <w:szCs w:val="32"/>
          <w:lang w:val="en-IN"/>
        </w:rPr>
      </w:pPr>
      <w:r w:rsidRPr="00D13B90">
        <w:rPr>
          <w:sz w:val="32"/>
          <w:szCs w:val="32"/>
          <w:lang w:val="en-IN"/>
        </w:rPr>
        <w:t xml:space="preserve">[8] R. B. Staszewski et al., “All-digital TX frequency synthesizer and discrete-time receiver for Bluetooth radio in 130-nm CMOS,” IEEE J. Solid-State Circuits, vol. 39, no. 12, pp. 2278–2291, Dec. 2004. </w:t>
      </w:r>
    </w:p>
    <w:p w:rsidR="004A782D" w:rsidRPr="00D13B90" w:rsidRDefault="007F2C57" w:rsidP="00D13B90">
      <w:pPr>
        <w:pStyle w:val="BodyText"/>
        <w:numPr>
          <w:ilvl w:val="0"/>
          <w:numId w:val="42"/>
        </w:numPr>
        <w:rPr>
          <w:sz w:val="32"/>
          <w:szCs w:val="32"/>
          <w:lang w:val="en-IN"/>
        </w:rPr>
      </w:pPr>
      <w:r w:rsidRPr="00D13B90">
        <w:rPr>
          <w:sz w:val="32"/>
          <w:szCs w:val="32"/>
          <w:lang w:val="en-IN"/>
        </w:rPr>
        <w:t>[9] D. Jakonis, K. Folkesson, J. Dbrowski, P. Eriksson, and C. Svensson, “A 2.4-GHz RF sampling receiver front-end in 0.18-</w:t>
      </w:r>
      <w:r w:rsidRPr="00D13B90">
        <w:rPr>
          <w:sz w:val="32"/>
          <w:szCs w:val="32"/>
          <w:lang w:val="el-GR"/>
        </w:rPr>
        <w:t>μ</w:t>
      </w:r>
      <w:r w:rsidRPr="00D13B90">
        <w:rPr>
          <w:sz w:val="32"/>
          <w:szCs w:val="32"/>
          <w:lang w:val="en-IN"/>
        </w:rPr>
        <w:t xml:space="preserve">m CMOS,” IEEE J. Solid-State Circuits, vol. 40, no. 6, pp. 1265–1277, Jun. 2005. </w:t>
      </w:r>
    </w:p>
    <w:p w:rsidR="004A782D" w:rsidRPr="00D13B90" w:rsidRDefault="007F2C57" w:rsidP="00D13B90">
      <w:pPr>
        <w:pStyle w:val="BodyText"/>
        <w:numPr>
          <w:ilvl w:val="0"/>
          <w:numId w:val="42"/>
        </w:numPr>
        <w:rPr>
          <w:sz w:val="32"/>
          <w:szCs w:val="32"/>
          <w:lang w:val="en-IN"/>
        </w:rPr>
      </w:pPr>
      <w:r w:rsidRPr="00D13B90">
        <w:rPr>
          <w:sz w:val="32"/>
          <w:szCs w:val="32"/>
          <w:lang w:val="en-IN"/>
        </w:rPr>
        <w:t xml:space="preserve">[10] K. Muhammad et al., “The first fully integrated quad-band GSM/GPRS receiver in a 90-nm digital CMOS process,” IEEE J. Solid-State Circuits, vol. 41, no. 8, pp. 1772–1783, Aug.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15C" w:rsidRDefault="00BD315C" w:rsidP="003654DF">
      <w:pPr>
        <w:spacing w:after="0" w:line="240" w:lineRule="auto"/>
      </w:pPr>
      <w:r>
        <w:separator/>
      </w:r>
    </w:p>
  </w:endnote>
  <w:endnote w:type="continuationSeparator" w:id="1">
    <w:p w:rsidR="00BD315C" w:rsidRDefault="00BD315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15C" w:rsidRDefault="00BD315C" w:rsidP="003654DF">
      <w:pPr>
        <w:spacing w:after="0" w:line="240" w:lineRule="auto"/>
      </w:pPr>
      <w:r>
        <w:separator/>
      </w:r>
    </w:p>
  </w:footnote>
  <w:footnote w:type="continuationSeparator" w:id="1">
    <w:p w:rsidR="00BD315C" w:rsidRDefault="00BD315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A782D">
        <w:pPr>
          <w:pStyle w:val="Header"/>
          <w:jc w:val="right"/>
        </w:pPr>
        <w:fldSimple w:instr=" PAGE   \* MERGEFORMAT ">
          <w:r w:rsidR="001067C3">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5A2716"/>
    <w:multiLevelType w:val="hybridMultilevel"/>
    <w:tmpl w:val="7D78CBB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687EE3"/>
    <w:multiLevelType w:val="hybridMultilevel"/>
    <w:tmpl w:val="551A4066"/>
    <w:lvl w:ilvl="0" w:tplc="07C096FE">
      <w:start w:val="1"/>
      <w:numFmt w:val="bullet"/>
      <w:lvlText w:val=""/>
      <w:lvlJc w:val="left"/>
      <w:pPr>
        <w:tabs>
          <w:tab w:val="num" w:pos="720"/>
        </w:tabs>
        <w:ind w:left="720" w:hanging="360"/>
      </w:pPr>
      <w:rPr>
        <w:rFonts w:ascii="Wingdings 2" w:hAnsi="Wingdings 2" w:hint="default"/>
      </w:rPr>
    </w:lvl>
    <w:lvl w:ilvl="1" w:tplc="31CA6E78" w:tentative="1">
      <w:start w:val="1"/>
      <w:numFmt w:val="bullet"/>
      <w:lvlText w:val=""/>
      <w:lvlJc w:val="left"/>
      <w:pPr>
        <w:tabs>
          <w:tab w:val="num" w:pos="1440"/>
        </w:tabs>
        <w:ind w:left="1440" w:hanging="360"/>
      </w:pPr>
      <w:rPr>
        <w:rFonts w:ascii="Wingdings 2" w:hAnsi="Wingdings 2" w:hint="default"/>
      </w:rPr>
    </w:lvl>
    <w:lvl w:ilvl="2" w:tplc="79B222DE" w:tentative="1">
      <w:start w:val="1"/>
      <w:numFmt w:val="bullet"/>
      <w:lvlText w:val=""/>
      <w:lvlJc w:val="left"/>
      <w:pPr>
        <w:tabs>
          <w:tab w:val="num" w:pos="2160"/>
        </w:tabs>
        <w:ind w:left="2160" w:hanging="360"/>
      </w:pPr>
      <w:rPr>
        <w:rFonts w:ascii="Wingdings 2" w:hAnsi="Wingdings 2" w:hint="default"/>
      </w:rPr>
    </w:lvl>
    <w:lvl w:ilvl="3" w:tplc="FB383CDC" w:tentative="1">
      <w:start w:val="1"/>
      <w:numFmt w:val="bullet"/>
      <w:lvlText w:val=""/>
      <w:lvlJc w:val="left"/>
      <w:pPr>
        <w:tabs>
          <w:tab w:val="num" w:pos="2880"/>
        </w:tabs>
        <w:ind w:left="2880" w:hanging="360"/>
      </w:pPr>
      <w:rPr>
        <w:rFonts w:ascii="Wingdings 2" w:hAnsi="Wingdings 2" w:hint="default"/>
      </w:rPr>
    </w:lvl>
    <w:lvl w:ilvl="4" w:tplc="275441A8" w:tentative="1">
      <w:start w:val="1"/>
      <w:numFmt w:val="bullet"/>
      <w:lvlText w:val=""/>
      <w:lvlJc w:val="left"/>
      <w:pPr>
        <w:tabs>
          <w:tab w:val="num" w:pos="3600"/>
        </w:tabs>
        <w:ind w:left="3600" w:hanging="360"/>
      </w:pPr>
      <w:rPr>
        <w:rFonts w:ascii="Wingdings 2" w:hAnsi="Wingdings 2" w:hint="default"/>
      </w:rPr>
    </w:lvl>
    <w:lvl w:ilvl="5" w:tplc="45367F6A" w:tentative="1">
      <w:start w:val="1"/>
      <w:numFmt w:val="bullet"/>
      <w:lvlText w:val=""/>
      <w:lvlJc w:val="left"/>
      <w:pPr>
        <w:tabs>
          <w:tab w:val="num" w:pos="4320"/>
        </w:tabs>
        <w:ind w:left="4320" w:hanging="360"/>
      </w:pPr>
      <w:rPr>
        <w:rFonts w:ascii="Wingdings 2" w:hAnsi="Wingdings 2" w:hint="default"/>
      </w:rPr>
    </w:lvl>
    <w:lvl w:ilvl="6" w:tplc="A538F0D4" w:tentative="1">
      <w:start w:val="1"/>
      <w:numFmt w:val="bullet"/>
      <w:lvlText w:val=""/>
      <w:lvlJc w:val="left"/>
      <w:pPr>
        <w:tabs>
          <w:tab w:val="num" w:pos="5040"/>
        </w:tabs>
        <w:ind w:left="5040" w:hanging="360"/>
      </w:pPr>
      <w:rPr>
        <w:rFonts w:ascii="Wingdings 2" w:hAnsi="Wingdings 2" w:hint="default"/>
      </w:rPr>
    </w:lvl>
    <w:lvl w:ilvl="7" w:tplc="B74EC876" w:tentative="1">
      <w:start w:val="1"/>
      <w:numFmt w:val="bullet"/>
      <w:lvlText w:val=""/>
      <w:lvlJc w:val="left"/>
      <w:pPr>
        <w:tabs>
          <w:tab w:val="num" w:pos="5760"/>
        </w:tabs>
        <w:ind w:left="5760" w:hanging="360"/>
      </w:pPr>
      <w:rPr>
        <w:rFonts w:ascii="Wingdings 2" w:hAnsi="Wingdings 2" w:hint="default"/>
      </w:rPr>
    </w:lvl>
    <w:lvl w:ilvl="8" w:tplc="EF96F260"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F65B11"/>
    <w:multiLevelType w:val="hybridMultilevel"/>
    <w:tmpl w:val="C4208102"/>
    <w:lvl w:ilvl="0" w:tplc="A6C6A8EE">
      <w:start w:val="1"/>
      <w:numFmt w:val="bullet"/>
      <w:lvlText w:val=""/>
      <w:lvlJc w:val="left"/>
      <w:pPr>
        <w:tabs>
          <w:tab w:val="num" w:pos="720"/>
        </w:tabs>
        <w:ind w:left="720" w:hanging="360"/>
      </w:pPr>
      <w:rPr>
        <w:rFonts w:ascii="Wingdings 2" w:hAnsi="Wingdings 2" w:hint="default"/>
      </w:rPr>
    </w:lvl>
    <w:lvl w:ilvl="1" w:tplc="35A21276" w:tentative="1">
      <w:start w:val="1"/>
      <w:numFmt w:val="bullet"/>
      <w:lvlText w:val=""/>
      <w:lvlJc w:val="left"/>
      <w:pPr>
        <w:tabs>
          <w:tab w:val="num" w:pos="1440"/>
        </w:tabs>
        <w:ind w:left="1440" w:hanging="360"/>
      </w:pPr>
      <w:rPr>
        <w:rFonts w:ascii="Wingdings 2" w:hAnsi="Wingdings 2" w:hint="default"/>
      </w:rPr>
    </w:lvl>
    <w:lvl w:ilvl="2" w:tplc="8D1E1B84" w:tentative="1">
      <w:start w:val="1"/>
      <w:numFmt w:val="bullet"/>
      <w:lvlText w:val=""/>
      <w:lvlJc w:val="left"/>
      <w:pPr>
        <w:tabs>
          <w:tab w:val="num" w:pos="2160"/>
        </w:tabs>
        <w:ind w:left="2160" w:hanging="360"/>
      </w:pPr>
      <w:rPr>
        <w:rFonts w:ascii="Wingdings 2" w:hAnsi="Wingdings 2" w:hint="default"/>
      </w:rPr>
    </w:lvl>
    <w:lvl w:ilvl="3" w:tplc="E7BE291A" w:tentative="1">
      <w:start w:val="1"/>
      <w:numFmt w:val="bullet"/>
      <w:lvlText w:val=""/>
      <w:lvlJc w:val="left"/>
      <w:pPr>
        <w:tabs>
          <w:tab w:val="num" w:pos="2880"/>
        </w:tabs>
        <w:ind w:left="2880" w:hanging="360"/>
      </w:pPr>
      <w:rPr>
        <w:rFonts w:ascii="Wingdings 2" w:hAnsi="Wingdings 2" w:hint="default"/>
      </w:rPr>
    </w:lvl>
    <w:lvl w:ilvl="4" w:tplc="288E2DCC" w:tentative="1">
      <w:start w:val="1"/>
      <w:numFmt w:val="bullet"/>
      <w:lvlText w:val=""/>
      <w:lvlJc w:val="left"/>
      <w:pPr>
        <w:tabs>
          <w:tab w:val="num" w:pos="3600"/>
        </w:tabs>
        <w:ind w:left="3600" w:hanging="360"/>
      </w:pPr>
      <w:rPr>
        <w:rFonts w:ascii="Wingdings 2" w:hAnsi="Wingdings 2" w:hint="default"/>
      </w:rPr>
    </w:lvl>
    <w:lvl w:ilvl="5" w:tplc="5232AE48" w:tentative="1">
      <w:start w:val="1"/>
      <w:numFmt w:val="bullet"/>
      <w:lvlText w:val=""/>
      <w:lvlJc w:val="left"/>
      <w:pPr>
        <w:tabs>
          <w:tab w:val="num" w:pos="4320"/>
        </w:tabs>
        <w:ind w:left="4320" w:hanging="360"/>
      </w:pPr>
      <w:rPr>
        <w:rFonts w:ascii="Wingdings 2" w:hAnsi="Wingdings 2" w:hint="default"/>
      </w:rPr>
    </w:lvl>
    <w:lvl w:ilvl="6" w:tplc="8632ACDC" w:tentative="1">
      <w:start w:val="1"/>
      <w:numFmt w:val="bullet"/>
      <w:lvlText w:val=""/>
      <w:lvlJc w:val="left"/>
      <w:pPr>
        <w:tabs>
          <w:tab w:val="num" w:pos="5040"/>
        </w:tabs>
        <w:ind w:left="5040" w:hanging="360"/>
      </w:pPr>
      <w:rPr>
        <w:rFonts w:ascii="Wingdings 2" w:hAnsi="Wingdings 2" w:hint="default"/>
      </w:rPr>
    </w:lvl>
    <w:lvl w:ilvl="7" w:tplc="E7729A74" w:tentative="1">
      <w:start w:val="1"/>
      <w:numFmt w:val="bullet"/>
      <w:lvlText w:val=""/>
      <w:lvlJc w:val="left"/>
      <w:pPr>
        <w:tabs>
          <w:tab w:val="num" w:pos="5760"/>
        </w:tabs>
        <w:ind w:left="5760" w:hanging="360"/>
      </w:pPr>
      <w:rPr>
        <w:rFonts w:ascii="Wingdings 2" w:hAnsi="Wingdings 2" w:hint="default"/>
      </w:rPr>
    </w:lvl>
    <w:lvl w:ilvl="8" w:tplc="042EBA06"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7E73B45"/>
    <w:multiLevelType w:val="hybridMultilevel"/>
    <w:tmpl w:val="FF80672A"/>
    <w:lvl w:ilvl="0" w:tplc="3F6EB16C">
      <w:start w:val="1"/>
      <w:numFmt w:val="bullet"/>
      <w:lvlText w:val=""/>
      <w:lvlJc w:val="left"/>
      <w:pPr>
        <w:tabs>
          <w:tab w:val="num" w:pos="720"/>
        </w:tabs>
        <w:ind w:left="720" w:hanging="360"/>
      </w:pPr>
      <w:rPr>
        <w:rFonts w:ascii="Wingdings 2" w:hAnsi="Wingdings 2" w:hint="default"/>
      </w:rPr>
    </w:lvl>
    <w:lvl w:ilvl="1" w:tplc="FC7CDA14" w:tentative="1">
      <w:start w:val="1"/>
      <w:numFmt w:val="bullet"/>
      <w:lvlText w:val=""/>
      <w:lvlJc w:val="left"/>
      <w:pPr>
        <w:tabs>
          <w:tab w:val="num" w:pos="1440"/>
        </w:tabs>
        <w:ind w:left="1440" w:hanging="360"/>
      </w:pPr>
      <w:rPr>
        <w:rFonts w:ascii="Wingdings 2" w:hAnsi="Wingdings 2" w:hint="default"/>
      </w:rPr>
    </w:lvl>
    <w:lvl w:ilvl="2" w:tplc="DA207CAA" w:tentative="1">
      <w:start w:val="1"/>
      <w:numFmt w:val="bullet"/>
      <w:lvlText w:val=""/>
      <w:lvlJc w:val="left"/>
      <w:pPr>
        <w:tabs>
          <w:tab w:val="num" w:pos="2160"/>
        </w:tabs>
        <w:ind w:left="2160" w:hanging="360"/>
      </w:pPr>
      <w:rPr>
        <w:rFonts w:ascii="Wingdings 2" w:hAnsi="Wingdings 2" w:hint="default"/>
      </w:rPr>
    </w:lvl>
    <w:lvl w:ilvl="3" w:tplc="FB4E9F08" w:tentative="1">
      <w:start w:val="1"/>
      <w:numFmt w:val="bullet"/>
      <w:lvlText w:val=""/>
      <w:lvlJc w:val="left"/>
      <w:pPr>
        <w:tabs>
          <w:tab w:val="num" w:pos="2880"/>
        </w:tabs>
        <w:ind w:left="2880" w:hanging="360"/>
      </w:pPr>
      <w:rPr>
        <w:rFonts w:ascii="Wingdings 2" w:hAnsi="Wingdings 2" w:hint="default"/>
      </w:rPr>
    </w:lvl>
    <w:lvl w:ilvl="4" w:tplc="627221AE" w:tentative="1">
      <w:start w:val="1"/>
      <w:numFmt w:val="bullet"/>
      <w:lvlText w:val=""/>
      <w:lvlJc w:val="left"/>
      <w:pPr>
        <w:tabs>
          <w:tab w:val="num" w:pos="3600"/>
        </w:tabs>
        <w:ind w:left="3600" w:hanging="360"/>
      </w:pPr>
      <w:rPr>
        <w:rFonts w:ascii="Wingdings 2" w:hAnsi="Wingdings 2" w:hint="default"/>
      </w:rPr>
    </w:lvl>
    <w:lvl w:ilvl="5" w:tplc="94DE91A8" w:tentative="1">
      <w:start w:val="1"/>
      <w:numFmt w:val="bullet"/>
      <w:lvlText w:val=""/>
      <w:lvlJc w:val="left"/>
      <w:pPr>
        <w:tabs>
          <w:tab w:val="num" w:pos="4320"/>
        </w:tabs>
        <w:ind w:left="4320" w:hanging="360"/>
      </w:pPr>
      <w:rPr>
        <w:rFonts w:ascii="Wingdings 2" w:hAnsi="Wingdings 2" w:hint="default"/>
      </w:rPr>
    </w:lvl>
    <w:lvl w:ilvl="6" w:tplc="65A877FC" w:tentative="1">
      <w:start w:val="1"/>
      <w:numFmt w:val="bullet"/>
      <w:lvlText w:val=""/>
      <w:lvlJc w:val="left"/>
      <w:pPr>
        <w:tabs>
          <w:tab w:val="num" w:pos="5040"/>
        </w:tabs>
        <w:ind w:left="5040" w:hanging="360"/>
      </w:pPr>
      <w:rPr>
        <w:rFonts w:ascii="Wingdings 2" w:hAnsi="Wingdings 2" w:hint="default"/>
      </w:rPr>
    </w:lvl>
    <w:lvl w:ilvl="7" w:tplc="7960C72C" w:tentative="1">
      <w:start w:val="1"/>
      <w:numFmt w:val="bullet"/>
      <w:lvlText w:val=""/>
      <w:lvlJc w:val="left"/>
      <w:pPr>
        <w:tabs>
          <w:tab w:val="num" w:pos="5760"/>
        </w:tabs>
        <w:ind w:left="5760" w:hanging="360"/>
      </w:pPr>
      <w:rPr>
        <w:rFonts w:ascii="Wingdings 2" w:hAnsi="Wingdings 2" w:hint="default"/>
      </w:rPr>
    </w:lvl>
    <w:lvl w:ilvl="8" w:tplc="8BCCB246"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96430"/>
    <w:multiLevelType w:val="hybridMultilevel"/>
    <w:tmpl w:val="9D1499C8"/>
    <w:lvl w:ilvl="0" w:tplc="3A7CFF58">
      <w:start w:val="1"/>
      <w:numFmt w:val="bullet"/>
      <w:lvlText w:val=""/>
      <w:lvlJc w:val="left"/>
      <w:pPr>
        <w:tabs>
          <w:tab w:val="num" w:pos="720"/>
        </w:tabs>
        <w:ind w:left="720" w:hanging="360"/>
      </w:pPr>
      <w:rPr>
        <w:rFonts w:ascii="Wingdings 2" w:hAnsi="Wingdings 2" w:hint="default"/>
      </w:rPr>
    </w:lvl>
    <w:lvl w:ilvl="1" w:tplc="73EA4030" w:tentative="1">
      <w:start w:val="1"/>
      <w:numFmt w:val="bullet"/>
      <w:lvlText w:val=""/>
      <w:lvlJc w:val="left"/>
      <w:pPr>
        <w:tabs>
          <w:tab w:val="num" w:pos="1440"/>
        </w:tabs>
        <w:ind w:left="1440" w:hanging="360"/>
      </w:pPr>
      <w:rPr>
        <w:rFonts w:ascii="Wingdings 2" w:hAnsi="Wingdings 2" w:hint="default"/>
      </w:rPr>
    </w:lvl>
    <w:lvl w:ilvl="2" w:tplc="F624432E" w:tentative="1">
      <w:start w:val="1"/>
      <w:numFmt w:val="bullet"/>
      <w:lvlText w:val=""/>
      <w:lvlJc w:val="left"/>
      <w:pPr>
        <w:tabs>
          <w:tab w:val="num" w:pos="2160"/>
        </w:tabs>
        <w:ind w:left="2160" w:hanging="360"/>
      </w:pPr>
      <w:rPr>
        <w:rFonts w:ascii="Wingdings 2" w:hAnsi="Wingdings 2" w:hint="default"/>
      </w:rPr>
    </w:lvl>
    <w:lvl w:ilvl="3" w:tplc="C4FCA980" w:tentative="1">
      <w:start w:val="1"/>
      <w:numFmt w:val="bullet"/>
      <w:lvlText w:val=""/>
      <w:lvlJc w:val="left"/>
      <w:pPr>
        <w:tabs>
          <w:tab w:val="num" w:pos="2880"/>
        </w:tabs>
        <w:ind w:left="2880" w:hanging="360"/>
      </w:pPr>
      <w:rPr>
        <w:rFonts w:ascii="Wingdings 2" w:hAnsi="Wingdings 2" w:hint="default"/>
      </w:rPr>
    </w:lvl>
    <w:lvl w:ilvl="4" w:tplc="0D281518" w:tentative="1">
      <w:start w:val="1"/>
      <w:numFmt w:val="bullet"/>
      <w:lvlText w:val=""/>
      <w:lvlJc w:val="left"/>
      <w:pPr>
        <w:tabs>
          <w:tab w:val="num" w:pos="3600"/>
        </w:tabs>
        <w:ind w:left="3600" w:hanging="360"/>
      </w:pPr>
      <w:rPr>
        <w:rFonts w:ascii="Wingdings 2" w:hAnsi="Wingdings 2" w:hint="default"/>
      </w:rPr>
    </w:lvl>
    <w:lvl w:ilvl="5" w:tplc="ACB2DABC" w:tentative="1">
      <w:start w:val="1"/>
      <w:numFmt w:val="bullet"/>
      <w:lvlText w:val=""/>
      <w:lvlJc w:val="left"/>
      <w:pPr>
        <w:tabs>
          <w:tab w:val="num" w:pos="4320"/>
        </w:tabs>
        <w:ind w:left="4320" w:hanging="360"/>
      </w:pPr>
      <w:rPr>
        <w:rFonts w:ascii="Wingdings 2" w:hAnsi="Wingdings 2" w:hint="default"/>
      </w:rPr>
    </w:lvl>
    <w:lvl w:ilvl="6" w:tplc="FD623116" w:tentative="1">
      <w:start w:val="1"/>
      <w:numFmt w:val="bullet"/>
      <w:lvlText w:val=""/>
      <w:lvlJc w:val="left"/>
      <w:pPr>
        <w:tabs>
          <w:tab w:val="num" w:pos="5040"/>
        </w:tabs>
        <w:ind w:left="5040" w:hanging="360"/>
      </w:pPr>
      <w:rPr>
        <w:rFonts w:ascii="Wingdings 2" w:hAnsi="Wingdings 2" w:hint="default"/>
      </w:rPr>
    </w:lvl>
    <w:lvl w:ilvl="7" w:tplc="86B40F9A" w:tentative="1">
      <w:start w:val="1"/>
      <w:numFmt w:val="bullet"/>
      <w:lvlText w:val=""/>
      <w:lvlJc w:val="left"/>
      <w:pPr>
        <w:tabs>
          <w:tab w:val="num" w:pos="5760"/>
        </w:tabs>
        <w:ind w:left="5760" w:hanging="360"/>
      </w:pPr>
      <w:rPr>
        <w:rFonts w:ascii="Wingdings 2" w:hAnsi="Wingdings 2" w:hint="default"/>
      </w:rPr>
    </w:lvl>
    <w:lvl w:ilvl="8" w:tplc="C4CAEB4A"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B829E3"/>
    <w:multiLevelType w:val="hybridMultilevel"/>
    <w:tmpl w:val="2CA646E0"/>
    <w:lvl w:ilvl="0" w:tplc="6E9E1654">
      <w:start w:val="1"/>
      <w:numFmt w:val="bullet"/>
      <w:lvlText w:val=""/>
      <w:lvlJc w:val="left"/>
      <w:pPr>
        <w:tabs>
          <w:tab w:val="num" w:pos="720"/>
        </w:tabs>
        <w:ind w:left="720" w:hanging="360"/>
      </w:pPr>
      <w:rPr>
        <w:rFonts w:ascii="Wingdings 2" w:hAnsi="Wingdings 2" w:hint="default"/>
      </w:rPr>
    </w:lvl>
    <w:lvl w:ilvl="1" w:tplc="D92AD7B2" w:tentative="1">
      <w:start w:val="1"/>
      <w:numFmt w:val="bullet"/>
      <w:lvlText w:val=""/>
      <w:lvlJc w:val="left"/>
      <w:pPr>
        <w:tabs>
          <w:tab w:val="num" w:pos="1440"/>
        </w:tabs>
        <w:ind w:left="1440" w:hanging="360"/>
      </w:pPr>
      <w:rPr>
        <w:rFonts w:ascii="Wingdings 2" w:hAnsi="Wingdings 2" w:hint="default"/>
      </w:rPr>
    </w:lvl>
    <w:lvl w:ilvl="2" w:tplc="72C2F5FE" w:tentative="1">
      <w:start w:val="1"/>
      <w:numFmt w:val="bullet"/>
      <w:lvlText w:val=""/>
      <w:lvlJc w:val="left"/>
      <w:pPr>
        <w:tabs>
          <w:tab w:val="num" w:pos="2160"/>
        </w:tabs>
        <w:ind w:left="2160" w:hanging="360"/>
      </w:pPr>
      <w:rPr>
        <w:rFonts w:ascii="Wingdings 2" w:hAnsi="Wingdings 2" w:hint="default"/>
      </w:rPr>
    </w:lvl>
    <w:lvl w:ilvl="3" w:tplc="BF907D9E" w:tentative="1">
      <w:start w:val="1"/>
      <w:numFmt w:val="bullet"/>
      <w:lvlText w:val=""/>
      <w:lvlJc w:val="left"/>
      <w:pPr>
        <w:tabs>
          <w:tab w:val="num" w:pos="2880"/>
        </w:tabs>
        <w:ind w:left="2880" w:hanging="360"/>
      </w:pPr>
      <w:rPr>
        <w:rFonts w:ascii="Wingdings 2" w:hAnsi="Wingdings 2" w:hint="default"/>
      </w:rPr>
    </w:lvl>
    <w:lvl w:ilvl="4" w:tplc="BD644EEA" w:tentative="1">
      <w:start w:val="1"/>
      <w:numFmt w:val="bullet"/>
      <w:lvlText w:val=""/>
      <w:lvlJc w:val="left"/>
      <w:pPr>
        <w:tabs>
          <w:tab w:val="num" w:pos="3600"/>
        </w:tabs>
        <w:ind w:left="3600" w:hanging="360"/>
      </w:pPr>
      <w:rPr>
        <w:rFonts w:ascii="Wingdings 2" w:hAnsi="Wingdings 2" w:hint="default"/>
      </w:rPr>
    </w:lvl>
    <w:lvl w:ilvl="5" w:tplc="C40C9C0A" w:tentative="1">
      <w:start w:val="1"/>
      <w:numFmt w:val="bullet"/>
      <w:lvlText w:val=""/>
      <w:lvlJc w:val="left"/>
      <w:pPr>
        <w:tabs>
          <w:tab w:val="num" w:pos="4320"/>
        </w:tabs>
        <w:ind w:left="4320" w:hanging="360"/>
      </w:pPr>
      <w:rPr>
        <w:rFonts w:ascii="Wingdings 2" w:hAnsi="Wingdings 2" w:hint="default"/>
      </w:rPr>
    </w:lvl>
    <w:lvl w:ilvl="6" w:tplc="A2562E4C" w:tentative="1">
      <w:start w:val="1"/>
      <w:numFmt w:val="bullet"/>
      <w:lvlText w:val=""/>
      <w:lvlJc w:val="left"/>
      <w:pPr>
        <w:tabs>
          <w:tab w:val="num" w:pos="5040"/>
        </w:tabs>
        <w:ind w:left="5040" w:hanging="360"/>
      </w:pPr>
      <w:rPr>
        <w:rFonts w:ascii="Wingdings 2" w:hAnsi="Wingdings 2" w:hint="default"/>
      </w:rPr>
    </w:lvl>
    <w:lvl w:ilvl="7" w:tplc="8210189E" w:tentative="1">
      <w:start w:val="1"/>
      <w:numFmt w:val="bullet"/>
      <w:lvlText w:val=""/>
      <w:lvlJc w:val="left"/>
      <w:pPr>
        <w:tabs>
          <w:tab w:val="num" w:pos="5760"/>
        </w:tabs>
        <w:ind w:left="5760" w:hanging="360"/>
      </w:pPr>
      <w:rPr>
        <w:rFonts w:ascii="Wingdings 2" w:hAnsi="Wingdings 2" w:hint="default"/>
      </w:rPr>
    </w:lvl>
    <w:lvl w:ilvl="8" w:tplc="BDD4E0EA"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3"/>
  </w:num>
  <w:num w:numId="12">
    <w:abstractNumId w:val="36"/>
  </w:num>
  <w:num w:numId="13">
    <w:abstractNumId w:val="42"/>
  </w:num>
  <w:num w:numId="14">
    <w:abstractNumId w:val="45"/>
  </w:num>
  <w:num w:numId="15">
    <w:abstractNumId w:val="38"/>
  </w:num>
  <w:num w:numId="16">
    <w:abstractNumId w:val="34"/>
  </w:num>
  <w:num w:numId="17">
    <w:abstractNumId w:val="10"/>
  </w:num>
  <w:num w:numId="18">
    <w:abstractNumId w:val="37"/>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4"/>
  </w:num>
  <w:num w:numId="29">
    <w:abstractNumId w:val="33"/>
  </w:num>
  <w:num w:numId="30">
    <w:abstractNumId w:val="40"/>
  </w:num>
  <w:num w:numId="31">
    <w:abstractNumId w:val="30"/>
  </w:num>
  <w:num w:numId="32">
    <w:abstractNumId w:val="3"/>
  </w:num>
  <w:num w:numId="33">
    <w:abstractNumId w:val="28"/>
  </w:num>
  <w:num w:numId="34">
    <w:abstractNumId w:val="24"/>
  </w:num>
  <w:num w:numId="35">
    <w:abstractNumId w:val="17"/>
  </w:num>
  <w:num w:numId="36">
    <w:abstractNumId w:val="15"/>
  </w:num>
  <w:num w:numId="37">
    <w:abstractNumId w:val="11"/>
  </w:num>
  <w:num w:numId="38">
    <w:abstractNumId w:val="39"/>
  </w:num>
  <w:num w:numId="39">
    <w:abstractNumId w:val="19"/>
  </w:num>
  <w:num w:numId="40">
    <w:abstractNumId w:val="16"/>
  </w:num>
  <w:num w:numId="41">
    <w:abstractNumId w:val="25"/>
  </w:num>
  <w:num w:numId="42">
    <w:abstractNumId w:val="9"/>
  </w:num>
  <w:num w:numId="43">
    <w:abstractNumId w:val="7"/>
  </w:num>
  <w:num w:numId="44">
    <w:abstractNumId w:val="12"/>
  </w:num>
  <w:num w:numId="45">
    <w:abstractNumId w:val="35"/>
  </w:num>
  <w:num w:numId="46">
    <w:abstractNumId w:val="2"/>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7C3"/>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F19"/>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A782D"/>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B7ADC"/>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2C57"/>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240"/>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E86"/>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57777"/>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315C"/>
    <w:rsid w:val="00BD5C64"/>
    <w:rsid w:val="00BD5E83"/>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26E3"/>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3B90"/>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69E4"/>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0B40"/>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D32"/>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2741211">
      <w:bodyDiv w:val="1"/>
      <w:marLeft w:val="0"/>
      <w:marRight w:val="0"/>
      <w:marTop w:val="0"/>
      <w:marBottom w:val="0"/>
      <w:divBdr>
        <w:top w:val="none" w:sz="0" w:space="0" w:color="auto"/>
        <w:left w:val="none" w:sz="0" w:space="0" w:color="auto"/>
        <w:bottom w:val="none" w:sz="0" w:space="0" w:color="auto"/>
        <w:right w:val="none" w:sz="0" w:space="0" w:color="auto"/>
      </w:divBdr>
      <w:divsChild>
        <w:div w:id="1980501257">
          <w:marLeft w:val="576"/>
          <w:marRight w:val="0"/>
          <w:marTop w:val="120"/>
          <w:marBottom w:val="0"/>
          <w:divBdr>
            <w:top w:val="none" w:sz="0" w:space="0" w:color="auto"/>
            <w:left w:val="none" w:sz="0" w:space="0" w:color="auto"/>
            <w:bottom w:val="none" w:sz="0" w:space="0" w:color="auto"/>
            <w:right w:val="none" w:sz="0" w:space="0" w:color="auto"/>
          </w:divBdr>
        </w:div>
        <w:div w:id="538516235">
          <w:marLeft w:val="576"/>
          <w:marRight w:val="0"/>
          <w:marTop w:val="120"/>
          <w:marBottom w:val="0"/>
          <w:divBdr>
            <w:top w:val="none" w:sz="0" w:space="0" w:color="auto"/>
            <w:left w:val="none" w:sz="0" w:space="0" w:color="auto"/>
            <w:bottom w:val="none" w:sz="0" w:space="0" w:color="auto"/>
            <w:right w:val="none" w:sz="0" w:space="0" w:color="auto"/>
          </w:divBdr>
        </w:div>
        <w:div w:id="28799694">
          <w:marLeft w:val="576"/>
          <w:marRight w:val="0"/>
          <w:marTop w:val="120"/>
          <w:marBottom w:val="0"/>
          <w:divBdr>
            <w:top w:val="none" w:sz="0" w:space="0" w:color="auto"/>
            <w:left w:val="none" w:sz="0" w:space="0" w:color="auto"/>
            <w:bottom w:val="none" w:sz="0" w:space="0" w:color="auto"/>
            <w:right w:val="none" w:sz="0" w:space="0" w:color="auto"/>
          </w:divBdr>
        </w:div>
        <w:div w:id="1931546153">
          <w:marLeft w:val="576"/>
          <w:marRight w:val="0"/>
          <w:marTop w:val="120"/>
          <w:marBottom w:val="0"/>
          <w:divBdr>
            <w:top w:val="none" w:sz="0" w:space="0" w:color="auto"/>
            <w:left w:val="none" w:sz="0" w:space="0" w:color="auto"/>
            <w:bottom w:val="none" w:sz="0" w:space="0" w:color="auto"/>
            <w:right w:val="none" w:sz="0" w:space="0" w:color="auto"/>
          </w:divBdr>
        </w:div>
        <w:div w:id="1283683230">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3675083">
      <w:bodyDiv w:val="1"/>
      <w:marLeft w:val="0"/>
      <w:marRight w:val="0"/>
      <w:marTop w:val="0"/>
      <w:marBottom w:val="0"/>
      <w:divBdr>
        <w:top w:val="none" w:sz="0" w:space="0" w:color="auto"/>
        <w:left w:val="none" w:sz="0" w:space="0" w:color="auto"/>
        <w:bottom w:val="none" w:sz="0" w:space="0" w:color="auto"/>
        <w:right w:val="none" w:sz="0" w:space="0" w:color="auto"/>
      </w:divBdr>
      <w:divsChild>
        <w:div w:id="1553884515">
          <w:marLeft w:val="576"/>
          <w:marRight w:val="0"/>
          <w:marTop w:val="120"/>
          <w:marBottom w:val="0"/>
          <w:divBdr>
            <w:top w:val="none" w:sz="0" w:space="0" w:color="auto"/>
            <w:left w:val="none" w:sz="0" w:space="0" w:color="auto"/>
            <w:bottom w:val="none" w:sz="0" w:space="0" w:color="auto"/>
            <w:right w:val="none" w:sz="0" w:space="0" w:color="auto"/>
          </w:divBdr>
        </w:div>
        <w:div w:id="911701166">
          <w:marLeft w:val="576"/>
          <w:marRight w:val="0"/>
          <w:marTop w:val="120"/>
          <w:marBottom w:val="0"/>
          <w:divBdr>
            <w:top w:val="none" w:sz="0" w:space="0" w:color="auto"/>
            <w:left w:val="none" w:sz="0" w:space="0" w:color="auto"/>
            <w:bottom w:val="none" w:sz="0" w:space="0" w:color="auto"/>
            <w:right w:val="none" w:sz="0" w:space="0" w:color="auto"/>
          </w:divBdr>
        </w:div>
        <w:div w:id="1385640228">
          <w:marLeft w:val="576"/>
          <w:marRight w:val="0"/>
          <w:marTop w:val="120"/>
          <w:marBottom w:val="0"/>
          <w:divBdr>
            <w:top w:val="none" w:sz="0" w:space="0" w:color="auto"/>
            <w:left w:val="none" w:sz="0" w:space="0" w:color="auto"/>
            <w:bottom w:val="none" w:sz="0" w:space="0" w:color="auto"/>
            <w:right w:val="none" w:sz="0" w:space="0" w:color="auto"/>
          </w:divBdr>
        </w:div>
        <w:div w:id="930040942">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0010784">
      <w:bodyDiv w:val="1"/>
      <w:marLeft w:val="0"/>
      <w:marRight w:val="0"/>
      <w:marTop w:val="0"/>
      <w:marBottom w:val="0"/>
      <w:divBdr>
        <w:top w:val="none" w:sz="0" w:space="0" w:color="auto"/>
        <w:left w:val="none" w:sz="0" w:space="0" w:color="auto"/>
        <w:bottom w:val="none" w:sz="0" w:space="0" w:color="auto"/>
        <w:right w:val="none" w:sz="0" w:space="0" w:color="auto"/>
      </w:divBdr>
      <w:divsChild>
        <w:div w:id="1373534109">
          <w:marLeft w:val="576"/>
          <w:marRight w:val="0"/>
          <w:marTop w:val="120"/>
          <w:marBottom w:val="0"/>
          <w:divBdr>
            <w:top w:val="none" w:sz="0" w:space="0" w:color="auto"/>
            <w:left w:val="none" w:sz="0" w:space="0" w:color="auto"/>
            <w:bottom w:val="none" w:sz="0" w:space="0" w:color="auto"/>
            <w:right w:val="none" w:sz="0" w:space="0" w:color="auto"/>
          </w:divBdr>
        </w:div>
        <w:div w:id="1650597081">
          <w:marLeft w:val="576"/>
          <w:marRight w:val="0"/>
          <w:marTop w:val="120"/>
          <w:marBottom w:val="0"/>
          <w:divBdr>
            <w:top w:val="none" w:sz="0" w:space="0" w:color="auto"/>
            <w:left w:val="none" w:sz="0" w:space="0" w:color="auto"/>
            <w:bottom w:val="none" w:sz="0" w:space="0" w:color="auto"/>
            <w:right w:val="none" w:sz="0" w:space="0" w:color="auto"/>
          </w:divBdr>
        </w:div>
        <w:div w:id="1038353636">
          <w:marLeft w:val="576"/>
          <w:marRight w:val="0"/>
          <w:marTop w:val="120"/>
          <w:marBottom w:val="0"/>
          <w:divBdr>
            <w:top w:val="none" w:sz="0" w:space="0" w:color="auto"/>
            <w:left w:val="none" w:sz="0" w:space="0" w:color="auto"/>
            <w:bottom w:val="none" w:sz="0" w:space="0" w:color="auto"/>
            <w:right w:val="none" w:sz="0" w:space="0" w:color="auto"/>
          </w:divBdr>
        </w:div>
        <w:div w:id="496582095">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5687777">
      <w:bodyDiv w:val="1"/>
      <w:marLeft w:val="0"/>
      <w:marRight w:val="0"/>
      <w:marTop w:val="0"/>
      <w:marBottom w:val="0"/>
      <w:divBdr>
        <w:top w:val="none" w:sz="0" w:space="0" w:color="auto"/>
        <w:left w:val="none" w:sz="0" w:space="0" w:color="auto"/>
        <w:bottom w:val="none" w:sz="0" w:space="0" w:color="auto"/>
        <w:right w:val="none" w:sz="0" w:space="0" w:color="auto"/>
      </w:divBdr>
      <w:divsChild>
        <w:div w:id="121003523">
          <w:marLeft w:val="576"/>
          <w:marRight w:val="0"/>
          <w:marTop w:val="120"/>
          <w:marBottom w:val="0"/>
          <w:divBdr>
            <w:top w:val="none" w:sz="0" w:space="0" w:color="auto"/>
            <w:left w:val="none" w:sz="0" w:space="0" w:color="auto"/>
            <w:bottom w:val="none" w:sz="0" w:space="0" w:color="auto"/>
            <w:right w:val="none" w:sz="0" w:space="0" w:color="auto"/>
          </w:divBdr>
        </w:div>
        <w:div w:id="1177646672">
          <w:marLeft w:val="576"/>
          <w:marRight w:val="0"/>
          <w:marTop w:val="120"/>
          <w:marBottom w:val="0"/>
          <w:divBdr>
            <w:top w:val="none" w:sz="0" w:space="0" w:color="auto"/>
            <w:left w:val="none" w:sz="0" w:space="0" w:color="auto"/>
            <w:bottom w:val="none" w:sz="0" w:space="0" w:color="auto"/>
            <w:right w:val="none" w:sz="0" w:space="0" w:color="auto"/>
          </w:divBdr>
        </w:div>
        <w:div w:id="122357906">
          <w:marLeft w:val="576"/>
          <w:marRight w:val="0"/>
          <w:marTop w:val="120"/>
          <w:marBottom w:val="0"/>
          <w:divBdr>
            <w:top w:val="none" w:sz="0" w:space="0" w:color="auto"/>
            <w:left w:val="none" w:sz="0" w:space="0" w:color="auto"/>
            <w:bottom w:val="none" w:sz="0" w:space="0" w:color="auto"/>
            <w:right w:val="none" w:sz="0" w:space="0" w:color="auto"/>
          </w:divBdr>
        </w:div>
        <w:div w:id="128249090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005327">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8367050">
      <w:bodyDiv w:val="1"/>
      <w:marLeft w:val="0"/>
      <w:marRight w:val="0"/>
      <w:marTop w:val="0"/>
      <w:marBottom w:val="0"/>
      <w:divBdr>
        <w:top w:val="none" w:sz="0" w:space="0" w:color="auto"/>
        <w:left w:val="none" w:sz="0" w:space="0" w:color="auto"/>
        <w:bottom w:val="none" w:sz="0" w:space="0" w:color="auto"/>
        <w:right w:val="none" w:sz="0" w:space="0" w:color="auto"/>
      </w:divBdr>
      <w:divsChild>
        <w:div w:id="1907492802">
          <w:marLeft w:val="576"/>
          <w:marRight w:val="0"/>
          <w:marTop w:val="120"/>
          <w:marBottom w:val="0"/>
          <w:divBdr>
            <w:top w:val="none" w:sz="0" w:space="0" w:color="auto"/>
            <w:left w:val="none" w:sz="0" w:space="0" w:color="auto"/>
            <w:bottom w:val="none" w:sz="0" w:space="0" w:color="auto"/>
            <w:right w:val="none" w:sz="0" w:space="0" w:color="auto"/>
          </w:divBdr>
        </w:div>
        <w:div w:id="825126364">
          <w:marLeft w:val="576"/>
          <w:marRight w:val="0"/>
          <w:marTop w:val="120"/>
          <w:marBottom w:val="0"/>
          <w:divBdr>
            <w:top w:val="none" w:sz="0" w:space="0" w:color="auto"/>
            <w:left w:val="none" w:sz="0" w:space="0" w:color="auto"/>
            <w:bottom w:val="none" w:sz="0" w:space="0" w:color="auto"/>
            <w:right w:val="none" w:sz="0" w:space="0" w:color="auto"/>
          </w:divBdr>
        </w:div>
        <w:div w:id="1201698957">
          <w:marLeft w:val="576"/>
          <w:marRight w:val="0"/>
          <w:marTop w:val="120"/>
          <w:marBottom w:val="0"/>
          <w:divBdr>
            <w:top w:val="none" w:sz="0" w:space="0" w:color="auto"/>
            <w:left w:val="none" w:sz="0" w:space="0" w:color="auto"/>
            <w:bottom w:val="none" w:sz="0" w:space="0" w:color="auto"/>
            <w:right w:val="none" w:sz="0" w:space="0" w:color="auto"/>
          </w:divBdr>
        </w:div>
        <w:div w:id="1378890522">
          <w:marLeft w:val="576"/>
          <w:marRight w:val="0"/>
          <w:marTop w:val="120"/>
          <w:marBottom w:val="0"/>
          <w:divBdr>
            <w:top w:val="none" w:sz="0" w:space="0" w:color="auto"/>
            <w:left w:val="none" w:sz="0" w:space="0" w:color="auto"/>
            <w:bottom w:val="none" w:sz="0" w:space="0" w:color="auto"/>
            <w:right w:val="none" w:sz="0" w:space="0" w:color="auto"/>
          </w:divBdr>
        </w:div>
        <w:div w:id="4981598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927186">
      <w:bodyDiv w:val="1"/>
      <w:marLeft w:val="0"/>
      <w:marRight w:val="0"/>
      <w:marTop w:val="0"/>
      <w:marBottom w:val="0"/>
      <w:divBdr>
        <w:top w:val="none" w:sz="0" w:space="0" w:color="auto"/>
        <w:left w:val="none" w:sz="0" w:space="0" w:color="auto"/>
        <w:bottom w:val="none" w:sz="0" w:space="0" w:color="auto"/>
        <w:right w:val="none" w:sz="0" w:space="0" w:color="auto"/>
      </w:divBdr>
      <w:divsChild>
        <w:div w:id="457529642">
          <w:marLeft w:val="576"/>
          <w:marRight w:val="0"/>
          <w:marTop w:val="120"/>
          <w:marBottom w:val="0"/>
          <w:divBdr>
            <w:top w:val="none" w:sz="0" w:space="0" w:color="auto"/>
            <w:left w:val="none" w:sz="0" w:space="0" w:color="auto"/>
            <w:bottom w:val="none" w:sz="0" w:space="0" w:color="auto"/>
            <w:right w:val="none" w:sz="0" w:space="0" w:color="auto"/>
          </w:divBdr>
        </w:div>
        <w:div w:id="836923085">
          <w:marLeft w:val="576"/>
          <w:marRight w:val="0"/>
          <w:marTop w:val="120"/>
          <w:marBottom w:val="0"/>
          <w:divBdr>
            <w:top w:val="none" w:sz="0" w:space="0" w:color="auto"/>
            <w:left w:val="none" w:sz="0" w:space="0" w:color="auto"/>
            <w:bottom w:val="none" w:sz="0" w:space="0" w:color="auto"/>
            <w:right w:val="none" w:sz="0" w:space="0" w:color="auto"/>
          </w:divBdr>
        </w:div>
        <w:div w:id="1546061867">
          <w:marLeft w:val="576"/>
          <w:marRight w:val="0"/>
          <w:marTop w:val="120"/>
          <w:marBottom w:val="0"/>
          <w:divBdr>
            <w:top w:val="none" w:sz="0" w:space="0" w:color="auto"/>
            <w:left w:val="none" w:sz="0" w:space="0" w:color="auto"/>
            <w:bottom w:val="none" w:sz="0" w:space="0" w:color="auto"/>
            <w:right w:val="none" w:sz="0" w:space="0" w:color="auto"/>
          </w:divBdr>
        </w:div>
        <w:div w:id="1393964282">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13</Pages>
  <Words>1600</Words>
  <Characters>9121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2021-12-24T11:40:00Z</dcterms:modified>
</cp:coreProperties>
</file>