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A34" w:rsidRPr="00D26A5D" w:rsidRDefault="004514B6" w:rsidP="004514B6">
      <w:pPr>
        <w:spacing w:line="360" w:lineRule="auto"/>
        <w:jc w:val="center"/>
        <w:rPr>
          <w:b/>
          <w:szCs w:val="20"/>
        </w:rPr>
      </w:pPr>
      <w:r w:rsidRPr="004514B6">
        <w:rPr>
          <w:b/>
          <w:szCs w:val="20"/>
        </w:rPr>
        <w:t>P</w:t>
      </w:r>
      <w:r>
        <w:rPr>
          <w:b/>
          <w:szCs w:val="20"/>
        </w:rPr>
        <w:t>RIVACY AND SECURITY ANALYSIS OF CRYPTO CURRENCY MOBILE APPLICATIONS</w:t>
      </w:r>
      <w:r w:rsidR="00C71CF2" w:rsidRPr="00C71CF2">
        <w:rPr>
          <w:b/>
          <w:bCs/>
          <w:szCs w:val="20"/>
        </w:rPr>
        <w:t xml:space="preserve"> </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308D1" w:rsidRDefault="008077AA" w:rsidP="00CC5D10">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CC5D10" w:rsidRPr="00CC5D10">
        <w:t xml:space="preserve">Ensuing to the presentation of Bit coin, the field of cryptographic money has </w:t>
      </w:r>
      <w:r w:rsidR="00CC5D10">
        <w:t xml:space="preserve">seen extraordinary development. </w:t>
      </w:r>
      <w:r w:rsidR="00CC5D10" w:rsidRPr="00CC5D10">
        <w:t>Portable applications known as wallets regularly work with client communication to these cryptographic forms of money. With an apparent true worth these wallets are an objective for aggressors. Dissimilar to standard monetary administrations applications, digital money wallets are not expose to similar tough security prerequisites of their managed partners. In this paper, we analyze the security profiles of normally utilized Android digital money applications. We look at these applications for normal weaknesses laid out by OWASP portable top 10. We lay out a benchmark for our tests by assessing generally utilized banking and exchanging applications. We think about the outcomes from our standard test and lay out the condition of safety given by digital money wallet applications. The paper additionally inspects the conceivable protection ramifications of portable applications. We report that the traditional monetary administrations applications are just possibly better compared to digital money application in security arrangements yet they give more prominent protection.</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BE6A01" w:rsidRPr="00BE6A01" w:rsidRDefault="00BE6A01" w:rsidP="00BE6A01">
      <w:pPr>
        <w:spacing w:line="360" w:lineRule="auto"/>
        <w:jc w:val="both"/>
        <w:rPr>
          <w:color w:val="000000"/>
        </w:rPr>
      </w:pPr>
      <w:r w:rsidRPr="00BE6A01">
        <w:rPr>
          <w:color w:val="000000"/>
        </w:rPr>
        <w:t>Bitcoin is a decentralized advanced money sent off in 2009. Various</w:t>
      </w:r>
      <w:r>
        <w:rPr>
          <w:color w:val="000000"/>
        </w:rPr>
        <w:t xml:space="preserve"> </w:t>
      </w:r>
      <w:r w:rsidRPr="00BE6A01">
        <w:rPr>
          <w:color w:val="000000"/>
        </w:rPr>
        <w:t xml:space="preserve">elective digital forms of money have been proposed since. A digital currency depends on P2P organization </w:t>
      </w:r>
      <w:r>
        <w:rPr>
          <w:color w:val="000000"/>
        </w:rPr>
        <w:t xml:space="preserve">of hubs. Full hubs download and </w:t>
      </w:r>
      <w:r w:rsidRPr="00BE6A01">
        <w:rPr>
          <w:color w:val="000000"/>
        </w:rPr>
        <w:lastRenderedPageBreak/>
        <w:t>approve the entire blockchain. Light, or meager, hubs inquiry data from different hubs to save extra room and transmission capacity. Light hubs present compromises as far as security and protection. To start with, in the event of an effective overshadowing assault, an enemy can refuse assistance or give misleading data. In this manner, light hubs actually must guarantee that something like one associated full hub is straightforward. This is accomplished by either associating with an irregular arrangement of hubs (bootstrapping), or to a confided in hub. Second, an "legitimate however inquisitive" hub or a worldwide aloof foe can deduct a client's Bitcoin tends to in light of Bloom channels. Cryptographic money wallets on cell phones have restricted assets, consequently they either completely trust a brought together server for blockchain information, or utilize the basic installment confirmation convention (SPV). A SPV hub interfaces with full hubs and downloads just square headers, expecting the header with the most evidence of-work is the substantial one. Full hubs give light hubs exchanges data alongside a Merkle evidence of their participation in the</w:t>
      </w:r>
      <w:r>
        <w:rPr>
          <w:color w:val="000000"/>
        </w:rPr>
        <w:t xml:space="preserve"> </w:t>
      </w:r>
      <w:r w:rsidRPr="00BE6A01">
        <w:rPr>
          <w:color w:val="000000"/>
        </w:rPr>
        <w:t>heaviest chain. To give more grounded protection, SPV hubs issue inquiries utilizing</w:t>
      </w:r>
    </w:p>
    <w:p w:rsidR="00640D21" w:rsidRPr="00BE6A01" w:rsidRDefault="00BE6A01" w:rsidP="00BE6A01">
      <w:pPr>
        <w:spacing w:line="360" w:lineRule="auto"/>
        <w:jc w:val="both"/>
        <w:rPr>
          <w:color w:val="000000"/>
        </w:rPr>
      </w:pPr>
      <w:r w:rsidRPr="00BE6A01">
        <w:rPr>
          <w:color w:val="000000"/>
        </w:rPr>
        <w:t>Blossom channels with a predefined bogus positive rate (and zero misleading negatives),</w:t>
      </w:r>
      <w:r>
        <w:rPr>
          <w:color w:val="000000"/>
        </w:rPr>
        <w:t xml:space="preserve"> </w:t>
      </w:r>
      <w:r w:rsidRPr="00BE6A01">
        <w:rPr>
          <w:color w:val="000000"/>
        </w:rPr>
        <w:t>also dispose of superfluous information client-side.</w:t>
      </w:r>
      <w:r>
        <w:rPr>
          <w:color w:val="000000"/>
        </w:rPr>
        <w:t xml:space="preserve"> </w:t>
      </w:r>
      <w:r w:rsidRPr="00BE6A01">
        <w:rPr>
          <w:color w:val="000000"/>
        </w:rPr>
        <w:t xml:space="preserve">We are utilizing the expression "protection" to signify what is going on where subtleties of an individual's digital money exchanges are stowed away from outsiders. Related ideas are namelessness and classification. we consider </w:t>
      </w:r>
      <w:r w:rsidRPr="00BE6A01">
        <w:rPr>
          <w:color w:val="000000"/>
        </w:rPr>
        <w:lastRenderedPageBreak/>
        <w:t>wallet designers as enemies attempting to gather information regarding their clients' exchanges. Through concentrating on the highlights of unmistakable versatile wallet, we attempt to assess how much private data their engineers can gather. We assess the security and protection of famous Android wallets for different digital forms of money. We figure out four measures for a negligibly protection safeguarding wallet and apply them to a determination of wallets. BITCOIN utilizes distributed (P2P) innovation, and it works with no believed outsider power that might show up as a bank, a Chartered Accountant (CA), a legal official, or some other concentrated assistance. Specifically, a proprietor has full command over its bitcoins, and she could spend them whenever and anyplace without including any incorporated power. Bitcoin configuration is open-source and no one possesses or controls it. Additionally, it is a cryptographically solid electronic installment framework, and it empowers exchanges including virtual money</w:t>
      </w:r>
      <w:r>
        <w:rPr>
          <w:color w:val="000000"/>
        </w:rPr>
        <w:t xml:space="preserve"> </w:t>
      </w:r>
      <w:r w:rsidRPr="00BE6A01">
        <w:rPr>
          <w:color w:val="000000"/>
        </w:rPr>
        <w:t>as advanced tokens called Bitcoin coins (BTC or basically bitcoins).</w:t>
      </w:r>
    </w:p>
    <w:p w:rsidR="00BE6A01" w:rsidRDefault="00BE6A01" w:rsidP="00397FFE">
      <w:pPr>
        <w:spacing w:line="360" w:lineRule="auto"/>
        <w:jc w:val="both"/>
        <w:rPr>
          <w:b/>
          <w:bCs/>
          <w:color w:val="000000"/>
          <w:sz w:val="24"/>
          <w:szCs w:val="24"/>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727F7" w:rsidRPr="007566C5" w:rsidRDefault="007566C5" w:rsidP="007566C5">
      <w:pPr>
        <w:spacing w:line="360" w:lineRule="auto"/>
        <w:jc w:val="both"/>
        <w:rPr>
          <w:bCs/>
          <w:szCs w:val="20"/>
        </w:rPr>
      </w:pPr>
      <w:r w:rsidRPr="007566C5">
        <w:rPr>
          <w:bCs/>
          <w:szCs w:val="20"/>
        </w:rPr>
        <w:t>The primary prerequisites to stay away from the above issue is two-collapsed: (I) disseminate the</w:t>
      </w:r>
      <w:r>
        <w:rPr>
          <w:bCs/>
          <w:szCs w:val="20"/>
        </w:rPr>
        <w:t xml:space="preserve"> </w:t>
      </w:r>
      <w:r w:rsidRPr="007566C5">
        <w:rPr>
          <w:bCs/>
          <w:szCs w:val="20"/>
        </w:rPr>
        <w:t xml:space="preserve">exchange confirmation interaction to guarantee the accuracy of the exchange, and (ii) everybody in the organization should know rapidly about an effectively handled exchange to guarantee the predictable condition of the blockchain. To satisfy the previously mentioned prerequisites, Bitcoin utilizes the idea of Proof-of-Work (PoW) and a probabilistic dispersed agreement </w:t>
      </w:r>
      <w:r w:rsidRPr="007566C5">
        <w:rPr>
          <w:bCs/>
          <w:szCs w:val="20"/>
        </w:rPr>
        <w:lastRenderedPageBreak/>
        <w:t>convention. An exchange with low exchange expense could experience the ill effects of the starvation issue, i.e., refused assistance for quite a while, on the off chance that the excavators are caught up with handling the exchanges with a higher exchange charge. Specifically, this sort of game hypothesis issues is classified "Misfortune of Commons", where the friends go out to be reasonable, childish and hurt different companions for their advantages. This sort of narrow minded conduct may</w:t>
      </w:r>
      <w:r>
        <w:rPr>
          <w:bCs/>
          <w:szCs w:val="20"/>
        </w:rPr>
        <w:t xml:space="preserve"> </w:t>
      </w:r>
      <w:r w:rsidRPr="007566C5">
        <w:rPr>
          <w:bCs/>
          <w:szCs w:val="20"/>
        </w:rPr>
        <w:t>represent a game hypothetical issue between the self centered diggers and the organization. Specifically, the overall adaptability issues of unstructured overlays joined with the issues prompted by the Bitcoin convention itself stays in the framework.</w:t>
      </w:r>
    </w:p>
    <w:p w:rsidR="007566C5" w:rsidRDefault="007566C5" w:rsidP="007566C5">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970990" w:rsidRPr="00970990" w:rsidRDefault="00970990" w:rsidP="00970990">
      <w:pPr>
        <w:tabs>
          <w:tab w:val="left" w:pos="720"/>
        </w:tabs>
        <w:spacing w:after="100" w:line="360" w:lineRule="auto"/>
        <w:jc w:val="both"/>
        <w:rPr>
          <w:lang w:val="en-IN"/>
        </w:rPr>
      </w:pPr>
      <w:r w:rsidRPr="00970990">
        <w:t xml:space="preserve">A. Nelson, </w:t>
      </w:r>
    </w:p>
    <w:p w:rsidR="00970990" w:rsidRPr="00970990" w:rsidRDefault="00970990" w:rsidP="00970990">
      <w:pPr>
        <w:tabs>
          <w:tab w:val="left" w:pos="720"/>
        </w:tabs>
        <w:spacing w:after="100" w:line="360" w:lineRule="auto"/>
        <w:jc w:val="both"/>
        <w:rPr>
          <w:lang w:val="en-IN"/>
        </w:rPr>
      </w:pPr>
      <w:r w:rsidRPr="00970990">
        <w:t>“Cryptocurrency regulation in 2018: Where the world stands right now”</w:t>
      </w:r>
      <w:r w:rsidRPr="00970990">
        <w:rPr>
          <w:lang w:val="en-IN"/>
        </w:rPr>
        <w:t xml:space="preserve"> </w:t>
      </w:r>
    </w:p>
    <w:p w:rsidR="007566C5" w:rsidRPr="00970990" w:rsidRDefault="00970990" w:rsidP="008F3A01">
      <w:pPr>
        <w:spacing w:line="360" w:lineRule="auto"/>
        <w:jc w:val="both"/>
        <w:rPr>
          <w:lang w:val="en-IN"/>
        </w:rPr>
      </w:pPr>
      <w:r w:rsidRPr="00970990">
        <w:rPr>
          <w:lang w:val="en-IN"/>
        </w:rPr>
        <w:t>In this sense, virtual monetary forms are not perceived as a cash in Guatemala nor are they perceived as unfamiliar money; thusly, they don't establish a method for lawful instalment.</w:t>
      </w:r>
    </w:p>
    <w:p w:rsidR="00970990" w:rsidRPr="00970990" w:rsidRDefault="00970990" w:rsidP="008F3A01">
      <w:pPr>
        <w:spacing w:line="360" w:lineRule="auto"/>
        <w:jc w:val="both"/>
        <w:rPr>
          <w:lang w:val="en-IN"/>
        </w:rPr>
      </w:pPr>
    </w:p>
    <w:p w:rsidR="00970990" w:rsidRPr="00970990" w:rsidRDefault="00970990" w:rsidP="00970990">
      <w:pPr>
        <w:tabs>
          <w:tab w:val="left" w:pos="720"/>
        </w:tabs>
        <w:spacing w:after="100" w:line="360" w:lineRule="auto"/>
        <w:jc w:val="both"/>
        <w:rPr>
          <w:lang w:val="en-IN"/>
        </w:rPr>
      </w:pPr>
      <w:r w:rsidRPr="00970990">
        <w:t xml:space="preserve">P. D. Phuc, </w:t>
      </w:r>
    </w:p>
    <w:p w:rsidR="00970990" w:rsidRPr="00970990" w:rsidRDefault="00970990" w:rsidP="00970990">
      <w:pPr>
        <w:tabs>
          <w:tab w:val="left" w:pos="720"/>
        </w:tabs>
        <w:spacing w:after="100" w:line="360" w:lineRule="auto"/>
        <w:jc w:val="both"/>
        <w:rPr>
          <w:lang w:val="en-IN"/>
        </w:rPr>
      </w:pPr>
      <w:r w:rsidRPr="00970990">
        <w:t>“Threat fabric</w:t>
      </w:r>
      <w:r w:rsidRPr="00970990">
        <w:rPr>
          <w:lang w:val="en-IN"/>
        </w:rPr>
        <w:t>”</w:t>
      </w:r>
    </w:p>
    <w:p w:rsidR="00970990" w:rsidRDefault="00970990" w:rsidP="00970990">
      <w:pPr>
        <w:tabs>
          <w:tab w:val="left" w:pos="720"/>
        </w:tabs>
        <w:spacing w:after="100" w:line="360" w:lineRule="auto"/>
        <w:jc w:val="both"/>
        <w:rPr>
          <w:lang w:val="en-IN"/>
        </w:rPr>
      </w:pPr>
      <w:r w:rsidRPr="00970990">
        <w:rPr>
          <w:lang w:val="en-IN"/>
        </w:rPr>
        <w:t>Danger Fabric has two arrangements the Mobile Threat Intelligence (MTI) and Client Side Detection (CSD). MTI is a blend of dim web examinations and malware investigation to engage and uphold clients.</w:t>
      </w:r>
    </w:p>
    <w:p w:rsidR="00970990" w:rsidRPr="00970990" w:rsidRDefault="00970990" w:rsidP="00970990">
      <w:pPr>
        <w:tabs>
          <w:tab w:val="left" w:pos="720"/>
        </w:tabs>
        <w:spacing w:after="100" w:line="360" w:lineRule="auto"/>
        <w:jc w:val="both"/>
        <w:rPr>
          <w:lang w:val="en-IN"/>
        </w:rPr>
      </w:pPr>
      <w:r w:rsidRPr="00970990">
        <w:lastRenderedPageBreak/>
        <w:t xml:space="preserve">L. Kessem, </w:t>
      </w:r>
    </w:p>
    <w:p w:rsidR="00970990" w:rsidRPr="00970990" w:rsidRDefault="00970990" w:rsidP="00970990">
      <w:pPr>
        <w:tabs>
          <w:tab w:val="left" w:pos="720"/>
        </w:tabs>
        <w:spacing w:after="100" w:line="360" w:lineRule="auto"/>
        <w:jc w:val="both"/>
        <w:rPr>
          <w:lang w:val="en-IN"/>
        </w:rPr>
      </w:pPr>
      <w:r w:rsidRPr="00970990">
        <w:t>“Mobile banking trojans as keen on cryptocurrency as pc malware”</w:t>
      </w:r>
      <w:r w:rsidRPr="00970990">
        <w:rPr>
          <w:lang w:val="en-IN"/>
        </w:rPr>
        <w:t xml:space="preserve"> </w:t>
      </w:r>
    </w:p>
    <w:p w:rsidR="00970990" w:rsidRPr="00970990" w:rsidRDefault="00970990" w:rsidP="00970990">
      <w:pPr>
        <w:tabs>
          <w:tab w:val="left" w:pos="720"/>
        </w:tabs>
        <w:spacing w:after="100" w:line="360" w:lineRule="auto"/>
        <w:jc w:val="both"/>
        <w:rPr>
          <w:lang w:val="en-IN"/>
        </w:rPr>
      </w:pPr>
      <w:r w:rsidRPr="00970990">
        <w:rPr>
          <w:lang w:val="en-IN"/>
        </w:rPr>
        <w:t>In this review, we analyze the conduct and benefit of present day malware that mines cryptographic money. Dissimilar to past examinations, we take a gander at the cryptographic money market overall, rather than just Bitcoin.</w:t>
      </w:r>
    </w:p>
    <w:p w:rsidR="00970990" w:rsidRPr="00970990" w:rsidRDefault="00970990" w:rsidP="00970990">
      <w:pPr>
        <w:tabs>
          <w:tab w:val="left" w:pos="720"/>
        </w:tabs>
        <w:spacing w:after="100" w:line="360" w:lineRule="auto"/>
        <w:jc w:val="both"/>
        <w:rPr>
          <w:lang w:val="en-IN"/>
        </w:rPr>
      </w:pPr>
    </w:p>
    <w:p w:rsidR="00970990" w:rsidRPr="00970990" w:rsidRDefault="00970990" w:rsidP="00970990">
      <w:pPr>
        <w:tabs>
          <w:tab w:val="left" w:pos="720"/>
        </w:tabs>
        <w:spacing w:after="100" w:line="360" w:lineRule="auto"/>
        <w:jc w:val="both"/>
        <w:rPr>
          <w:lang w:val="en-IN"/>
        </w:rPr>
      </w:pPr>
      <w:r w:rsidRPr="00970990">
        <w:t xml:space="preserve">W. Enck, P. Gilbert, S. Han, V. Tendulkar, B.-G. Chun, L. P. Cox, J. Jung, P. McDaniel, and A. N. Sheth, </w:t>
      </w:r>
    </w:p>
    <w:p w:rsidR="00970990" w:rsidRPr="00970990" w:rsidRDefault="00970990" w:rsidP="00970990">
      <w:pPr>
        <w:tabs>
          <w:tab w:val="left" w:pos="720"/>
        </w:tabs>
        <w:spacing w:after="100" w:line="360" w:lineRule="auto"/>
        <w:jc w:val="both"/>
      </w:pPr>
      <w:r w:rsidRPr="00970990">
        <w:t>“Taintdroid”</w:t>
      </w:r>
    </w:p>
    <w:p w:rsidR="00970990" w:rsidRPr="00970990" w:rsidRDefault="00970990" w:rsidP="00970990">
      <w:pPr>
        <w:tabs>
          <w:tab w:val="left" w:pos="720"/>
        </w:tabs>
        <w:spacing w:after="100" w:line="360" w:lineRule="auto"/>
        <w:jc w:val="both"/>
        <w:rPr>
          <w:lang w:val="en-IN"/>
        </w:rPr>
      </w:pPr>
      <w:r w:rsidRPr="00970990">
        <w:rPr>
          <w:lang w:val="en-IN"/>
        </w:rPr>
        <w:lastRenderedPageBreak/>
        <w:t>We address these weaknesses with TaintDroid, a productive, framework wide powerful pollutant following and investigation framework able to do at the same time following different wellsprings of delicate information. TaintDroid empowers realtime investigation by utilizing Android's virtualized execution climate.</w:t>
      </w:r>
    </w:p>
    <w:p w:rsidR="00970990" w:rsidRPr="00970990" w:rsidRDefault="00970990" w:rsidP="00970990">
      <w:pPr>
        <w:tabs>
          <w:tab w:val="left" w:pos="720"/>
        </w:tabs>
        <w:spacing w:after="100" w:line="360" w:lineRule="auto"/>
        <w:jc w:val="both"/>
        <w:rPr>
          <w:lang w:val="en-IN"/>
        </w:rPr>
      </w:pPr>
    </w:p>
    <w:p w:rsidR="00970990" w:rsidRPr="00970990" w:rsidRDefault="00970990" w:rsidP="00970990">
      <w:pPr>
        <w:tabs>
          <w:tab w:val="left" w:pos="720"/>
        </w:tabs>
        <w:spacing w:after="100" w:line="360" w:lineRule="auto"/>
        <w:jc w:val="both"/>
        <w:rPr>
          <w:lang w:val="en-IN"/>
        </w:rPr>
      </w:pPr>
    </w:p>
    <w:p w:rsidR="00970990" w:rsidRPr="00970990" w:rsidRDefault="00970990" w:rsidP="00970990">
      <w:pPr>
        <w:tabs>
          <w:tab w:val="left" w:pos="720"/>
        </w:tabs>
        <w:spacing w:after="100" w:line="360" w:lineRule="auto"/>
        <w:jc w:val="both"/>
        <w:rPr>
          <w:lang w:val="en-IN"/>
        </w:rPr>
      </w:pPr>
    </w:p>
    <w:p w:rsidR="00970990" w:rsidRPr="00970990" w:rsidRDefault="00970990" w:rsidP="00970990">
      <w:pPr>
        <w:tabs>
          <w:tab w:val="left" w:pos="720"/>
        </w:tabs>
        <w:spacing w:after="100" w:line="360" w:lineRule="auto"/>
        <w:jc w:val="both"/>
        <w:rPr>
          <w:lang w:val="en-IN"/>
        </w:rPr>
      </w:pPr>
    </w:p>
    <w:p w:rsidR="00970990" w:rsidRPr="00970990" w:rsidRDefault="00970990" w:rsidP="008F3A01">
      <w:pPr>
        <w:spacing w:line="360" w:lineRule="auto"/>
        <w:jc w:val="both"/>
        <w:rPr>
          <w:lang w:val="en-IN"/>
        </w:rPr>
      </w:pPr>
    </w:p>
    <w:p w:rsidR="007566C5" w:rsidRPr="00970990" w:rsidRDefault="007566C5" w:rsidP="008F3A01">
      <w:pPr>
        <w:spacing w:line="360" w:lineRule="auto"/>
        <w:jc w:val="both"/>
        <w:rPr>
          <w:lang w:val="en-IN"/>
        </w:rPr>
      </w:pP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5850F5" w:rsidRDefault="005850F5" w:rsidP="007D4C87">
      <w:pPr>
        <w:spacing w:line="360" w:lineRule="auto"/>
        <w:jc w:val="both"/>
        <w:rPr>
          <w:b/>
        </w:rPr>
      </w:pPr>
    </w:p>
    <w:p w:rsidR="004B752D" w:rsidRPr="00D26A5D" w:rsidRDefault="007D4C87" w:rsidP="007D4C87">
      <w:pPr>
        <w:spacing w:line="360" w:lineRule="auto"/>
        <w:jc w:val="both"/>
        <w:rPr>
          <w:b/>
        </w:rPr>
      </w:pPr>
      <w:r w:rsidRPr="00D26A5D">
        <w:rPr>
          <w:b/>
        </w:rPr>
        <w:t>5.SYSTEM ARCHITECTURE :</w:t>
      </w:r>
    </w:p>
    <w:p w:rsidR="007D4C87" w:rsidRDefault="007D4C87" w:rsidP="004B752D">
      <w:pPr>
        <w:jc w:val="center"/>
        <w:rPr>
          <w:rFonts w:eastAsia="Times New Roman"/>
          <w:b/>
          <w:bCs/>
          <w:noProof/>
          <w:sz w:val="24"/>
          <w:szCs w:val="24"/>
          <w:lang w:val="en-IN" w:eastAsia="en-IN" w:bidi="ta-IN"/>
        </w:rPr>
      </w:pPr>
    </w:p>
    <w:p w:rsidR="00970990" w:rsidRDefault="00973DFC" w:rsidP="004B752D">
      <w:pPr>
        <w:jc w:val="center"/>
        <w:rPr>
          <w:rFonts w:eastAsia="Times New Roman"/>
          <w:b/>
          <w:bCs/>
          <w:sz w:val="24"/>
          <w:szCs w:val="24"/>
        </w:rPr>
      </w:pPr>
      <w:r w:rsidRPr="00973DFC">
        <w:rPr>
          <w:rFonts w:eastAsia="Times New Roman"/>
          <w:b/>
          <w:bCs/>
          <w:sz w:val="24"/>
          <w:szCs w:val="24"/>
        </w:rPr>
        <w:drawing>
          <wp:inline distT="0" distB="0" distL="0" distR="0">
            <wp:extent cx="5191125" cy="2800350"/>
            <wp:effectExtent l="19050" t="0" r="9525" b="0"/>
            <wp:docPr id="1" name="Picture 1" descr="D:\yuva work document\pic.png"/>
            <wp:cNvGraphicFramePr/>
            <a:graphic xmlns:a="http://schemas.openxmlformats.org/drawingml/2006/main">
              <a:graphicData uri="http://schemas.openxmlformats.org/drawingml/2006/picture">
                <pic:pic xmlns:pic="http://schemas.openxmlformats.org/drawingml/2006/picture">
                  <pic:nvPicPr>
                    <pic:cNvPr id="5" name="Content Placeholder 4" descr="D:\yuva work document\pic.png"/>
                    <pic:cNvPicPr>
                      <a:picLocks noGrp="1"/>
                    </pic:cNvPicPr>
                  </pic:nvPicPr>
                  <pic:blipFill>
                    <a:blip r:embed="rId10"/>
                    <a:srcRect/>
                    <a:stretch>
                      <a:fillRect/>
                    </a:stretch>
                  </pic:blipFill>
                  <pic:spPr bwMode="auto">
                    <a:xfrm>
                      <a:off x="0" y="0"/>
                      <a:ext cx="5192653" cy="2801174"/>
                    </a:xfrm>
                    <a:prstGeom prst="rect">
                      <a:avLst/>
                    </a:prstGeom>
                    <a:noFill/>
                    <a:ln w="9525">
                      <a:noFill/>
                      <a:miter lim="800000"/>
                      <a:headEnd/>
                      <a:tailEnd/>
                    </a:ln>
                  </pic:spPr>
                </pic:pic>
              </a:graphicData>
            </a:graphic>
          </wp:inline>
        </w:drawing>
      </w:r>
    </w:p>
    <w:p w:rsidR="00973DFC" w:rsidRDefault="00973DFC" w:rsidP="004B752D">
      <w:pPr>
        <w:jc w:val="center"/>
        <w:rPr>
          <w:rFonts w:eastAsia="Times New Roman"/>
          <w:b/>
          <w:bCs/>
          <w:sz w:val="24"/>
          <w:szCs w:val="24"/>
        </w:rPr>
      </w:pPr>
    </w:p>
    <w:p w:rsidR="00973DFC" w:rsidRPr="00D26A5D" w:rsidRDefault="00973DFC" w:rsidP="004B752D">
      <w:pPr>
        <w:jc w:val="center"/>
        <w:rPr>
          <w:rFonts w:eastAsia="Times New Roman"/>
          <w:b/>
          <w:bCs/>
          <w:sz w:val="24"/>
          <w:szCs w:val="24"/>
        </w:rPr>
        <w:sectPr w:rsidR="00973DFC" w:rsidRPr="00D26A5D" w:rsidSect="00455FE3">
          <w:type w:val="continuous"/>
          <w:pgSz w:w="11907" w:h="16839" w:code="9"/>
          <w:pgMar w:top="1620" w:right="686" w:bottom="2340" w:left="700" w:header="0" w:footer="0" w:gutter="0"/>
          <w:cols w:space="720"/>
          <w:docGrid w:linePitch="299"/>
        </w:sectPr>
      </w:pP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Default="008077AA" w:rsidP="00B608E9">
      <w:pPr>
        <w:shd w:val="clear" w:color="auto" w:fill="FFFFFF"/>
        <w:spacing w:line="360" w:lineRule="auto"/>
        <w:jc w:val="both"/>
        <w:rPr>
          <w:rFonts w:eastAsia="Times New Roman"/>
        </w:rPr>
      </w:pPr>
    </w:p>
    <w:p w:rsidR="005E233C" w:rsidRPr="00D26A5D" w:rsidRDefault="004E47C6" w:rsidP="004E47C6">
      <w:pPr>
        <w:shd w:val="clear" w:color="auto" w:fill="FFFFFF"/>
        <w:spacing w:line="360" w:lineRule="auto"/>
        <w:jc w:val="both"/>
        <w:rPr>
          <w:rFonts w:eastAsia="Times New Roman"/>
        </w:rPr>
      </w:pPr>
      <w:r w:rsidRPr="004E47C6">
        <w:rPr>
          <w:rFonts w:eastAsia="Times New Roman"/>
        </w:rPr>
        <w:t xml:space="preserve">It will improve the security for overseeing cryptographic money coins with an exceptionally solid </w:t>
      </w:r>
      <w:r w:rsidRPr="004E47C6">
        <w:rPr>
          <w:rFonts w:eastAsia="Times New Roman"/>
        </w:rPr>
        <w:lastRenderedPageBreak/>
        <w:t>and simple to utilize wallet.</w:t>
      </w:r>
      <w:r>
        <w:rPr>
          <w:rFonts w:eastAsia="Times New Roman"/>
        </w:rPr>
        <w:t xml:space="preserve"> </w:t>
      </w:r>
      <w:r w:rsidRPr="004E47C6">
        <w:rPr>
          <w:rFonts w:eastAsia="Times New Roman"/>
        </w:rPr>
        <w:t xml:space="preserve">It will smooth out the current business process for exchanging existing digital money coins alongside supporting the new arising coins in view of verification of room by presenting </w:t>
      </w:r>
      <w:r w:rsidRPr="004E47C6">
        <w:rPr>
          <w:rFonts w:eastAsia="Times New Roman"/>
        </w:rPr>
        <w:lastRenderedPageBreak/>
        <w:t>new highlights.</w:t>
      </w:r>
      <w:r>
        <w:rPr>
          <w:rFonts w:eastAsia="Times New Roman"/>
        </w:rPr>
        <w:t xml:space="preserve"> </w:t>
      </w:r>
      <w:r w:rsidRPr="004E47C6">
        <w:rPr>
          <w:rFonts w:eastAsia="Times New Roman"/>
        </w:rPr>
        <w:t>The recently evolved will be an underlying adaptation of item.</w:t>
      </w:r>
      <w:r>
        <w:rPr>
          <w:rFonts w:eastAsia="Times New Roman"/>
        </w:rPr>
        <w:t xml:space="preserve"> </w:t>
      </w:r>
      <w:r w:rsidRPr="004E47C6">
        <w:rPr>
          <w:rFonts w:eastAsia="Times New Roman"/>
        </w:rPr>
        <w:t>The basic foundation will be different when contrasted with Coinblesk or other accessible wallets in view of Proof of Work.</w:t>
      </w:r>
    </w:p>
    <w:p w:rsidR="004E47C6" w:rsidRDefault="004E47C6" w:rsidP="002D7B1E">
      <w:pPr>
        <w:spacing w:after="120" w:line="360" w:lineRule="auto"/>
        <w:jc w:val="both"/>
        <w:rPr>
          <w:b/>
          <w:sz w:val="24"/>
        </w:rPr>
      </w:pPr>
    </w:p>
    <w:p w:rsidR="002D7B1E" w:rsidRDefault="002D7B1E" w:rsidP="002D7B1E">
      <w:pPr>
        <w:spacing w:after="120" w:line="360" w:lineRule="auto"/>
        <w:jc w:val="both"/>
        <w:rPr>
          <w:b/>
          <w:sz w:val="24"/>
        </w:rPr>
      </w:pPr>
      <w:r w:rsidRPr="002D7B1E">
        <w:rPr>
          <w:b/>
          <w:sz w:val="24"/>
        </w:rPr>
        <w:t>7.DISADVANTAGE OF EXISTING SYSTEM:</w:t>
      </w:r>
    </w:p>
    <w:p w:rsidR="004E47C6" w:rsidRPr="006B29D6" w:rsidRDefault="006B29D6" w:rsidP="006B29D6">
      <w:pPr>
        <w:spacing w:after="120" w:line="360" w:lineRule="auto"/>
        <w:jc w:val="both"/>
        <w:rPr>
          <w:bCs/>
          <w:szCs w:val="20"/>
        </w:rPr>
      </w:pPr>
      <w:r w:rsidRPr="006B29D6">
        <w:rPr>
          <w:bCs/>
          <w:szCs w:val="20"/>
        </w:rPr>
        <w:t>The Open Web Application Security Project (OWASP) portable security project gives an assortment of the most widely recognized security issues in versatile applications</w:t>
      </w:r>
      <w:r>
        <w:rPr>
          <w:bCs/>
          <w:szCs w:val="20"/>
        </w:rPr>
        <w:t xml:space="preserve">. </w:t>
      </w:r>
      <w:r w:rsidRPr="006B29D6">
        <w:rPr>
          <w:bCs/>
          <w:szCs w:val="20"/>
        </w:rPr>
        <w:t>Applications managing touchy data, for example, individual or monetary information should execute legitimate client validation.</w:t>
      </w:r>
      <w:r>
        <w:rPr>
          <w:bCs/>
          <w:szCs w:val="20"/>
        </w:rPr>
        <w:t xml:space="preserve"> </w:t>
      </w:r>
      <w:r w:rsidRPr="006B29D6">
        <w:rPr>
          <w:bCs/>
          <w:szCs w:val="20"/>
        </w:rPr>
        <w:t>This class of danger incorporates issues connected with meeting the executives and client distinguishing proof.</w:t>
      </w:r>
      <w:r>
        <w:rPr>
          <w:bCs/>
          <w:szCs w:val="20"/>
        </w:rPr>
        <w:t xml:space="preserve"> </w:t>
      </w:r>
      <w:r w:rsidRPr="006B29D6">
        <w:rPr>
          <w:bCs/>
          <w:szCs w:val="20"/>
        </w:rPr>
        <w:t>we execute the application in a recreated climate and sniff the organization traffic to layout any systems administration issue like transmission of restricted intel in plain text.</w:t>
      </w:r>
    </w:p>
    <w:p w:rsidR="00BD266A" w:rsidRDefault="00BD266A" w:rsidP="002D7B1E">
      <w:pPr>
        <w:spacing w:after="120" w:line="360" w:lineRule="auto"/>
        <w:jc w:val="both"/>
        <w:rPr>
          <w:bCs/>
          <w:szCs w:val="20"/>
          <w:lang w:val="en-IN"/>
        </w:rPr>
      </w:pPr>
    </w:p>
    <w:p w:rsidR="00867532"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6B29D6" w:rsidRPr="004A043C" w:rsidRDefault="004A043C" w:rsidP="0092721B">
      <w:pPr>
        <w:spacing w:after="120" w:line="360" w:lineRule="auto"/>
        <w:jc w:val="both"/>
        <w:rPr>
          <w:bCs/>
          <w:szCs w:val="20"/>
        </w:rPr>
      </w:pPr>
      <w:r w:rsidRPr="004A043C">
        <w:rPr>
          <w:bCs/>
          <w:szCs w:val="20"/>
        </w:rPr>
        <w:t>In this paper, we detail the development of Spacemint, investigate its security and game-hypothetical properties, and study its presentation.</w:t>
      </w:r>
      <w:r>
        <w:rPr>
          <w:bCs/>
          <w:szCs w:val="20"/>
        </w:rPr>
        <w:t xml:space="preserve"> </w:t>
      </w:r>
      <w:r w:rsidRPr="004A043C">
        <w:rPr>
          <w:bCs/>
          <w:szCs w:val="20"/>
        </w:rPr>
        <w:t>The motivation behind the task is to foster a cutting edge digital currency wallet in view of evidence of room.</w:t>
      </w:r>
      <w:r>
        <w:rPr>
          <w:bCs/>
          <w:szCs w:val="20"/>
        </w:rPr>
        <w:t xml:space="preserve"> </w:t>
      </w:r>
      <w:r w:rsidRPr="004A043C">
        <w:rPr>
          <w:bCs/>
          <w:szCs w:val="20"/>
        </w:rPr>
        <w:t>Then again, the center is to propose another wallet with far reaching usefulness for another BC founded on Proof of Space.</w:t>
      </w:r>
      <w:r>
        <w:rPr>
          <w:bCs/>
          <w:szCs w:val="20"/>
        </w:rPr>
        <w:t xml:space="preserve"> </w:t>
      </w:r>
      <w:r w:rsidRPr="004A043C">
        <w:rPr>
          <w:bCs/>
          <w:szCs w:val="20"/>
        </w:rPr>
        <w:t xml:space="preserve">To this end, an insightful review was led for android-based cryptographic money wallets and another arrangement of necessities are proposed in this report with cutting edge security highlights to accomplish elite execution as far as quick exchange </w:t>
      </w:r>
      <w:r w:rsidRPr="004A043C">
        <w:rPr>
          <w:bCs/>
          <w:szCs w:val="20"/>
        </w:rPr>
        <w:lastRenderedPageBreak/>
        <w:t>taking care of, secure associations, versatility, and unwavering quality.</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8B4035" w:rsidRDefault="008B4035" w:rsidP="008B4035">
      <w:pPr>
        <w:autoSpaceDE w:val="0"/>
        <w:autoSpaceDN w:val="0"/>
        <w:adjustRightInd w:val="0"/>
        <w:spacing w:line="360" w:lineRule="auto"/>
        <w:jc w:val="both"/>
        <w:rPr>
          <w:rFonts w:eastAsia="Calibri"/>
        </w:rPr>
      </w:pPr>
      <w:r w:rsidRPr="008B4035">
        <w:rPr>
          <w:rFonts w:eastAsia="Calibri"/>
        </w:rPr>
        <w:t>To perform static examination, we require the source code of the application. We embrace the methodology utilized by to produce java source code from the Android application bundle document (APK).</w:t>
      </w:r>
      <w:r>
        <w:rPr>
          <w:rFonts w:eastAsia="Calibri"/>
        </w:rPr>
        <w:t xml:space="preserve"> </w:t>
      </w:r>
      <w:r w:rsidRPr="008B4035">
        <w:rPr>
          <w:rFonts w:eastAsia="Calibri"/>
        </w:rPr>
        <w:t>Through decompiling the bundled record, we can create a remade form of source code.</w:t>
      </w:r>
      <w:r>
        <w:rPr>
          <w:rFonts w:eastAsia="Calibri"/>
        </w:rPr>
        <w:t xml:space="preserve"> </w:t>
      </w:r>
      <w:r w:rsidRPr="008B4035">
        <w:rPr>
          <w:rFonts w:eastAsia="Calibri"/>
        </w:rPr>
        <w:t>This recreated source code can be used for the static investigation.</w:t>
      </w:r>
      <w:r>
        <w:rPr>
          <w:rFonts w:eastAsia="Calibri"/>
        </w:rPr>
        <w:t xml:space="preserve"> </w:t>
      </w:r>
      <w:r w:rsidRPr="008B4035">
        <w:rPr>
          <w:rFonts w:eastAsia="Calibri"/>
        </w:rPr>
        <w:t>Despite the fact that there are OK use cases for MD5, it might in any case represent a security danger assuming it is utilized in basic cryptography calculations in the application</w:t>
      </w:r>
      <w:r>
        <w:rPr>
          <w:rFonts w:eastAsia="Calibri"/>
        </w:rPr>
        <w:t xml:space="preserve">. </w:t>
      </w:r>
      <w:r w:rsidRPr="008B4035">
        <w:rPr>
          <w:rFonts w:eastAsia="Calibri"/>
        </w:rPr>
        <w:t>Different dangers, for example, MD5 and SHA-1 may not represent a serious danger as long as they are not utilized in any security touchy part of the application</w:t>
      </w:r>
    </w:p>
    <w:p w:rsidR="004A043C" w:rsidRDefault="004A043C" w:rsidP="00960283">
      <w:pPr>
        <w:autoSpaceDE w:val="0"/>
        <w:autoSpaceDN w:val="0"/>
        <w:adjustRightInd w:val="0"/>
        <w:jc w:val="both"/>
        <w:rPr>
          <w:rFonts w:eastAsia="Calibri"/>
          <w:b/>
          <w:bCs/>
        </w:rPr>
      </w:pPr>
    </w:p>
    <w:p w:rsidR="00DC5199" w:rsidRPr="00973DFC" w:rsidRDefault="005218E3" w:rsidP="00960283">
      <w:pPr>
        <w:autoSpaceDE w:val="0"/>
        <w:autoSpaceDN w:val="0"/>
        <w:adjustRightInd w:val="0"/>
        <w:jc w:val="both"/>
        <w:rPr>
          <w:rFonts w:eastAsia="Calibri"/>
          <w:b/>
          <w:bCs/>
          <w:sz w:val="24"/>
          <w:szCs w:val="24"/>
        </w:rPr>
      </w:pPr>
      <w:r w:rsidRPr="00973DFC">
        <w:rPr>
          <w:rFonts w:eastAsia="Calibri"/>
          <w:b/>
          <w:bCs/>
          <w:sz w:val="24"/>
          <w:szCs w:val="24"/>
        </w:rPr>
        <w:t>CONCLUSION</w:t>
      </w:r>
      <w:r w:rsidR="00DC5199" w:rsidRPr="00973DFC">
        <w:rPr>
          <w:rFonts w:eastAsia="Calibri"/>
          <w:b/>
          <w:bCs/>
          <w:sz w:val="24"/>
          <w:szCs w:val="24"/>
        </w:rPr>
        <w:t xml:space="preserve"> :</w:t>
      </w:r>
    </w:p>
    <w:p w:rsidR="006B52E4" w:rsidRPr="00973DFC" w:rsidRDefault="006B52E4" w:rsidP="002D7B1E">
      <w:pPr>
        <w:autoSpaceDE w:val="0"/>
        <w:autoSpaceDN w:val="0"/>
        <w:adjustRightInd w:val="0"/>
        <w:spacing w:line="360" w:lineRule="auto"/>
        <w:jc w:val="both"/>
        <w:rPr>
          <w:rFonts w:eastAsia="Calibri"/>
          <w:sz w:val="24"/>
          <w:szCs w:val="24"/>
        </w:rPr>
      </w:pPr>
    </w:p>
    <w:p w:rsidR="00011F88" w:rsidRPr="00BD3D65" w:rsidRDefault="00BD3D65" w:rsidP="00BD3D65">
      <w:pPr>
        <w:autoSpaceDE w:val="0"/>
        <w:autoSpaceDN w:val="0"/>
        <w:adjustRightInd w:val="0"/>
        <w:spacing w:line="360" w:lineRule="auto"/>
        <w:jc w:val="both"/>
        <w:rPr>
          <w:rFonts w:eastAsia="Calibri"/>
        </w:rPr>
      </w:pPr>
      <w:r w:rsidRPr="00BD3D65">
        <w:rPr>
          <w:rFonts w:eastAsia="Calibri"/>
        </w:rPr>
        <w:t xml:space="preserve">In this paper, we played out an assessment of the security and protection of digital currency applications utilizing static code examination and organization information investigation (Section 3). Results from the static and organization information examination propose that customary financial applications have a lower pace of safety weaknesses contrasted with cryptographic money applications. The most well-known revealed issue is lacking Cryptography (M5) trailed by uncertain information stockpiling. The inadequate cryptography issue is somewhat simple to address by taking advantage of current cryptography capacities like SHA2. Shaky information stockpiling issue can be tended to by guaranteeing no impermanent </w:t>
      </w:r>
      <w:r w:rsidRPr="00BD3D65">
        <w:rPr>
          <w:rFonts w:eastAsia="Calibri"/>
        </w:rPr>
        <w:lastRenderedPageBreak/>
        <w:t>records contain delicate data and furthermore by involving an encoded data set for the application.</w:t>
      </w:r>
    </w:p>
    <w:p w:rsidR="008B4035" w:rsidRPr="00973DFC" w:rsidRDefault="008B4035" w:rsidP="006B52E4">
      <w:pPr>
        <w:autoSpaceDE w:val="0"/>
        <w:autoSpaceDN w:val="0"/>
        <w:adjustRightInd w:val="0"/>
        <w:jc w:val="both"/>
        <w:rPr>
          <w:rFonts w:eastAsia="Calibri"/>
          <w:b/>
          <w:bCs/>
          <w:sz w:val="24"/>
          <w:szCs w:val="24"/>
        </w:rPr>
      </w:pPr>
    </w:p>
    <w:p w:rsidR="004B557E" w:rsidRPr="00973DFC" w:rsidRDefault="004B557E" w:rsidP="00B608E9">
      <w:pPr>
        <w:spacing w:line="360" w:lineRule="auto"/>
        <w:jc w:val="both"/>
        <w:rPr>
          <w:sz w:val="24"/>
        </w:rPr>
      </w:pPr>
      <w:r w:rsidRPr="00973DFC">
        <w:rPr>
          <w:b/>
          <w:sz w:val="24"/>
        </w:rPr>
        <w:t>REFERENCES</w:t>
      </w:r>
    </w:p>
    <w:p w:rsidR="008E3998" w:rsidRPr="00D26A5D" w:rsidRDefault="008E3998" w:rsidP="00333A11">
      <w:pPr>
        <w:spacing w:line="360" w:lineRule="auto"/>
        <w:jc w:val="both"/>
      </w:pPr>
    </w:p>
    <w:p w:rsidR="00A517DC" w:rsidRPr="00A517DC" w:rsidRDefault="00A517DC" w:rsidP="00A517DC">
      <w:pPr>
        <w:pStyle w:val="BodyText"/>
        <w:rPr>
          <w:sz w:val="22"/>
          <w:szCs w:val="22"/>
          <w:lang w:val="en-IN"/>
        </w:rPr>
      </w:pPr>
      <w:r w:rsidRPr="00A517DC">
        <w:rPr>
          <w:sz w:val="22"/>
          <w:szCs w:val="22"/>
        </w:rPr>
        <w:t xml:space="preserve">[1] “Cryptocurrency market capitalizations — coinmarketcap,” Oct 2018. [Online]. Available: https://coinmarketcap.com/ </w:t>
      </w:r>
    </w:p>
    <w:p w:rsidR="00A517DC" w:rsidRDefault="00A517DC" w:rsidP="00A517DC">
      <w:pPr>
        <w:pStyle w:val="BodyText"/>
        <w:rPr>
          <w:sz w:val="22"/>
          <w:szCs w:val="22"/>
        </w:rPr>
      </w:pPr>
    </w:p>
    <w:p w:rsidR="00A517DC" w:rsidRPr="00A517DC" w:rsidRDefault="00A517DC" w:rsidP="00A517DC">
      <w:pPr>
        <w:pStyle w:val="BodyText"/>
        <w:rPr>
          <w:sz w:val="22"/>
          <w:szCs w:val="22"/>
          <w:lang w:val="en-IN"/>
        </w:rPr>
      </w:pPr>
      <w:r w:rsidRPr="00A517DC">
        <w:rPr>
          <w:sz w:val="22"/>
          <w:szCs w:val="22"/>
        </w:rPr>
        <w:t>[2] A. Nelson, “Cryptocurrency regulation in 2018: Where the world stands right now,” Bitcoin Magazine. Online at https://bitcoinmagazine. com/articles/cryptocurrency-regulation-2018-where-world-stands-rightnow, 2018.</w:t>
      </w:r>
      <w:r w:rsidRPr="00A517DC">
        <w:rPr>
          <w:sz w:val="22"/>
          <w:szCs w:val="22"/>
          <w:lang w:val="en-IN"/>
        </w:rPr>
        <w:t xml:space="preserve"> </w:t>
      </w:r>
    </w:p>
    <w:p w:rsidR="00A517DC" w:rsidRDefault="00A517DC" w:rsidP="00A517DC">
      <w:pPr>
        <w:pStyle w:val="BodyText"/>
        <w:rPr>
          <w:sz w:val="22"/>
          <w:szCs w:val="22"/>
        </w:rPr>
      </w:pPr>
    </w:p>
    <w:p w:rsidR="00A517DC" w:rsidRPr="00A517DC" w:rsidRDefault="00A517DC" w:rsidP="00A517DC">
      <w:pPr>
        <w:pStyle w:val="BodyText"/>
        <w:rPr>
          <w:sz w:val="22"/>
          <w:szCs w:val="22"/>
          <w:lang w:val="en-IN"/>
        </w:rPr>
      </w:pPr>
      <w:r w:rsidRPr="00A517DC">
        <w:rPr>
          <w:sz w:val="22"/>
          <w:szCs w:val="22"/>
        </w:rPr>
        <w:t>[3] P. D. Phuc, “Threatfabric.” [Online]. Available: https://goo.gl/Kx7QbU</w:t>
      </w:r>
      <w:r w:rsidRPr="00A517DC">
        <w:rPr>
          <w:sz w:val="22"/>
          <w:szCs w:val="22"/>
          <w:lang w:val="en-IN"/>
        </w:rPr>
        <w:t xml:space="preserve"> </w:t>
      </w:r>
    </w:p>
    <w:p w:rsidR="00A517DC" w:rsidRDefault="00A517DC" w:rsidP="00A517DC">
      <w:pPr>
        <w:pStyle w:val="BodyText"/>
        <w:rPr>
          <w:sz w:val="22"/>
          <w:szCs w:val="22"/>
        </w:rPr>
      </w:pPr>
    </w:p>
    <w:p w:rsidR="00A517DC" w:rsidRPr="00A517DC" w:rsidRDefault="00A517DC" w:rsidP="00A517DC">
      <w:pPr>
        <w:pStyle w:val="BodyText"/>
        <w:rPr>
          <w:sz w:val="22"/>
          <w:szCs w:val="22"/>
          <w:lang w:val="en-IN"/>
        </w:rPr>
      </w:pPr>
      <w:r w:rsidRPr="00A517DC">
        <w:rPr>
          <w:sz w:val="22"/>
          <w:szCs w:val="22"/>
        </w:rPr>
        <w:t>[4] L. Kessem, “Mobile banking trojans as keen on cryptocurrency as pc malware,” Mar 2018. [Online]. Available: https://securityintelligence.com/mobile-banking-trojans-as-keenon-cryptocurrency-as-pc-malware/</w:t>
      </w:r>
      <w:r w:rsidRPr="00A517DC">
        <w:rPr>
          <w:sz w:val="22"/>
          <w:szCs w:val="22"/>
          <w:lang w:val="en-IN"/>
        </w:rPr>
        <w:t xml:space="preserve"> </w:t>
      </w:r>
    </w:p>
    <w:p w:rsidR="00A517DC" w:rsidRDefault="00A517DC" w:rsidP="00A517DC">
      <w:pPr>
        <w:pStyle w:val="BodyText"/>
        <w:rPr>
          <w:sz w:val="22"/>
          <w:szCs w:val="22"/>
        </w:rPr>
      </w:pPr>
    </w:p>
    <w:p w:rsidR="00A517DC" w:rsidRPr="00A517DC" w:rsidRDefault="00A517DC" w:rsidP="00A517DC">
      <w:pPr>
        <w:pStyle w:val="BodyText"/>
        <w:rPr>
          <w:sz w:val="22"/>
          <w:szCs w:val="22"/>
          <w:lang w:val="en-IN"/>
        </w:rPr>
      </w:pPr>
      <w:r w:rsidRPr="00A517DC">
        <w:rPr>
          <w:sz w:val="22"/>
          <w:szCs w:val="22"/>
        </w:rPr>
        <w:t xml:space="preserve">[5] “Owasp mobile security project.” [Online]. Available: https://www.owasp.org/index.php/Mobile Top 10 2016-Top 10 </w:t>
      </w:r>
    </w:p>
    <w:p w:rsidR="00A517DC" w:rsidRDefault="00A517DC" w:rsidP="00A517DC">
      <w:pPr>
        <w:pStyle w:val="BodyText"/>
        <w:rPr>
          <w:sz w:val="22"/>
          <w:szCs w:val="22"/>
        </w:rPr>
      </w:pPr>
    </w:p>
    <w:p w:rsidR="00A517DC" w:rsidRPr="00A517DC" w:rsidRDefault="00A517DC" w:rsidP="00A517DC">
      <w:pPr>
        <w:pStyle w:val="BodyText"/>
        <w:rPr>
          <w:sz w:val="22"/>
          <w:szCs w:val="22"/>
          <w:lang w:val="en-IN"/>
        </w:rPr>
      </w:pPr>
      <w:r w:rsidRPr="00A517DC">
        <w:rPr>
          <w:sz w:val="22"/>
          <w:szCs w:val="22"/>
        </w:rPr>
        <w:t xml:space="preserve">[6] “Keychain services.” [Online]. Available: https://developer.apple.com/documentation/security/keychain services </w:t>
      </w:r>
    </w:p>
    <w:p w:rsidR="00A517DC" w:rsidRDefault="00A517DC" w:rsidP="00A517DC">
      <w:pPr>
        <w:pStyle w:val="BodyText"/>
        <w:rPr>
          <w:sz w:val="22"/>
          <w:szCs w:val="22"/>
        </w:rPr>
      </w:pPr>
    </w:p>
    <w:p w:rsidR="00A517DC" w:rsidRPr="00A517DC" w:rsidRDefault="00A517DC" w:rsidP="00A517DC">
      <w:pPr>
        <w:pStyle w:val="BodyText"/>
        <w:rPr>
          <w:sz w:val="22"/>
          <w:szCs w:val="22"/>
          <w:lang w:val="en-IN"/>
        </w:rPr>
      </w:pPr>
      <w:r w:rsidRPr="00A517DC">
        <w:rPr>
          <w:sz w:val="22"/>
          <w:szCs w:val="22"/>
        </w:rPr>
        <w:t xml:space="preserve">[7] W. Enck, P. Gilbert, S. Han, V. Tendulkar, B.-G. Chun, L. P. Cox, J. Jung, P. McDaniel, and A. N. </w:t>
      </w:r>
      <w:r w:rsidRPr="00A517DC">
        <w:rPr>
          <w:sz w:val="22"/>
          <w:szCs w:val="22"/>
        </w:rPr>
        <w:lastRenderedPageBreak/>
        <w:t>Sheth, “Taintdroid,” ACM Transactions on Computer Systems (TOCS), vol. 32, no. 2, p. 5, 2014.</w:t>
      </w:r>
      <w:r w:rsidRPr="00A517DC">
        <w:rPr>
          <w:sz w:val="22"/>
          <w:szCs w:val="22"/>
          <w:lang w:val="en-IN"/>
        </w:rPr>
        <w:t xml:space="preserve"> </w:t>
      </w:r>
    </w:p>
    <w:p w:rsidR="00A517DC" w:rsidRDefault="00A517DC" w:rsidP="00A517DC">
      <w:pPr>
        <w:pStyle w:val="BodyText"/>
        <w:rPr>
          <w:sz w:val="22"/>
          <w:szCs w:val="22"/>
        </w:rPr>
      </w:pPr>
    </w:p>
    <w:p w:rsidR="00A517DC" w:rsidRPr="00A517DC" w:rsidRDefault="00A517DC" w:rsidP="00A517DC">
      <w:pPr>
        <w:pStyle w:val="BodyText"/>
        <w:rPr>
          <w:sz w:val="22"/>
          <w:szCs w:val="22"/>
          <w:lang w:val="en-IN"/>
        </w:rPr>
      </w:pPr>
      <w:r w:rsidRPr="00A517DC">
        <w:rPr>
          <w:sz w:val="22"/>
          <w:szCs w:val="22"/>
        </w:rPr>
        <w:t xml:space="preserve">[8] Y. Zhou, X. Zhang, X. Jiang, and V. W. Freeh, “Taming information stealing smartphone applications (on android),” in International conference on Trust and trustworthy computing. Springer, 2011, pp. 93–107. </w:t>
      </w:r>
    </w:p>
    <w:p w:rsidR="00A517DC" w:rsidRDefault="00A517DC" w:rsidP="00A517DC">
      <w:pPr>
        <w:pStyle w:val="BodyText"/>
        <w:rPr>
          <w:sz w:val="22"/>
          <w:szCs w:val="22"/>
        </w:rPr>
      </w:pPr>
    </w:p>
    <w:p w:rsidR="00A517DC" w:rsidRPr="00A517DC" w:rsidRDefault="00A517DC" w:rsidP="00A517DC">
      <w:pPr>
        <w:pStyle w:val="BodyText"/>
        <w:rPr>
          <w:sz w:val="22"/>
          <w:szCs w:val="22"/>
          <w:lang w:val="en-IN"/>
        </w:rPr>
      </w:pPr>
      <w:r w:rsidRPr="00A517DC">
        <w:rPr>
          <w:sz w:val="22"/>
          <w:szCs w:val="22"/>
        </w:rPr>
        <w:t xml:space="preserve">[9] Z. Fang, W. Han, and Y. Li, “Permission based android security: Issues and countermeasures,” computers &amp; security, vol. 43, pp. 205–218, 2014. </w:t>
      </w:r>
    </w:p>
    <w:p w:rsidR="00A517DC" w:rsidRDefault="00A517DC" w:rsidP="00A517DC">
      <w:pPr>
        <w:pStyle w:val="BodyText"/>
        <w:rPr>
          <w:sz w:val="22"/>
          <w:szCs w:val="22"/>
        </w:rPr>
      </w:pPr>
    </w:p>
    <w:p w:rsidR="00A517DC" w:rsidRPr="00A517DC" w:rsidRDefault="00A517DC" w:rsidP="00A517DC">
      <w:pPr>
        <w:pStyle w:val="BodyText"/>
        <w:rPr>
          <w:sz w:val="22"/>
          <w:szCs w:val="22"/>
          <w:lang w:val="en-IN"/>
        </w:rPr>
      </w:pPr>
      <w:r w:rsidRPr="00A517DC">
        <w:rPr>
          <w:sz w:val="22"/>
          <w:szCs w:val="22"/>
        </w:rPr>
        <w:t>[10] L. Li, T. F. Bissyande, M. Papadakis, S. Rasthofer, A. Bartel, D. Octeau, ´ J. Klein, and L. Traon, “Static analysis of android apps: A systematic literature review,” Information and Software Technology, vol. 88, pp. 67–95, 2017.</w:t>
      </w:r>
      <w:r w:rsidRPr="00A517DC">
        <w:rPr>
          <w:sz w:val="22"/>
          <w:szCs w:val="22"/>
          <w:lang w:val="en-IN"/>
        </w:rPr>
        <w:t xml:space="preserve"> </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0EFF" w:rsidRDefault="00D70EFF" w:rsidP="00D57631">
      <w:r>
        <w:separator/>
      </w:r>
    </w:p>
  </w:endnote>
  <w:endnote w:type="continuationSeparator" w:id="1">
    <w:p w:rsidR="00D70EFF" w:rsidRDefault="00D70EFF"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9718AB">
        <w:pPr>
          <w:pStyle w:val="Footer"/>
          <w:jc w:val="center"/>
        </w:pPr>
        <w:fldSimple w:instr=" PAGE   \* MERGEFORMAT ">
          <w:r w:rsidR="00A517DC">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0EFF" w:rsidRDefault="00D70EFF" w:rsidP="00D57631">
      <w:r>
        <w:separator/>
      </w:r>
    </w:p>
  </w:footnote>
  <w:footnote w:type="continuationSeparator" w:id="1">
    <w:p w:rsidR="00D70EFF" w:rsidRDefault="00D70EFF"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EA2472D"/>
    <w:multiLevelType w:val="hybridMultilevel"/>
    <w:tmpl w:val="B9766914"/>
    <w:lvl w:ilvl="0" w:tplc="A77235D4">
      <w:start w:val="1"/>
      <w:numFmt w:val="bullet"/>
      <w:lvlText w:val=""/>
      <w:lvlJc w:val="left"/>
      <w:pPr>
        <w:tabs>
          <w:tab w:val="num" w:pos="720"/>
        </w:tabs>
        <w:ind w:left="720" w:hanging="360"/>
      </w:pPr>
      <w:rPr>
        <w:rFonts w:ascii="Wingdings 2" w:hAnsi="Wingdings 2" w:hint="default"/>
      </w:rPr>
    </w:lvl>
    <w:lvl w:ilvl="1" w:tplc="8A44FCEE" w:tentative="1">
      <w:start w:val="1"/>
      <w:numFmt w:val="bullet"/>
      <w:lvlText w:val=""/>
      <w:lvlJc w:val="left"/>
      <w:pPr>
        <w:tabs>
          <w:tab w:val="num" w:pos="1440"/>
        </w:tabs>
        <w:ind w:left="1440" w:hanging="360"/>
      </w:pPr>
      <w:rPr>
        <w:rFonts w:ascii="Wingdings 2" w:hAnsi="Wingdings 2" w:hint="default"/>
      </w:rPr>
    </w:lvl>
    <w:lvl w:ilvl="2" w:tplc="C26E9488" w:tentative="1">
      <w:start w:val="1"/>
      <w:numFmt w:val="bullet"/>
      <w:lvlText w:val=""/>
      <w:lvlJc w:val="left"/>
      <w:pPr>
        <w:tabs>
          <w:tab w:val="num" w:pos="2160"/>
        </w:tabs>
        <w:ind w:left="2160" w:hanging="360"/>
      </w:pPr>
      <w:rPr>
        <w:rFonts w:ascii="Wingdings 2" w:hAnsi="Wingdings 2" w:hint="default"/>
      </w:rPr>
    </w:lvl>
    <w:lvl w:ilvl="3" w:tplc="9C9A2714" w:tentative="1">
      <w:start w:val="1"/>
      <w:numFmt w:val="bullet"/>
      <w:lvlText w:val=""/>
      <w:lvlJc w:val="left"/>
      <w:pPr>
        <w:tabs>
          <w:tab w:val="num" w:pos="2880"/>
        </w:tabs>
        <w:ind w:left="2880" w:hanging="360"/>
      </w:pPr>
      <w:rPr>
        <w:rFonts w:ascii="Wingdings 2" w:hAnsi="Wingdings 2" w:hint="default"/>
      </w:rPr>
    </w:lvl>
    <w:lvl w:ilvl="4" w:tplc="919A631C" w:tentative="1">
      <w:start w:val="1"/>
      <w:numFmt w:val="bullet"/>
      <w:lvlText w:val=""/>
      <w:lvlJc w:val="left"/>
      <w:pPr>
        <w:tabs>
          <w:tab w:val="num" w:pos="3600"/>
        </w:tabs>
        <w:ind w:left="3600" w:hanging="360"/>
      </w:pPr>
      <w:rPr>
        <w:rFonts w:ascii="Wingdings 2" w:hAnsi="Wingdings 2" w:hint="default"/>
      </w:rPr>
    </w:lvl>
    <w:lvl w:ilvl="5" w:tplc="9F481FC0" w:tentative="1">
      <w:start w:val="1"/>
      <w:numFmt w:val="bullet"/>
      <w:lvlText w:val=""/>
      <w:lvlJc w:val="left"/>
      <w:pPr>
        <w:tabs>
          <w:tab w:val="num" w:pos="4320"/>
        </w:tabs>
        <w:ind w:left="4320" w:hanging="360"/>
      </w:pPr>
      <w:rPr>
        <w:rFonts w:ascii="Wingdings 2" w:hAnsi="Wingdings 2" w:hint="default"/>
      </w:rPr>
    </w:lvl>
    <w:lvl w:ilvl="6" w:tplc="9182CD2A" w:tentative="1">
      <w:start w:val="1"/>
      <w:numFmt w:val="bullet"/>
      <w:lvlText w:val=""/>
      <w:lvlJc w:val="left"/>
      <w:pPr>
        <w:tabs>
          <w:tab w:val="num" w:pos="5040"/>
        </w:tabs>
        <w:ind w:left="5040" w:hanging="360"/>
      </w:pPr>
      <w:rPr>
        <w:rFonts w:ascii="Wingdings 2" w:hAnsi="Wingdings 2" w:hint="default"/>
      </w:rPr>
    </w:lvl>
    <w:lvl w:ilvl="7" w:tplc="6AACC2EA" w:tentative="1">
      <w:start w:val="1"/>
      <w:numFmt w:val="bullet"/>
      <w:lvlText w:val=""/>
      <w:lvlJc w:val="left"/>
      <w:pPr>
        <w:tabs>
          <w:tab w:val="num" w:pos="5760"/>
        </w:tabs>
        <w:ind w:left="5760" w:hanging="360"/>
      </w:pPr>
      <w:rPr>
        <w:rFonts w:ascii="Wingdings 2" w:hAnsi="Wingdings 2" w:hint="default"/>
      </w:rPr>
    </w:lvl>
    <w:lvl w:ilvl="8" w:tplc="243A4DE0" w:tentative="1">
      <w:start w:val="1"/>
      <w:numFmt w:val="bullet"/>
      <w:lvlText w:val=""/>
      <w:lvlJc w:val="left"/>
      <w:pPr>
        <w:tabs>
          <w:tab w:val="num" w:pos="6480"/>
        </w:tabs>
        <w:ind w:left="6480" w:hanging="360"/>
      </w:pPr>
      <w:rPr>
        <w:rFonts w:ascii="Wingdings 2" w:hAnsi="Wingdings 2" w:hint="default"/>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0">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3">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4">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4"/>
  </w:num>
  <w:num w:numId="8">
    <w:abstractNumId w:val="10"/>
  </w:num>
  <w:num w:numId="9">
    <w:abstractNumId w:val="20"/>
  </w:num>
  <w:num w:numId="10">
    <w:abstractNumId w:val="21"/>
  </w:num>
  <w:num w:numId="11">
    <w:abstractNumId w:val="16"/>
  </w:num>
  <w:num w:numId="12">
    <w:abstractNumId w:val="15"/>
  </w:num>
  <w:num w:numId="13">
    <w:abstractNumId w:val="7"/>
  </w:num>
  <w:num w:numId="14">
    <w:abstractNumId w:val="18"/>
  </w:num>
  <w:num w:numId="15">
    <w:abstractNumId w:val="12"/>
  </w:num>
  <w:num w:numId="16">
    <w:abstractNumId w:val="23"/>
  </w:num>
  <w:num w:numId="17">
    <w:abstractNumId w:val="13"/>
  </w:num>
  <w:num w:numId="18">
    <w:abstractNumId w:val="6"/>
  </w:num>
  <w:num w:numId="19">
    <w:abstractNumId w:val="22"/>
  </w:num>
  <w:num w:numId="20">
    <w:abstractNumId w:val="24"/>
  </w:num>
  <w:num w:numId="21">
    <w:abstractNumId w:val="11"/>
  </w:num>
  <w:num w:numId="22">
    <w:abstractNumId w:val="9"/>
  </w:num>
  <w:num w:numId="23">
    <w:abstractNumId w:val="19"/>
  </w:num>
  <w:num w:numId="24">
    <w:abstractNumId w:val="5"/>
  </w:num>
  <w:num w:numId="25">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515F5"/>
    <w:rsid w:val="00054858"/>
    <w:rsid w:val="0005620C"/>
    <w:rsid w:val="00070B1E"/>
    <w:rsid w:val="00076A22"/>
    <w:rsid w:val="00094DAD"/>
    <w:rsid w:val="000A0BFD"/>
    <w:rsid w:val="000A3858"/>
    <w:rsid w:val="000B25E4"/>
    <w:rsid w:val="000B3011"/>
    <w:rsid w:val="000D7EDC"/>
    <w:rsid w:val="000E43CA"/>
    <w:rsid w:val="00100420"/>
    <w:rsid w:val="0010738E"/>
    <w:rsid w:val="00120718"/>
    <w:rsid w:val="00123347"/>
    <w:rsid w:val="00126A34"/>
    <w:rsid w:val="00127CB7"/>
    <w:rsid w:val="00134CE3"/>
    <w:rsid w:val="00173B6E"/>
    <w:rsid w:val="001C3B54"/>
    <w:rsid w:val="001D67F4"/>
    <w:rsid w:val="001F3C11"/>
    <w:rsid w:val="001F6F30"/>
    <w:rsid w:val="001F7AEF"/>
    <w:rsid w:val="00205856"/>
    <w:rsid w:val="00251117"/>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514B6"/>
    <w:rsid w:val="004523CE"/>
    <w:rsid w:val="00455FE3"/>
    <w:rsid w:val="0047329A"/>
    <w:rsid w:val="00492C1F"/>
    <w:rsid w:val="004A043C"/>
    <w:rsid w:val="004A66F3"/>
    <w:rsid w:val="004B557E"/>
    <w:rsid w:val="004B752D"/>
    <w:rsid w:val="004E47C6"/>
    <w:rsid w:val="0050504C"/>
    <w:rsid w:val="005078A8"/>
    <w:rsid w:val="005079FD"/>
    <w:rsid w:val="00513A4B"/>
    <w:rsid w:val="005218E3"/>
    <w:rsid w:val="00547F62"/>
    <w:rsid w:val="005660B8"/>
    <w:rsid w:val="005850F5"/>
    <w:rsid w:val="00591146"/>
    <w:rsid w:val="00597B41"/>
    <w:rsid w:val="005A204D"/>
    <w:rsid w:val="005D1361"/>
    <w:rsid w:val="005D303E"/>
    <w:rsid w:val="005E233C"/>
    <w:rsid w:val="006122C4"/>
    <w:rsid w:val="00626889"/>
    <w:rsid w:val="00627B93"/>
    <w:rsid w:val="006308D1"/>
    <w:rsid w:val="00635A5D"/>
    <w:rsid w:val="00640D21"/>
    <w:rsid w:val="00641CDD"/>
    <w:rsid w:val="00656C23"/>
    <w:rsid w:val="006647FD"/>
    <w:rsid w:val="00675AF5"/>
    <w:rsid w:val="006A2FBE"/>
    <w:rsid w:val="006B29D6"/>
    <w:rsid w:val="006B52E4"/>
    <w:rsid w:val="006C13D3"/>
    <w:rsid w:val="006C4540"/>
    <w:rsid w:val="006E0D63"/>
    <w:rsid w:val="006E5EE2"/>
    <w:rsid w:val="006F0229"/>
    <w:rsid w:val="006F1E5D"/>
    <w:rsid w:val="0071355D"/>
    <w:rsid w:val="007566C5"/>
    <w:rsid w:val="0077084E"/>
    <w:rsid w:val="007859EB"/>
    <w:rsid w:val="0079463B"/>
    <w:rsid w:val="007D4C87"/>
    <w:rsid w:val="007E7D56"/>
    <w:rsid w:val="007F16F2"/>
    <w:rsid w:val="008077AA"/>
    <w:rsid w:val="00826757"/>
    <w:rsid w:val="00831639"/>
    <w:rsid w:val="00835F4E"/>
    <w:rsid w:val="00837638"/>
    <w:rsid w:val="008430BC"/>
    <w:rsid w:val="00855123"/>
    <w:rsid w:val="00867532"/>
    <w:rsid w:val="008727F7"/>
    <w:rsid w:val="00890E88"/>
    <w:rsid w:val="008B4035"/>
    <w:rsid w:val="008D06DD"/>
    <w:rsid w:val="008E3998"/>
    <w:rsid w:val="008E6626"/>
    <w:rsid w:val="008F3A01"/>
    <w:rsid w:val="008F753B"/>
    <w:rsid w:val="00902509"/>
    <w:rsid w:val="00923626"/>
    <w:rsid w:val="00923913"/>
    <w:rsid w:val="0092721B"/>
    <w:rsid w:val="009346F5"/>
    <w:rsid w:val="00950A8C"/>
    <w:rsid w:val="00960283"/>
    <w:rsid w:val="009634DE"/>
    <w:rsid w:val="00970990"/>
    <w:rsid w:val="009718AB"/>
    <w:rsid w:val="00971B3A"/>
    <w:rsid w:val="00971D50"/>
    <w:rsid w:val="00973DFC"/>
    <w:rsid w:val="00975110"/>
    <w:rsid w:val="009D5A27"/>
    <w:rsid w:val="009D5A4D"/>
    <w:rsid w:val="009F73D0"/>
    <w:rsid w:val="00A0617D"/>
    <w:rsid w:val="00A06BDE"/>
    <w:rsid w:val="00A1174B"/>
    <w:rsid w:val="00A11874"/>
    <w:rsid w:val="00A2476E"/>
    <w:rsid w:val="00A269F8"/>
    <w:rsid w:val="00A45621"/>
    <w:rsid w:val="00A50C8B"/>
    <w:rsid w:val="00A517DC"/>
    <w:rsid w:val="00A62DBC"/>
    <w:rsid w:val="00AC49FB"/>
    <w:rsid w:val="00AC7F62"/>
    <w:rsid w:val="00AD3B42"/>
    <w:rsid w:val="00AD5E6C"/>
    <w:rsid w:val="00AE2058"/>
    <w:rsid w:val="00AE21EE"/>
    <w:rsid w:val="00AE29DA"/>
    <w:rsid w:val="00B04CB3"/>
    <w:rsid w:val="00B55012"/>
    <w:rsid w:val="00B608E9"/>
    <w:rsid w:val="00B67DCE"/>
    <w:rsid w:val="00BB1627"/>
    <w:rsid w:val="00BC7A95"/>
    <w:rsid w:val="00BD266A"/>
    <w:rsid w:val="00BD3D65"/>
    <w:rsid w:val="00BE6A01"/>
    <w:rsid w:val="00C00248"/>
    <w:rsid w:val="00C0750F"/>
    <w:rsid w:val="00C16E79"/>
    <w:rsid w:val="00C2352C"/>
    <w:rsid w:val="00C36E04"/>
    <w:rsid w:val="00C579FA"/>
    <w:rsid w:val="00C71CF2"/>
    <w:rsid w:val="00C7689C"/>
    <w:rsid w:val="00CA2999"/>
    <w:rsid w:val="00CB2C83"/>
    <w:rsid w:val="00CC128C"/>
    <w:rsid w:val="00CC5D10"/>
    <w:rsid w:val="00CE0DF3"/>
    <w:rsid w:val="00CE270D"/>
    <w:rsid w:val="00CE47AC"/>
    <w:rsid w:val="00CF5C56"/>
    <w:rsid w:val="00D26A5D"/>
    <w:rsid w:val="00D3113F"/>
    <w:rsid w:val="00D43869"/>
    <w:rsid w:val="00D537AE"/>
    <w:rsid w:val="00D57631"/>
    <w:rsid w:val="00D63F69"/>
    <w:rsid w:val="00D67A72"/>
    <w:rsid w:val="00D70B3A"/>
    <w:rsid w:val="00D70EFF"/>
    <w:rsid w:val="00DB41CB"/>
    <w:rsid w:val="00DB6253"/>
    <w:rsid w:val="00DB672B"/>
    <w:rsid w:val="00DC5199"/>
    <w:rsid w:val="00DD25FF"/>
    <w:rsid w:val="00DD569C"/>
    <w:rsid w:val="00DD6F3D"/>
    <w:rsid w:val="00DD7350"/>
    <w:rsid w:val="00DE2D0A"/>
    <w:rsid w:val="00E025FA"/>
    <w:rsid w:val="00E063DC"/>
    <w:rsid w:val="00E11C76"/>
    <w:rsid w:val="00E20751"/>
    <w:rsid w:val="00E83D40"/>
    <w:rsid w:val="00EA41FD"/>
    <w:rsid w:val="00EA4AD0"/>
    <w:rsid w:val="00ED531F"/>
    <w:rsid w:val="00ED5A9F"/>
    <w:rsid w:val="00F24D98"/>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A517DC"/>
    <w:pPr>
      <w:spacing w:line="360" w:lineRule="auto"/>
      <w:jc w:val="both"/>
    </w:pPr>
    <w:rPr>
      <w:rFonts w:eastAsia="Times New Roman"/>
      <w:sz w:val="20"/>
      <w:szCs w:val="20"/>
    </w:rPr>
  </w:style>
  <w:style w:type="character" w:customStyle="1" w:styleId="BodyTextChar">
    <w:name w:val="Body Text Char"/>
    <w:basedOn w:val="DefaultParagraphFont"/>
    <w:link w:val="BodyText"/>
    <w:rsid w:val="00A517DC"/>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5</Pages>
  <Words>1769</Words>
  <Characters>10088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148</cp:revision>
  <cp:lastPrinted>2019-10-22T13:18:00Z</cp:lastPrinted>
  <dcterms:created xsi:type="dcterms:W3CDTF">2019-10-19T01:55:00Z</dcterms:created>
  <dcterms:modified xsi:type="dcterms:W3CDTF">2022-02-23T12:58:00Z</dcterms:modified>
</cp:coreProperties>
</file>