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D33" w:rsidRDefault="00714D33" w:rsidP="00C36E04">
      <w:pPr>
        <w:spacing w:line="360" w:lineRule="auto"/>
        <w:jc w:val="center"/>
        <w:rPr>
          <w:b/>
          <w:szCs w:val="20"/>
        </w:rPr>
      </w:pPr>
      <w:r w:rsidRPr="00714D33">
        <w:rPr>
          <w:b/>
          <w:szCs w:val="20"/>
        </w:rPr>
        <w:t>O</w:t>
      </w:r>
      <w:r>
        <w:rPr>
          <w:b/>
          <w:szCs w:val="20"/>
        </w:rPr>
        <w:t>NLINE IDENTIFICATION AND DATA RECOVERY FOR PMU DATA MANIPULATION ATTACK</w:t>
      </w:r>
    </w:p>
    <w:p w:rsidR="00126A34" w:rsidRDefault="00126A34" w:rsidP="000D7EDC">
      <w:pPr>
        <w:spacing w:line="360" w:lineRule="auto"/>
        <w:rPr>
          <w:b/>
          <w:szCs w:val="20"/>
        </w:rPr>
      </w:pPr>
    </w:p>
    <w:p w:rsidR="00714D33" w:rsidRPr="00D26A5D" w:rsidRDefault="00714D33"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Default="008077AA" w:rsidP="00E843CF">
      <w:pPr>
        <w:autoSpaceDE w:val="0"/>
        <w:autoSpaceDN w:val="0"/>
        <w:adjustRightInd w:val="0"/>
        <w:spacing w:line="360" w:lineRule="auto"/>
        <w:jc w:val="both"/>
      </w:pPr>
      <w:r w:rsidRPr="00D26A5D">
        <w:rPr>
          <w:b/>
          <w:szCs w:val="20"/>
        </w:rPr>
        <w:lastRenderedPageBreak/>
        <w:t>ABSTRACT-</w:t>
      </w:r>
      <w:r w:rsidR="00126A34" w:rsidRPr="00D26A5D">
        <w:t xml:space="preserve"> </w:t>
      </w:r>
      <w:r w:rsidR="009368A8" w:rsidRPr="009368A8">
        <w:t>A portion of the advanced brilliant network foundations, phasor estimation units (PMUs) for example, are helpless against digital assaults due to their consistently expanding reliance on data and correspondences innovations. By and large, existing answers for digital assaults center around making overt repetitiveness as well as improving security levels of detecting and correspondence organizations. These arrangements require concentrated disconnected endeavors and hence are financially costly. Further, they are for the most part wasteful while managing dynamic assaults. This paper proposes a clever thickness based spatial bunching approach for online location, arrangement, and information recuperation for information control assaults to PMU estimations. The proposed technique is absolutely information driven and is pertinent to synchronous multi-estimation assaults without requiring extra equipment in the current foundation. The proposed approach is likewise free of the ordinary state assessment (SE). Thorough contextual analyses exhibit the adequacy of the proposed technique.</w:t>
      </w:r>
    </w:p>
    <w:p w:rsidR="00E843CF" w:rsidRDefault="00E843CF" w:rsidP="00E843CF">
      <w:pPr>
        <w:autoSpaceDE w:val="0"/>
        <w:autoSpaceDN w:val="0"/>
        <w:adjustRightInd w:val="0"/>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0C2C22" w:rsidRPr="000C2C22" w:rsidRDefault="000C2C22" w:rsidP="000C2C22">
      <w:pPr>
        <w:spacing w:line="360" w:lineRule="auto"/>
        <w:jc w:val="both"/>
        <w:rPr>
          <w:color w:val="000000"/>
        </w:rPr>
      </w:pPr>
      <w:r w:rsidRPr="000C2C22">
        <w:rPr>
          <w:color w:val="000000"/>
        </w:rPr>
        <w:t xml:space="preserve">SMART grid technologies, phasor estimation units (PMUs) for example, are in effect quickly incorporated into power frameworks. From one viewpoint, these advances carry imperativeness to the power framework by upgrading framework dependability, empowering quicker controls, and working with far and wide </w:t>
      </w:r>
      <w:r w:rsidRPr="000C2C22">
        <w:rPr>
          <w:color w:val="000000"/>
        </w:rPr>
        <w:lastRenderedPageBreak/>
        <w:t>association of appropriated energy assets (DERs). Then again, they are vigorously subject to data and interchanges advances, making power frameworks defenseless against cyberattacks. As of now, cyberattacks related with PMU estimations can be ordered into six sorts: forswearing of administration assault, actual assault, Man-in-the-center (MITM) assault, bundle investigation, malevolent code infusion, and information mocking. Among them, MITM and information parodying can both be ordered into information trustworthiness assaults. Telemetered information, for example, power infusions, line streams, voltage estimations from PMUs and the status data of breakers and switches are helpless against such assaults which is likewise the principle worry of this paper. PMUs gather voltage and flow phasors across the electric power framework progressively and send them to control focuses with an assigned organization. Information control assaults can happen at any</w:t>
      </w:r>
      <w:r>
        <w:rPr>
          <w:color w:val="000000"/>
        </w:rPr>
        <w:t xml:space="preserve"> </w:t>
      </w:r>
      <w:r w:rsidRPr="000C2C22">
        <w:rPr>
          <w:color w:val="000000"/>
        </w:rPr>
        <w:t>place of the information transmission chain. A control place's typical activity can be impacted by unauthentic estimations and</w:t>
      </w:r>
      <w:r>
        <w:rPr>
          <w:color w:val="000000"/>
        </w:rPr>
        <w:t xml:space="preserve"> </w:t>
      </w:r>
      <w:r w:rsidRPr="000C2C22">
        <w:rPr>
          <w:color w:val="000000"/>
        </w:rPr>
        <w:t>endanger the steady activity of the power matrix. By and by, state assessment is a key application that is answerable for</w:t>
      </w:r>
      <w:r>
        <w:rPr>
          <w:color w:val="000000"/>
        </w:rPr>
        <w:t xml:space="preserve"> </w:t>
      </w:r>
      <w:r w:rsidRPr="000C2C22">
        <w:rPr>
          <w:color w:val="000000"/>
        </w:rPr>
        <w:t>recognition and dismissal of terrible information. In any case, it has been shown in that misleading information infusion (FDI) assaults can</w:t>
      </w:r>
      <w:r>
        <w:rPr>
          <w:color w:val="000000"/>
        </w:rPr>
        <w:t xml:space="preserve"> </w:t>
      </w:r>
      <w:r w:rsidRPr="000C2C22">
        <w:rPr>
          <w:color w:val="000000"/>
        </w:rPr>
        <w:t>be imperceptible to state assessment on the off chance that malevolent aggressors create subtle assault vectors. As a rule, existing</w:t>
      </w:r>
      <w:r>
        <w:rPr>
          <w:color w:val="000000"/>
        </w:rPr>
        <w:t xml:space="preserve"> </w:t>
      </w:r>
      <w:r w:rsidRPr="000C2C22">
        <w:rPr>
          <w:color w:val="000000"/>
        </w:rPr>
        <w:t xml:space="preserve">countermeasures for cyberattacks to PMU estimations can be ordered into two classifications: moves toward </w:t>
      </w:r>
      <w:r w:rsidRPr="000C2C22">
        <w:rPr>
          <w:color w:val="000000"/>
        </w:rPr>
        <w:lastRenderedPageBreak/>
        <w:t>that attention on making information overt repetitiveness, and approaches that emphasis on information security improvement. In this paper, we present a clever information mining-based methodology which identifies and fixes information control assaults to the wide region observing framework (WAMS). The center calculation proposed in this paper is the thickness based spatial bunching of</w:t>
      </w:r>
    </w:p>
    <w:p w:rsidR="000C2C22" w:rsidRPr="000C2C22" w:rsidRDefault="000C2C22" w:rsidP="000C2C22">
      <w:pPr>
        <w:spacing w:line="360" w:lineRule="auto"/>
        <w:jc w:val="both"/>
        <w:rPr>
          <w:color w:val="000000"/>
        </w:rPr>
      </w:pPr>
      <w:r w:rsidRPr="000C2C22">
        <w:rPr>
          <w:color w:val="000000"/>
        </w:rPr>
        <w:t>applications with clamor (DBSCAN), which has been shown to be exceptionally successful in for PMU predisposition blunder amendment. The significant commitments of this system include:</w:t>
      </w:r>
    </w:p>
    <w:p w:rsidR="000C2C22" w:rsidRPr="000C2C22" w:rsidRDefault="001409D8" w:rsidP="000C2C22">
      <w:pPr>
        <w:spacing w:line="360" w:lineRule="auto"/>
        <w:jc w:val="both"/>
        <w:rPr>
          <w:color w:val="000000"/>
        </w:rPr>
      </w:pPr>
      <w:r>
        <w:rPr>
          <w:color w:val="000000"/>
        </w:rPr>
        <w:t>• A</w:t>
      </w:r>
      <w:r w:rsidR="000C2C22" w:rsidRPr="000C2C22">
        <w:rPr>
          <w:color w:val="000000"/>
        </w:rPr>
        <w:t xml:space="preserve"> touchy assault discovery instrument which applies to assaults as little as 1e-4 p.u.;</w:t>
      </w:r>
    </w:p>
    <w:p w:rsidR="000C2C22" w:rsidRPr="000C2C22" w:rsidRDefault="001409D8" w:rsidP="000C2C22">
      <w:pPr>
        <w:spacing w:line="360" w:lineRule="auto"/>
        <w:jc w:val="both"/>
        <w:rPr>
          <w:color w:val="000000"/>
        </w:rPr>
      </w:pPr>
      <w:r>
        <w:rPr>
          <w:color w:val="000000"/>
        </w:rPr>
        <w:t>•A</w:t>
      </w:r>
      <w:r w:rsidR="000C2C22" w:rsidRPr="000C2C22">
        <w:rPr>
          <w:color w:val="000000"/>
        </w:rPr>
        <w:t>n exact information recuperation plot for compromised PMU estimations from one or different channels;</w:t>
      </w:r>
    </w:p>
    <w:p w:rsidR="00640D21" w:rsidRPr="000C2C22" w:rsidRDefault="001409D8" w:rsidP="000C2C22">
      <w:pPr>
        <w:spacing w:line="360" w:lineRule="auto"/>
        <w:jc w:val="both"/>
        <w:rPr>
          <w:color w:val="000000"/>
        </w:rPr>
      </w:pPr>
      <w:r>
        <w:rPr>
          <w:color w:val="000000"/>
        </w:rPr>
        <w:t>• A</w:t>
      </w:r>
      <w:r w:rsidR="000C2C22" w:rsidRPr="000C2C22">
        <w:rPr>
          <w:color w:val="000000"/>
        </w:rPr>
        <w:t xml:space="preserve"> vigorous and versatile calculation to changing and wrong information on framework setups.</w:t>
      </w:r>
    </w:p>
    <w:p w:rsidR="000C2C22" w:rsidRDefault="000C2C22" w:rsidP="00397FFE">
      <w:pPr>
        <w:spacing w:line="360" w:lineRule="auto"/>
        <w:jc w:val="both"/>
        <w:rPr>
          <w:b/>
          <w:bCs/>
          <w:color w:val="000000"/>
          <w:sz w:val="24"/>
          <w:szCs w:val="24"/>
        </w:rPr>
      </w:pPr>
    </w:p>
    <w:p w:rsidR="008727F7"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570E6A" w:rsidRDefault="00570E6A" w:rsidP="00397FFE">
      <w:pPr>
        <w:spacing w:line="360" w:lineRule="auto"/>
        <w:jc w:val="both"/>
        <w:rPr>
          <w:b/>
          <w:bCs/>
          <w:color w:val="000000"/>
          <w:sz w:val="24"/>
          <w:szCs w:val="24"/>
        </w:rPr>
      </w:pPr>
    </w:p>
    <w:p w:rsidR="00570E6A" w:rsidRPr="001409D8" w:rsidRDefault="001409D8" w:rsidP="001409D8">
      <w:pPr>
        <w:spacing w:line="360" w:lineRule="auto"/>
        <w:jc w:val="both"/>
        <w:rPr>
          <w:color w:val="000000"/>
        </w:rPr>
      </w:pPr>
      <w:r w:rsidRPr="001409D8">
        <w:rPr>
          <w:color w:val="000000"/>
        </w:rPr>
        <w:t>The controlled PMU estimations can target adjusting the arrangement of the Economic Dispatch Problem (EDP).we can build a thickness based spatial bunching issue by</w:t>
      </w:r>
      <w:r>
        <w:rPr>
          <w:color w:val="000000"/>
        </w:rPr>
        <w:t xml:space="preserve"> </w:t>
      </w:r>
      <w:r w:rsidRPr="001409D8">
        <w:rPr>
          <w:color w:val="000000"/>
        </w:rPr>
        <w:t>taking into account all parts in F near 0 as bunch individuals with compromised parts as exceptions. A security point of view, by altering the power framework estimation information and influencing the typical dispatching activity of the</w:t>
      </w:r>
      <w:r>
        <w:rPr>
          <w:color w:val="000000"/>
        </w:rPr>
        <w:t xml:space="preserve"> </w:t>
      </w:r>
      <w:r w:rsidRPr="001409D8">
        <w:rPr>
          <w:color w:val="000000"/>
        </w:rPr>
        <w:t>power framework, such assaults can cause the lattice control/dispatch focus to give hindering orders. When the assault is effectively executed, it can inclination power framework state</w:t>
      </w:r>
      <w:r>
        <w:rPr>
          <w:color w:val="000000"/>
        </w:rPr>
        <w:t xml:space="preserve"> gauges, prompt the territorial </w:t>
      </w:r>
      <w:r w:rsidRPr="001409D8">
        <w:rPr>
          <w:color w:val="000000"/>
        </w:rPr>
        <w:lastRenderedPageBreak/>
        <w:t>control community to give negative control activities, cause less monetary power</w:t>
      </w:r>
      <w:r>
        <w:rPr>
          <w:color w:val="000000"/>
        </w:rPr>
        <w:t xml:space="preserve"> </w:t>
      </w:r>
      <w:r w:rsidRPr="001409D8">
        <w:rPr>
          <w:color w:val="000000"/>
        </w:rPr>
        <w:t>dispatch, and result in the foe's financial increases and blackouts and additionally harms. It has been perceived that even little blunders in the information can have devastating effects on the lattice. In any case, the TL boundaries determined utilizing are delicate to the precision of PMU estimations, so that even a little blunder on PMU can altogether affect the inferred TL boundary values.</w:t>
      </w:r>
    </w:p>
    <w:p w:rsidR="001409D8" w:rsidRDefault="001409D8"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4C58D2" w:rsidRPr="004C58D2" w:rsidRDefault="004C58D2" w:rsidP="004C58D2">
      <w:pPr>
        <w:tabs>
          <w:tab w:val="left" w:pos="720"/>
        </w:tabs>
        <w:spacing w:after="100" w:line="360" w:lineRule="auto"/>
        <w:jc w:val="both"/>
      </w:pPr>
      <w:r w:rsidRPr="004C58D2">
        <w:t xml:space="preserve">C. Beasley, X. Zhong, J. Deng, etc., </w:t>
      </w:r>
    </w:p>
    <w:p w:rsidR="001409D8" w:rsidRPr="004C58D2" w:rsidRDefault="004C58D2" w:rsidP="004C58D2">
      <w:pPr>
        <w:tabs>
          <w:tab w:val="left" w:pos="720"/>
        </w:tabs>
        <w:spacing w:after="100" w:line="360" w:lineRule="auto"/>
        <w:jc w:val="both"/>
        <w:rPr>
          <w:lang w:val="en-IN"/>
        </w:rPr>
      </w:pPr>
      <w:r w:rsidRPr="004C58D2">
        <w:t>“A Survey of Electric Power Synchrophasor Network Cyber Security</w:t>
      </w:r>
      <w:r w:rsidRPr="004C58D2">
        <w:rPr>
          <w:lang w:val="en-IN"/>
        </w:rPr>
        <w:t>”</w:t>
      </w:r>
    </w:p>
    <w:p w:rsidR="004C58D2" w:rsidRPr="004C58D2" w:rsidRDefault="004C58D2" w:rsidP="004C58D2">
      <w:pPr>
        <w:tabs>
          <w:tab w:val="left" w:pos="720"/>
        </w:tabs>
        <w:spacing w:after="100" w:line="360" w:lineRule="auto"/>
        <w:jc w:val="both"/>
      </w:pPr>
      <w:r w:rsidRPr="004C58D2">
        <w:t>Smart grid technologies, for example, synchrophasors utilizing Phasor Measurement Units (PMUs), make continuous observing, control and information examination of the electric power lattice conceivable.</w:t>
      </w:r>
    </w:p>
    <w:p w:rsidR="004C58D2" w:rsidRPr="004C58D2" w:rsidRDefault="004C58D2" w:rsidP="004C58D2">
      <w:pPr>
        <w:tabs>
          <w:tab w:val="left" w:pos="720"/>
        </w:tabs>
        <w:spacing w:after="100" w:line="360" w:lineRule="auto"/>
        <w:jc w:val="both"/>
      </w:pPr>
    </w:p>
    <w:p w:rsidR="004C58D2" w:rsidRPr="004C58D2" w:rsidRDefault="004C58D2" w:rsidP="004C58D2">
      <w:pPr>
        <w:tabs>
          <w:tab w:val="left" w:pos="720"/>
        </w:tabs>
        <w:spacing w:after="100" w:line="360" w:lineRule="auto"/>
        <w:jc w:val="both"/>
      </w:pPr>
      <w:r w:rsidRPr="004C58D2">
        <w:t xml:space="preserve">K. Chatterjee, V. Padmini and S. A. Khaparde, </w:t>
      </w:r>
    </w:p>
    <w:p w:rsidR="004C58D2" w:rsidRPr="004C58D2" w:rsidRDefault="004C58D2" w:rsidP="004C58D2">
      <w:pPr>
        <w:tabs>
          <w:tab w:val="left" w:pos="720"/>
        </w:tabs>
        <w:spacing w:after="100" w:line="360" w:lineRule="auto"/>
        <w:jc w:val="both"/>
        <w:rPr>
          <w:lang w:val="en-IN"/>
        </w:rPr>
      </w:pPr>
      <w:r w:rsidRPr="004C58D2">
        <w:t>“Review of Cyber Attacks on Power System Operations</w:t>
      </w:r>
      <w:r w:rsidRPr="004C58D2">
        <w:rPr>
          <w:lang w:val="en-IN"/>
        </w:rPr>
        <w:t>”</w:t>
      </w:r>
    </w:p>
    <w:p w:rsidR="004C58D2" w:rsidRPr="004C58D2" w:rsidRDefault="004C58D2" w:rsidP="004C58D2">
      <w:pPr>
        <w:tabs>
          <w:tab w:val="left" w:pos="720"/>
        </w:tabs>
        <w:spacing w:after="100" w:line="360" w:lineRule="auto"/>
        <w:jc w:val="both"/>
      </w:pPr>
      <w:r w:rsidRPr="004C58D2">
        <w:t>The paper interfaces these works to a consistent theme and surveys their effect on significant power framework activities like - state assessment, programmed age control, voltage control and energy market.</w:t>
      </w:r>
    </w:p>
    <w:p w:rsidR="004C58D2" w:rsidRPr="004C58D2" w:rsidRDefault="004C58D2" w:rsidP="004C58D2">
      <w:pPr>
        <w:tabs>
          <w:tab w:val="left" w:pos="720"/>
        </w:tabs>
        <w:spacing w:after="100" w:line="360" w:lineRule="auto"/>
        <w:jc w:val="both"/>
      </w:pPr>
    </w:p>
    <w:p w:rsidR="004C58D2" w:rsidRDefault="004C58D2" w:rsidP="004C58D2">
      <w:pPr>
        <w:tabs>
          <w:tab w:val="left" w:pos="720"/>
        </w:tabs>
        <w:spacing w:after="100" w:line="360" w:lineRule="auto"/>
        <w:jc w:val="both"/>
      </w:pPr>
    </w:p>
    <w:p w:rsidR="004C58D2" w:rsidRDefault="004C58D2" w:rsidP="004C58D2">
      <w:pPr>
        <w:tabs>
          <w:tab w:val="left" w:pos="720"/>
        </w:tabs>
        <w:spacing w:after="100" w:line="360" w:lineRule="auto"/>
        <w:jc w:val="both"/>
      </w:pPr>
    </w:p>
    <w:p w:rsidR="004C58D2" w:rsidRDefault="004C58D2" w:rsidP="004C58D2">
      <w:pPr>
        <w:tabs>
          <w:tab w:val="left" w:pos="720"/>
        </w:tabs>
        <w:spacing w:after="100" w:line="360" w:lineRule="auto"/>
        <w:jc w:val="both"/>
      </w:pPr>
      <w:r w:rsidRPr="004C58D2">
        <w:lastRenderedPageBreak/>
        <w:t>A. Abur, aand A. G. Exposito,</w:t>
      </w:r>
    </w:p>
    <w:p w:rsidR="004C58D2" w:rsidRPr="004C58D2" w:rsidRDefault="004C58D2" w:rsidP="004C58D2">
      <w:pPr>
        <w:tabs>
          <w:tab w:val="left" w:pos="720"/>
        </w:tabs>
        <w:spacing w:after="100" w:line="360" w:lineRule="auto"/>
        <w:jc w:val="both"/>
      </w:pPr>
      <w:r w:rsidRPr="004C58D2">
        <w:t>“Power System State Estimation: Theory and Implementation</w:t>
      </w:r>
      <w:r w:rsidRPr="004C58D2">
        <w:rPr>
          <w:lang w:val="en-IN"/>
        </w:rPr>
        <w:t>”</w:t>
      </w:r>
    </w:p>
    <w:p w:rsidR="004C58D2" w:rsidRPr="004C58D2" w:rsidRDefault="004C58D2" w:rsidP="004C58D2">
      <w:pPr>
        <w:tabs>
          <w:tab w:val="left" w:pos="720"/>
        </w:tabs>
        <w:spacing w:after="100" w:line="360" w:lineRule="auto"/>
        <w:jc w:val="both"/>
      </w:pPr>
      <w:r w:rsidRPr="004C58D2">
        <w:t>This paper gives thought of summed up state assessment that incorporates network model, topological processor, discernibleness of force framework organization and terrible information handling.</w:t>
      </w:r>
    </w:p>
    <w:p w:rsidR="004C58D2" w:rsidRPr="004C58D2" w:rsidRDefault="004C58D2" w:rsidP="004C58D2">
      <w:pPr>
        <w:tabs>
          <w:tab w:val="left" w:pos="720"/>
        </w:tabs>
        <w:spacing w:after="100" w:line="360" w:lineRule="auto"/>
        <w:jc w:val="both"/>
      </w:pPr>
    </w:p>
    <w:p w:rsidR="004C58D2" w:rsidRPr="004C58D2" w:rsidRDefault="004C58D2" w:rsidP="004C58D2">
      <w:pPr>
        <w:tabs>
          <w:tab w:val="left" w:pos="720"/>
        </w:tabs>
        <w:spacing w:after="100" w:line="360" w:lineRule="auto"/>
        <w:jc w:val="both"/>
      </w:pPr>
      <w:r w:rsidRPr="004C58D2">
        <w:lastRenderedPageBreak/>
        <w:t xml:space="preserve">Y. Liu, P. Ning, and M. Reiter, </w:t>
      </w:r>
    </w:p>
    <w:p w:rsidR="004C58D2" w:rsidRPr="004C58D2" w:rsidRDefault="004C58D2" w:rsidP="004C58D2">
      <w:pPr>
        <w:tabs>
          <w:tab w:val="left" w:pos="720"/>
        </w:tabs>
        <w:spacing w:after="100" w:line="360" w:lineRule="auto"/>
        <w:jc w:val="both"/>
        <w:rPr>
          <w:lang w:val="en-IN"/>
        </w:rPr>
      </w:pPr>
      <w:r w:rsidRPr="004C58D2">
        <w:t>“False Data Injection Attacks against State Estimation in Electric Power Grids</w:t>
      </w:r>
      <w:r w:rsidRPr="004C58D2">
        <w:rPr>
          <w:lang w:val="en-IN"/>
        </w:rPr>
        <w:t>”</w:t>
      </w:r>
    </w:p>
    <w:p w:rsidR="004C58D2" w:rsidRPr="004C58D2" w:rsidRDefault="004C58D2" w:rsidP="004C58D2">
      <w:pPr>
        <w:tabs>
          <w:tab w:val="left" w:pos="720"/>
        </w:tabs>
        <w:spacing w:after="100" w:line="360" w:lineRule="auto"/>
        <w:jc w:val="both"/>
      </w:pPr>
      <w:r w:rsidRPr="004C58D2">
        <w:t>A power lattice is a mind boggling framework interfacing electric power generators to buyers through power transmission and dissemination networks across an enormous topographical region</w:t>
      </w:r>
    </w:p>
    <w:p w:rsidR="004C58D2" w:rsidRDefault="004C58D2" w:rsidP="007D4C87">
      <w:pPr>
        <w:spacing w:line="360" w:lineRule="auto"/>
        <w:jc w:val="both"/>
        <w:rPr>
          <w:lang w:val="en-IN"/>
        </w:rPr>
      </w:pPr>
    </w:p>
    <w:p w:rsidR="004C58D2" w:rsidRPr="000E43CA" w:rsidRDefault="004C58D2" w:rsidP="007D4C87">
      <w:pPr>
        <w:spacing w:line="360" w:lineRule="auto"/>
        <w:jc w:val="both"/>
        <w:rPr>
          <w:lang w:val="en-IN"/>
        </w:rPr>
        <w:sectPr w:rsidR="004C58D2" w:rsidRPr="000E43CA" w:rsidSect="00126A34">
          <w:type w:val="continuous"/>
          <w:pgSz w:w="11907" w:h="16839" w:code="9"/>
          <w:pgMar w:top="1620" w:right="686" w:bottom="2340" w:left="700" w:header="0" w:footer="0" w:gutter="0"/>
          <w:cols w:num="2" w:space="720"/>
          <w:docGrid w:linePitch="299"/>
        </w:sectPr>
      </w:pPr>
    </w:p>
    <w:p w:rsidR="004B752D" w:rsidRPr="00D26A5D" w:rsidRDefault="007D4C87" w:rsidP="007D4C87">
      <w:pPr>
        <w:spacing w:line="360" w:lineRule="auto"/>
        <w:jc w:val="both"/>
        <w:rPr>
          <w:b/>
        </w:rPr>
      </w:pPr>
      <w:r w:rsidRPr="00D26A5D">
        <w:rPr>
          <w:b/>
        </w:rPr>
        <w:lastRenderedPageBreak/>
        <w:t>5.SYSTEM ARCHITECTURE :</w:t>
      </w:r>
    </w:p>
    <w:p w:rsidR="007D4C87" w:rsidRDefault="007D4C87" w:rsidP="004B752D">
      <w:pPr>
        <w:jc w:val="center"/>
        <w:rPr>
          <w:rFonts w:eastAsia="Times New Roman"/>
          <w:b/>
          <w:bCs/>
          <w:noProof/>
          <w:sz w:val="24"/>
          <w:szCs w:val="24"/>
          <w:lang w:val="en-IN" w:eastAsia="en-IN" w:bidi="ta-IN"/>
        </w:rPr>
      </w:pPr>
    </w:p>
    <w:p w:rsidR="004C58D2" w:rsidRDefault="00E36CE1" w:rsidP="004B752D">
      <w:pPr>
        <w:jc w:val="center"/>
        <w:rPr>
          <w:rFonts w:eastAsia="Times New Roman"/>
          <w:b/>
          <w:bCs/>
          <w:sz w:val="24"/>
          <w:szCs w:val="24"/>
        </w:rPr>
      </w:pPr>
      <w:r w:rsidRPr="00E36CE1">
        <w:rPr>
          <w:rFonts w:eastAsia="Times New Roman"/>
          <w:b/>
          <w:bCs/>
          <w:sz w:val="24"/>
          <w:szCs w:val="24"/>
        </w:rPr>
        <w:drawing>
          <wp:inline distT="0" distB="0" distL="0" distR="0">
            <wp:extent cx="3886200" cy="2238375"/>
            <wp:effectExtent l="19050" t="0" r="0" b="0"/>
            <wp:docPr id="1" name="Picture 2" descr="C:\Users\TTS\Desktop\PIC 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S\Desktop\PIC 28.png"/>
                    <pic:cNvPicPr>
                      <a:picLocks noChangeAspect="1" noChangeArrowheads="1"/>
                    </pic:cNvPicPr>
                  </pic:nvPicPr>
                  <pic:blipFill>
                    <a:blip r:embed="rId10"/>
                    <a:srcRect/>
                    <a:stretch>
                      <a:fillRect/>
                    </a:stretch>
                  </pic:blipFill>
                  <pic:spPr bwMode="auto">
                    <a:xfrm>
                      <a:off x="0" y="0"/>
                      <a:ext cx="3886200" cy="2238375"/>
                    </a:xfrm>
                    <a:prstGeom prst="rect">
                      <a:avLst/>
                    </a:prstGeom>
                    <a:noFill/>
                    <a:ln w="9525">
                      <a:noFill/>
                      <a:miter lim="800000"/>
                      <a:headEnd/>
                      <a:tailEnd/>
                    </a:ln>
                  </pic:spPr>
                </pic:pic>
              </a:graphicData>
            </a:graphic>
          </wp:inline>
        </w:drawing>
      </w:r>
    </w:p>
    <w:p w:rsidR="004B4FE4" w:rsidRDefault="004B4FE4" w:rsidP="004B752D">
      <w:pPr>
        <w:jc w:val="center"/>
        <w:rPr>
          <w:rFonts w:eastAsia="Times New Roman"/>
          <w:b/>
          <w:bCs/>
          <w:sz w:val="24"/>
          <w:szCs w:val="24"/>
        </w:rPr>
      </w:pPr>
    </w:p>
    <w:p w:rsidR="004B4FE4" w:rsidRPr="00D26A5D" w:rsidRDefault="004B4FE4" w:rsidP="004B752D">
      <w:pPr>
        <w:jc w:val="center"/>
        <w:rPr>
          <w:rFonts w:eastAsia="Times New Roman"/>
          <w:b/>
          <w:bCs/>
          <w:sz w:val="24"/>
          <w:szCs w:val="24"/>
        </w:rPr>
        <w:sectPr w:rsidR="004B4FE4"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0E128C" w:rsidRPr="00D26A5D" w:rsidRDefault="000E128C" w:rsidP="000E128C">
      <w:pPr>
        <w:shd w:val="clear" w:color="auto" w:fill="FFFFFF"/>
        <w:spacing w:line="360" w:lineRule="auto"/>
        <w:jc w:val="both"/>
        <w:rPr>
          <w:rFonts w:eastAsia="Times New Roman"/>
        </w:rPr>
      </w:pPr>
      <w:r w:rsidRPr="000E128C">
        <w:rPr>
          <w:rFonts w:eastAsia="Times New Roman"/>
        </w:rPr>
        <w:t>A responsiveness examination of state assessment residuals on a solitary GSA stage point is first and foremost carried out.</w:t>
      </w:r>
      <w:r>
        <w:rPr>
          <w:rFonts w:eastAsia="Times New Roman"/>
        </w:rPr>
        <w:t xml:space="preserve"> </w:t>
      </w:r>
      <w:r w:rsidRPr="000E128C">
        <w:rPr>
          <w:rFonts w:eastAsia="Times New Roman"/>
        </w:rPr>
        <w:t>A recognizable proof calculation utilizing a testing strategy is proposed to decide the areas of parodied PMUs and the scopes of GSA stage shifts.</w:t>
      </w:r>
      <w:r>
        <w:rPr>
          <w:rFonts w:eastAsia="Times New Roman"/>
        </w:rPr>
        <w:t xml:space="preserve"> </w:t>
      </w:r>
      <w:r w:rsidRPr="000E128C">
        <w:rPr>
          <w:rFonts w:eastAsia="Times New Roman"/>
        </w:rPr>
        <w:t>In view of the ID results, these GSA stage shifts are resolved through an assessment calculation that limits the confuse among estimations and framework states.</w:t>
      </w:r>
      <w:r>
        <w:rPr>
          <w:rFonts w:eastAsia="Times New Roman"/>
        </w:rPr>
        <w:t xml:space="preserve"> </w:t>
      </w:r>
      <w:r w:rsidRPr="000E128C">
        <w:rPr>
          <w:rFonts w:eastAsia="Times New Roman"/>
        </w:rPr>
        <w:t xml:space="preserve">Further, with the assaulted PMU information revised, the framework states are recuperated. </w:t>
      </w:r>
      <w:r w:rsidRPr="000E128C">
        <w:rPr>
          <w:rFonts w:eastAsia="Times New Roman"/>
        </w:rPr>
        <w:lastRenderedPageBreak/>
        <w:t>Reproductions in uneven IEEE 34-transpo</w:t>
      </w:r>
      <w:r w:rsidR="00DB3E6D">
        <w:rPr>
          <w:rFonts w:eastAsia="Times New Roman"/>
        </w:rPr>
        <w:t xml:space="preserve">rt and 123-transport conveyance </w:t>
      </w:r>
      <w:r w:rsidRPr="000E128C">
        <w:rPr>
          <w:rFonts w:eastAsia="Times New Roman"/>
        </w:rPr>
        <w:t>frameworks shows the proficiency and exactness of the proposed technique.</w:t>
      </w:r>
    </w:p>
    <w:p w:rsidR="000E128C" w:rsidRDefault="000E128C" w:rsidP="002D7B1E">
      <w:pPr>
        <w:spacing w:after="120" w:line="360" w:lineRule="auto"/>
        <w:jc w:val="both"/>
        <w:rPr>
          <w:b/>
          <w:sz w:val="24"/>
        </w:rPr>
      </w:pPr>
    </w:p>
    <w:p w:rsidR="002D7B1E" w:rsidRPr="00BD266A" w:rsidRDefault="002D7B1E" w:rsidP="002D7B1E">
      <w:pPr>
        <w:spacing w:after="120" w:line="360" w:lineRule="auto"/>
        <w:jc w:val="both"/>
        <w:rPr>
          <w:b/>
          <w:sz w:val="24"/>
        </w:rPr>
      </w:pPr>
      <w:r w:rsidRPr="002D7B1E">
        <w:rPr>
          <w:b/>
          <w:sz w:val="24"/>
        </w:rPr>
        <w:t>7.DISADVANTAGE OF EXISTING SYSTEM:</w:t>
      </w:r>
    </w:p>
    <w:p w:rsidR="000E128C" w:rsidRDefault="009910BD" w:rsidP="009910BD">
      <w:pPr>
        <w:spacing w:after="120" w:line="360" w:lineRule="auto"/>
        <w:jc w:val="both"/>
        <w:rPr>
          <w:bCs/>
          <w:szCs w:val="20"/>
          <w:lang w:val="en-IN"/>
        </w:rPr>
      </w:pPr>
      <w:r w:rsidRPr="009910BD">
        <w:rPr>
          <w:bCs/>
          <w:szCs w:val="20"/>
          <w:lang w:val="en-IN"/>
        </w:rPr>
        <w:t>Simultaneously, it costs almost irrelevant time postpone which can veil the activity.</w:t>
      </w:r>
      <w:r>
        <w:rPr>
          <w:bCs/>
          <w:szCs w:val="20"/>
          <w:lang w:val="en-IN"/>
        </w:rPr>
        <w:t xml:space="preserve"> </w:t>
      </w:r>
      <w:r w:rsidRPr="009910BD">
        <w:rPr>
          <w:bCs/>
          <w:szCs w:val="20"/>
          <w:lang w:val="en-IN"/>
        </w:rPr>
        <w:t xml:space="preserve">When the assault is effectively executed, it can predisposition power framework state gauges, incite the provincial control place to give unfavorable control activities, cause less financial power dispatch, and result in the foe's money </w:t>
      </w:r>
      <w:r w:rsidRPr="009910BD">
        <w:rPr>
          <w:bCs/>
          <w:szCs w:val="20"/>
          <w:lang w:val="en-IN"/>
        </w:rPr>
        <w:lastRenderedPageBreak/>
        <w:t>related additions and blackouts as well as harms.</w:t>
      </w:r>
      <w:r>
        <w:rPr>
          <w:bCs/>
          <w:szCs w:val="20"/>
          <w:lang w:val="en-IN"/>
        </w:rPr>
        <w:t xml:space="preserve"> </w:t>
      </w:r>
      <w:r w:rsidRPr="009910BD">
        <w:rPr>
          <w:bCs/>
          <w:szCs w:val="20"/>
          <w:lang w:val="en-IN"/>
        </w:rPr>
        <w:t>With adequate information on a power framework, a foe can expand harms to the network without being recognized by the ordinary awful information location plot.</w:t>
      </w:r>
    </w:p>
    <w:p w:rsidR="009910BD" w:rsidRDefault="009910BD" w:rsidP="0092721B">
      <w:pPr>
        <w:spacing w:after="120" w:line="360" w:lineRule="auto"/>
        <w:jc w:val="both"/>
        <w:rPr>
          <w:b/>
          <w:szCs w:val="20"/>
        </w:rPr>
      </w:pP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9910BD" w:rsidRDefault="00DD51D1" w:rsidP="00DD51D1">
      <w:pPr>
        <w:spacing w:after="120" w:line="360" w:lineRule="auto"/>
        <w:jc w:val="both"/>
        <w:rPr>
          <w:szCs w:val="20"/>
          <w:lang w:val="en-IN"/>
        </w:rPr>
      </w:pPr>
      <w:r w:rsidRPr="00DD51D1">
        <w:rPr>
          <w:szCs w:val="20"/>
          <w:lang w:val="en-IN"/>
        </w:rPr>
        <w:t>This study proposes a strategy to recuperate the absent or unusual abundancy information in PMU estimations (for example the dynamic power, receptive power, positive succession current, and voltage sufficiency), in view of the authentic PMU information acquired from the two stopping points, which is free of the transmission line boundaries and the stage point that might be impacted by synchronization.</w:t>
      </w:r>
      <w:r>
        <w:rPr>
          <w:szCs w:val="20"/>
          <w:lang w:val="en-IN"/>
        </w:rPr>
        <w:t xml:space="preserve"> </w:t>
      </w:r>
      <w:r w:rsidRPr="00DD51D1">
        <w:rPr>
          <w:szCs w:val="20"/>
          <w:lang w:val="en-IN"/>
        </w:rPr>
        <w:t>The model of information recuperation is laid out , and the recuperation strategy, which recuperates the voltage sufficiency, dynamic power, responsive power, and current adequacy in grouping, utilizing verifiable plentifulness information to work out related recuperation coefficients is proposed.</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33039F" w:rsidRDefault="0033039F" w:rsidP="0033039F">
      <w:pPr>
        <w:autoSpaceDE w:val="0"/>
        <w:autoSpaceDN w:val="0"/>
        <w:adjustRightInd w:val="0"/>
        <w:spacing w:line="360" w:lineRule="auto"/>
        <w:jc w:val="both"/>
        <w:rPr>
          <w:rFonts w:eastAsia="Calibri"/>
        </w:rPr>
      </w:pPr>
      <w:r w:rsidRPr="0033039F">
        <w:rPr>
          <w:rFonts w:eastAsia="Calibri"/>
        </w:rPr>
        <w:t>We can play out these sorts of assaults by adding a minor steady or an incline to the first information parcel which is compelling and costs minimal exertion according to the assailant's perspective.</w:t>
      </w:r>
      <w:r>
        <w:rPr>
          <w:rFonts w:eastAsia="Calibri"/>
        </w:rPr>
        <w:t xml:space="preserve"> </w:t>
      </w:r>
      <w:r w:rsidRPr="0033039F">
        <w:rPr>
          <w:rFonts w:eastAsia="Calibri"/>
        </w:rPr>
        <w:t>A security viewpoint, by messing with the power framework estimation information and influencing the ordinary dispatching activity of the power framework, such assaults can cause the network control/dispatch focus to give unfavorable orders.</w:t>
      </w:r>
      <w:r>
        <w:rPr>
          <w:rFonts w:eastAsia="Calibri"/>
        </w:rPr>
        <w:t xml:space="preserve"> </w:t>
      </w:r>
      <w:r w:rsidRPr="0033039F">
        <w:rPr>
          <w:rFonts w:eastAsia="Calibri"/>
        </w:rPr>
        <w:t xml:space="preserve">Along these lines, a digital psychological militant can straightforwardly compromise the power supply and, surprisingly, public </w:t>
      </w:r>
      <w:r w:rsidRPr="0033039F">
        <w:rPr>
          <w:rFonts w:eastAsia="Calibri"/>
        </w:rPr>
        <w:lastRenderedPageBreak/>
        <w:t>safety.</w:t>
      </w:r>
      <w:r>
        <w:rPr>
          <w:rFonts w:eastAsia="Calibri"/>
        </w:rPr>
        <w:t xml:space="preserve"> </w:t>
      </w:r>
      <w:r w:rsidRPr="0033039F">
        <w:rPr>
          <w:rFonts w:eastAsia="Calibri"/>
        </w:rPr>
        <w:t>The assailants, along these lines, have adequate inspirations to perform such malevolent assaults.</w:t>
      </w:r>
    </w:p>
    <w:p w:rsidR="00DD51D1" w:rsidRDefault="00DD51D1" w:rsidP="00960283">
      <w:pPr>
        <w:autoSpaceDE w:val="0"/>
        <w:autoSpaceDN w:val="0"/>
        <w:adjustRightInd w:val="0"/>
        <w:jc w:val="both"/>
        <w:rPr>
          <w:rFonts w:eastAsia="Calibri"/>
          <w:b/>
          <w:bCs/>
        </w:rPr>
      </w:pPr>
    </w:p>
    <w:p w:rsidR="00DC5199" w:rsidRPr="00E36CE1" w:rsidRDefault="005218E3" w:rsidP="00960283">
      <w:pPr>
        <w:autoSpaceDE w:val="0"/>
        <w:autoSpaceDN w:val="0"/>
        <w:adjustRightInd w:val="0"/>
        <w:jc w:val="both"/>
        <w:rPr>
          <w:rFonts w:eastAsia="Calibri"/>
          <w:b/>
          <w:bCs/>
          <w:sz w:val="24"/>
          <w:szCs w:val="24"/>
        </w:rPr>
      </w:pPr>
      <w:r w:rsidRPr="00E36CE1">
        <w:rPr>
          <w:rFonts w:eastAsia="Calibri"/>
          <w:b/>
          <w:bCs/>
          <w:sz w:val="24"/>
          <w:szCs w:val="24"/>
        </w:rPr>
        <w:t>CONCLUSION</w:t>
      </w:r>
      <w:r w:rsidR="00DC5199" w:rsidRPr="00E36CE1">
        <w:rPr>
          <w:rFonts w:eastAsia="Calibri"/>
          <w:b/>
          <w:bCs/>
          <w:sz w:val="24"/>
          <w:szCs w:val="24"/>
        </w:rPr>
        <w:t xml:space="preserve"> :</w:t>
      </w:r>
    </w:p>
    <w:p w:rsidR="006B52E4" w:rsidRPr="00E36CE1" w:rsidRDefault="006B52E4" w:rsidP="002D7B1E">
      <w:pPr>
        <w:autoSpaceDE w:val="0"/>
        <w:autoSpaceDN w:val="0"/>
        <w:adjustRightInd w:val="0"/>
        <w:spacing w:line="360" w:lineRule="auto"/>
        <w:jc w:val="both"/>
        <w:rPr>
          <w:rFonts w:eastAsia="Calibri"/>
          <w:sz w:val="24"/>
          <w:szCs w:val="24"/>
        </w:rPr>
      </w:pPr>
    </w:p>
    <w:p w:rsidR="00E36CE1" w:rsidRPr="00010680" w:rsidRDefault="00010680" w:rsidP="002D7B1E">
      <w:pPr>
        <w:autoSpaceDE w:val="0"/>
        <w:autoSpaceDN w:val="0"/>
        <w:adjustRightInd w:val="0"/>
        <w:spacing w:line="360" w:lineRule="auto"/>
        <w:jc w:val="both"/>
        <w:rPr>
          <w:rFonts w:eastAsia="Calibri"/>
        </w:rPr>
      </w:pPr>
      <w:r w:rsidRPr="00010680">
        <w:rPr>
          <w:rFonts w:eastAsia="Calibri"/>
        </w:rPr>
        <w:t>This paper presents a clever structure for location, recognizable proof, and information recuperation of information respectability assaults to PMU estimations. Contrasted with existing methodologies, the proposed one has four significant benefits: 1) free of framework topological changes and subsequently versatile and successful for changing framework designs, 2) viable for synchronous assaults to different channels, 3) delicate and powerful to little assaulting signals, which are challenging to recognize with existing awful information recognition strategies, and 4) fit for giving terrible information recuperation arrangements which keep up with the information consistency. In this way, the proposed structure is pertinent across a wide range of functional circumstances. Future work incorporates: 1) coordinating more assault models, 2) extending existing line-explicit registering capacity to the organization level to accomplish continuous observing for a bigger lattice, and 3) disintegrating the spatial bunching process so that best in class equal figuring procedures can be utilized to accelerate the calculation.</w:t>
      </w:r>
    </w:p>
    <w:p w:rsidR="00011F88" w:rsidRPr="00E36CE1" w:rsidRDefault="00011F88" w:rsidP="006B52E4">
      <w:pPr>
        <w:autoSpaceDE w:val="0"/>
        <w:autoSpaceDN w:val="0"/>
        <w:adjustRightInd w:val="0"/>
        <w:jc w:val="both"/>
        <w:rPr>
          <w:rFonts w:eastAsia="Calibri"/>
          <w:b/>
          <w:bCs/>
          <w:sz w:val="24"/>
          <w:szCs w:val="24"/>
        </w:rPr>
      </w:pPr>
    </w:p>
    <w:p w:rsidR="004B557E" w:rsidRPr="00E36CE1" w:rsidRDefault="004B557E" w:rsidP="00B608E9">
      <w:pPr>
        <w:spacing w:line="360" w:lineRule="auto"/>
        <w:jc w:val="both"/>
        <w:rPr>
          <w:sz w:val="24"/>
        </w:rPr>
      </w:pPr>
      <w:r w:rsidRPr="00E36CE1">
        <w:rPr>
          <w:b/>
          <w:sz w:val="24"/>
        </w:rPr>
        <w:t>REFERENCES</w:t>
      </w:r>
    </w:p>
    <w:p w:rsidR="008E3998" w:rsidRPr="00D26A5D" w:rsidRDefault="008E3998" w:rsidP="00333A11">
      <w:pPr>
        <w:spacing w:line="360" w:lineRule="auto"/>
        <w:jc w:val="both"/>
      </w:pPr>
    </w:p>
    <w:p w:rsidR="00B166C6" w:rsidRDefault="00B166C6" w:rsidP="00B166C6">
      <w:pPr>
        <w:pStyle w:val="BodyText"/>
        <w:rPr>
          <w:sz w:val="22"/>
          <w:szCs w:val="22"/>
        </w:rPr>
      </w:pPr>
      <w:r w:rsidRPr="00B166C6">
        <w:rPr>
          <w:sz w:val="22"/>
          <w:szCs w:val="22"/>
        </w:rPr>
        <w:t>[1]C. Beasley, X. Zhong, J. Deng, etc., “A Survey of Electric Power Synchrophasor Network Cyber Security,” 5th IEEE PES Innovative Smart Grid Technologies Europe (ISGT Europe), Istanbul, Turkey, 2014.</w:t>
      </w:r>
    </w:p>
    <w:p w:rsidR="00B166C6" w:rsidRDefault="00B166C6" w:rsidP="00B166C6">
      <w:pPr>
        <w:pStyle w:val="BodyText"/>
        <w:rPr>
          <w:sz w:val="22"/>
          <w:szCs w:val="22"/>
        </w:rPr>
      </w:pPr>
      <w:r w:rsidRPr="00B166C6">
        <w:rPr>
          <w:sz w:val="22"/>
          <w:szCs w:val="22"/>
        </w:rPr>
        <w:lastRenderedPageBreak/>
        <w:t xml:space="preserve">[2]K. Chatterjee, V. Padmini and S. A. Khaparde, “Review of Cyber Attacks on Power System Operations,”2017 IEEE Region 10 Symposium (TENSYMP), Cochin, 2017, pp. 1-6. </w:t>
      </w:r>
    </w:p>
    <w:p w:rsidR="00B166C6" w:rsidRDefault="00B166C6" w:rsidP="00B166C6">
      <w:pPr>
        <w:pStyle w:val="BodyText"/>
        <w:rPr>
          <w:sz w:val="22"/>
          <w:szCs w:val="22"/>
        </w:rPr>
      </w:pPr>
    </w:p>
    <w:p w:rsidR="00B166C6" w:rsidRDefault="00B166C6" w:rsidP="00B166C6">
      <w:pPr>
        <w:pStyle w:val="BodyText"/>
        <w:rPr>
          <w:sz w:val="22"/>
          <w:szCs w:val="22"/>
        </w:rPr>
      </w:pPr>
      <w:r w:rsidRPr="00B166C6">
        <w:rPr>
          <w:sz w:val="22"/>
          <w:szCs w:val="22"/>
        </w:rPr>
        <w:t>[3]A. Abur, and A. G. Exposito, Power System State Estimation: Theory and Implementation. CRC Press, 2004.</w:t>
      </w:r>
    </w:p>
    <w:p w:rsidR="00B166C6" w:rsidRDefault="00B166C6" w:rsidP="00B166C6">
      <w:pPr>
        <w:pStyle w:val="BodyText"/>
        <w:rPr>
          <w:sz w:val="22"/>
          <w:szCs w:val="22"/>
        </w:rPr>
      </w:pPr>
    </w:p>
    <w:p w:rsidR="00B166C6" w:rsidRPr="00B166C6" w:rsidRDefault="00B166C6" w:rsidP="00B166C6">
      <w:pPr>
        <w:pStyle w:val="BodyText"/>
        <w:rPr>
          <w:sz w:val="22"/>
          <w:szCs w:val="22"/>
        </w:rPr>
      </w:pPr>
      <w:r w:rsidRPr="00B166C6">
        <w:rPr>
          <w:sz w:val="22"/>
          <w:szCs w:val="22"/>
        </w:rPr>
        <w:t>[4]Y. Liu, P. Ning, and M. Reiter, “False Data Injection Attacks against State Estimation in Electric Power Grids,” ACM Transactions on Information and System Security, vol. 14, no. 1, Article 13, May 2011.</w:t>
      </w:r>
    </w:p>
    <w:p w:rsidR="00B166C6" w:rsidRDefault="00B166C6" w:rsidP="00B166C6">
      <w:pPr>
        <w:pStyle w:val="BodyText"/>
        <w:rPr>
          <w:sz w:val="22"/>
          <w:szCs w:val="22"/>
        </w:rPr>
      </w:pPr>
    </w:p>
    <w:p w:rsidR="00B166C6" w:rsidRPr="00B166C6" w:rsidRDefault="00B166C6" w:rsidP="00B166C6">
      <w:pPr>
        <w:pStyle w:val="BodyText"/>
        <w:rPr>
          <w:sz w:val="22"/>
          <w:szCs w:val="22"/>
        </w:rPr>
      </w:pPr>
      <w:r w:rsidRPr="00B166C6">
        <w:rPr>
          <w:sz w:val="22"/>
          <w:szCs w:val="22"/>
        </w:rPr>
        <w:t xml:space="preserve">[5]J. Chen, and A. Abur, “Placement of PMUs to Enable Bad Data Detection in State Estimation,” IEEE Trans. Power Syst., vol. 21, no. 4, pp. 1608–1615, Nov. 2006. </w:t>
      </w:r>
    </w:p>
    <w:p w:rsidR="00B166C6" w:rsidRDefault="00B166C6" w:rsidP="00B166C6">
      <w:pPr>
        <w:pStyle w:val="BodyText"/>
        <w:rPr>
          <w:sz w:val="22"/>
          <w:szCs w:val="22"/>
        </w:rPr>
      </w:pPr>
    </w:p>
    <w:p w:rsidR="00B166C6" w:rsidRPr="00B166C6" w:rsidRDefault="00B166C6" w:rsidP="00B166C6">
      <w:pPr>
        <w:pStyle w:val="BodyText"/>
        <w:rPr>
          <w:sz w:val="22"/>
          <w:szCs w:val="22"/>
        </w:rPr>
      </w:pPr>
      <w:r w:rsidRPr="00B166C6">
        <w:rPr>
          <w:sz w:val="22"/>
          <w:szCs w:val="22"/>
        </w:rPr>
        <w:t xml:space="preserve">[6]G. B. Denegri, M. Invernizzi, and F. Milano, “A Security Oriented Approach to PMU Positioning for Advanced Monitoring of a Transmission Grid,” Inter. Conf. Power System Technology, vol. 2, pp. 798-803, 2002. </w:t>
      </w:r>
    </w:p>
    <w:p w:rsidR="00B166C6" w:rsidRDefault="00B166C6" w:rsidP="00B166C6">
      <w:pPr>
        <w:pStyle w:val="BodyText"/>
        <w:rPr>
          <w:sz w:val="22"/>
          <w:szCs w:val="22"/>
        </w:rPr>
      </w:pPr>
    </w:p>
    <w:p w:rsidR="00B166C6" w:rsidRPr="00B166C6" w:rsidRDefault="00B166C6" w:rsidP="00B166C6">
      <w:pPr>
        <w:pStyle w:val="BodyText"/>
        <w:rPr>
          <w:sz w:val="22"/>
          <w:szCs w:val="22"/>
        </w:rPr>
      </w:pPr>
      <w:r w:rsidRPr="00B166C6">
        <w:rPr>
          <w:sz w:val="22"/>
          <w:szCs w:val="22"/>
        </w:rPr>
        <w:t>[7]Q. Yang, D. An, etc., “On Optimal PMU Placement-based Defense against Data Integrity Attacks in Smart Grid,” IEEE Trans. Information Forensics and Security, vol. 12, no. 7, July 2017.</w:t>
      </w:r>
    </w:p>
    <w:p w:rsidR="00B166C6" w:rsidRDefault="00B166C6" w:rsidP="00B166C6">
      <w:pPr>
        <w:pStyle w:val="BodyText"/>
        <w:rPr>
          <w:sz w:val="22"/>
          <w:szCs w:val="22"/>
        </w:rPr>
      </w:pPr>
    </w:p>
    <w:p w:rsidR="00B166C6" w:rsidRPr="00B166C6" w:rsidRDefault="00B166C6" w:rsidP="00B166C6">
      <w:pPr>
        <w:pStyle w:val="BodyText"/>
        <w:rPr>
          <w:sz w:val="22"/>
          <w:szCs w:val="22"/>
        </w:rPr>
      </w:pPr>
      <w:r w:rsidRPr="00B166C6">
        <w:rPr>
          <w:sz w:val="22"/>
          <w:szCs w:val="22"/>
        </w:rPr>
        <w:t xml:space="preserve">[8]G. Dan, and H. Sandberg, “Stealth Attacks and Protection Schemes for State Estimators in Power Systems,” in Proc. IEEE Int. Conf. Smart Grid Commun., pp. 214–219, 2010. </w:t>
      </w:r>
    </w:p>
    <w:p w:rsidR="00B166C6" w:rsidRPr="00B166C6" w:rsidRDefault="00B166C6" w:rsidP="00B166C6">
      <w:pPr>
        <w:pStyle w:val="BodyText"/>
        <w:rPr>
          <w:sz w:val="22"/>
          <w:szCs w:val="22"/>
        </w:rPr>
      </w:pPr>
      <w:r w:rsidRPr="00B166C6">
        <w:rPr>
          <w:sz w:val="22"/>
          <w:szCs w:val="22"/>
        </w:rPr>
        <w:lastRenderedPageBreak/>
        <w:t xml:space="preserve">[9]M. Jamei, E. Stewart, etc.,“Micro Synchrophasor-based Intrusion Detection in Automated Distribution Systems: Toward Critical Infrastructure Security,” IEEE Internet Computing, vol. 20, no. 5, pp. 18-27, Oct. 2016. </w:t>
      </w:r>
    </w:p>
    <w:p w:rsidR="00B166C6" w:rsidRDefault="00B166C6" w:rsidP="00B166C6">
      <w:pPr>
        <w:pStyle w:val="BodyText"/>
        <w:rPr>
          <w:sz w:val="22"/>
          <w:szCs w:val="22"/>
        </w:rPr>
      </w:pPr>
    </w:p>
    <w:p w:rsidR="00B166C6" w:rsidRPr="00B166C6" w:rsidRDefault="00B166C6" w:rsidP="00B166C6">
      <w:pPr>
        <w:pStyle w:val="BodyText"/>
        <w:rPr>
          <w:sz w:val="22"/>
          <w:szCs w:val="22"/>
        </w:rPr>
      </w:pPr>
      <w:r w:rsidRPr="00B166C6">
        <w:rPr>
          <w:sz w:val="22"/>
          <w:szCs w:val="22"/>
        </w:rPr>
        <w:t>[10]A. Mazloomzadeh, O. A. Mohammed, and S. Zonouzsaman, “Empirical Development of a Trusted Sensing Base for Power System Infrastructures,” IEEE Trans. Smart Grid, vol. 7, no. 5, Sep. 2015.</w:t>
      </w: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470A" w:rsidRDefault="0001470A" w:rsidP="00D57631">
      <w:r>
        <w:separator/>
      </w:r>
    </w:p>
  </w:endnote>
  <w:endnote w:type="continuationSeparator" w:id="1">
    <w:p w:rsidR="0001470A" w:rsidRDefault="0001470A" w:rsidP="00D576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DF1FC4">
        <w:pPr>
          <w:pStyle w:val="Footer"/>
          <w:jc w:val="center"/>
        </w:pPr>
        <w:fldSimple w:instr=" PAGE   \* MERGEFORMAT ">
          <w:r w:rsidR="00DB3E6D">
            <w:rPr>
              <w:noProof/>
            </w:rPr>
            <w:t>3</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470A" w:rsidRDefault="0001470A" w:rsidP="00D57631">
      <w:r>
        <w:separator/>
      </w:r>
    </w:p>
  </w:footnote>
  <w:footnote w:type="continuationSeparator" w:id="1">
    <w:p w:rsidR="0001470A" w:rsidRDefault="0001470A"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06F8142D"/>
    <w:multiLevelType w:val="hybridMultilevel"/>
    <w:tmpl w:val="83385E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7">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8">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5"/>
  </w:num>
  <w:num w:numId="8">
    <w:abstractNumId w:val="11"/>
  </w:num>
  <w:num w:numId="9">
    <w:abstractNumId w:val="20"/>
  </w:num>
  <w:num w:numId="10">
    <w:abstractNumId w:val="21"/>
  </w:num>
  <w:num w:numId="11">
    <w:abstractNumId w:val="17"/>
  </w:num>
  <w:num w:numId="12">
    <w:abstractNumId w:val="16"/>
  </w:num>
  <w:num w:numId="13">
    <w:abstractNumId w:val="8"/>
  </w:num>
  <w:num w:numId="14">
    <w:abstractNumId w:val="18"/>
  </w:num>
  <w:num w:numId="15">
    <w:abstractNumId w:val="13"/>
  </w:num>
  <w:num w:numId="16">
    <w:abstractNumId w:val="23"/>
  </w:num>
  <w:num w:numId="17">
    <w:abstractNumId w:val="14"/>
  </w:num>
  <w:num w:numId="18">
    <w:abstractNumId w:val="7"/>
  </w:num>
  <w:num w:numId="19">
    <w:abstractNumId w:val="22"/>
  </w:num>
  <w:num w:numId="20">
    <w:abstractNumId w:val="24"/>
  </w:num>
  <w:num w:numId="21">
    <w:abstractNumId w:val="12"/>
  </w:num>
  <w:num w:numId="22">
    <w:abstractNumId w:val="10"/>
  </w:num>
  <w:num w:numId="23">
    <w:abstractNumId w:val="19"/>
  </w:num>
  <w:num w:numId="24">
    <w:abstractNumId w:val="6"/>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0680"/>
    <w:rsid w:val="00011F88"/>
    <w:rsid w:val="0001470A"/>
    <w:rsid w:val="00026CE5"/>
    <w:rsid w:val="000444EA"/>
    <w:rsid w:val="000515F5"/>
    <w:rsid w:val="00054858"/>
    <w:rsid w:val="0005620C"/>
    <w:rsid w:val="00070B1E"/>
    <w:rsid w:val="00076A22"/>
    <w:rsid w:val="00094DAD"/>
    <w:rsid w:val="000A0BFD"/>
    <w:rsid w:val="000A3858"/>
    <w:rsid w:val="000B25E4"/>
    <w:rsid w:val="000B3011"/>
    <w:rsid w:val="000C2C22"/>
    <w:rsid w:val="000D7EDC"/>
    <w:rsid w:val="000E128C"/>
    <w:rsid w:val="000E43CA"/>
    <w:rsid w:val="00100420"/>
    <w:rsid w:val="0010738E"/>
    <w:rsid w:val="00120718"/>
    <w:rsid w:val="00123347"/>
    <w:rsid w:val="00126A34"/>
    <w:rsid w:val="00127CB7"/>
    <w:rsid w:val="00134CE3"/>
    <w:rsid w:val="001409D8"/>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E084F"/>
    <w:rsid w:val="002F37E1"/>
    <w:rsid w:val="0030157F"/>
    <w:rsid w:val="00311143"/>
    <w:rsid w:val="00323F63"/>
    <w:rsid w:val="0033039F"/>
    <w:rsid w:val="00333A11"/>
    <w:rsid w:val="0034507D"/>
    <w:rsid w:val="003617A5"/>
    <w:rsid w:val="003628DE"/>
    <w:rsid w:val="00370307"/>
    <w:rsid w:val="00374E81"/>
    <w:rsid w:val="003869F5"/>
    <w:rsid w:val="00395399"/>
    <w:rsid w:val="00395BA5"/>
    <w:rsid w:val="00396FDB"/>
    <w:rsid w:val="00397FFE"/>
    <w:rsid w:val="003C57DE"/>
    <w:rsid w:val="003D3CDC"/>
    <w:rsid w:val="003E3FCC"/>
    <w:rsid w:val="00401CED"/>
    <w:rsid w:val="00403826"/>
    <w:rsid w:val="00410813"/>
    <w:rsid w:val="0041528A"/>
    <w:rsid w:val="00416FBE"/>
    <w:rsid w:val="00422889"/>
    <w:rsid w:val="004523CE"/>
    <w:rsid w:val="00455FE3"/>
    <w:rsid w:val="0047329A"/>
    <w:rsid w:val="00492C1F"/>
    <w:rsid w:val="004A66F3"/>
    <w:rsid w:val="004B4FE4"/>
    <w:rsid w:val="004B557E"/>
    <w:rsid w:val="004B752D"/>
    <w:rsid w:val="004C58D2"/>
    <w:rsid w:val="0050504C"/>
    <w:rsid w:val="005078A8"/>
    <w:rsid w:val="005079FD"/>
    <w:rsid w:val="00513A4B"/>
    <w:rsid w:val="005218E3"/>
    <w:rsid w:val="00547F62"/>
    <w:rsid w:val="005660B8"/>
    <w:rsid w:val="00570E6A"/>
    <w:rsid w:val="005850F5"/>
    <w:rsid w:val="00591146"/>
    <w:rsid w:val="00597B41"/>
    <w:rsid w:val="005D1361"/>
    <w:rsid w:val="005D303E"/>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14D33"/>
    <w:rsid w:val="0077084E"/>
    <w:rsid w:val="007859EB"/>
    <w:rsid w:val="0079463B"/>
    <w:rsid w:val="007D4C87"/>
    <w:rsid w:val="007E7D56"/>
    <w:rsid w:val="007F16F2"/>
    <w:rsid w:val="008077AA"/>
    <w:rsid w:val="00826757"/>
    <w:rsid w:val="00831639"/>
    <w:rsid w:val="00835F4E"/>
    <w:rsid w:val="00837638"/>
    <w:rsid w:val="008430BC"/>
    <w:rsid w:val="00855123"/>
    <w:rsid w:val="00867532"/>
    <w:rsid w:val="008727F7"/>
    <w:rsid w:val="00890E88"/>
    <w:rsid w:val="008D06DD"/>
    <w:rsid w:val="008E3998"/>
    <w:rsid w:val="008E6626"/>
    <w:rsid w:val="008F3A01"/>
    <w:rsid w:val="008F753B"/>
    <w:rsid w:val="00902509"/>
    <w:rsid w:val="00923626"/>
    <w:rsid w:val="00923913"/>
    <w:rsid w:val="0092721B"/>
    <w:rsid w:val="009346F5"/>
    <w:rsid w:val="009368A8"/>
    <w:rsid w:val="00950A8C"/>
    <w:rsid w:val="00960283"/>
    <w:rsid w:val="009634DE"/>
    <w:rsid w:val="00971B3A"/>
    <w:rsid w:val="00971D50"/>
    <w:rsid w:val="00975110"/>
    <w:rsid w:val="009910BD"/>
    <w:rsid w:val="009D5A27"/>
    <w:rsid w:val="009D5A4D"/>
    <w:rsid w:val="009F73D0"/>
    <w:rsid w:val="00A0617D"/>
    <w:rsid w:val="00A06BDE"/>
    <w:rsid w:val="00A1174B"/>
    <w:rsid w:val="00A11874"/>
    <w:rsid w:val="00A2476E"/>
    <w:rsid w:val="00A269F8"/>
    <w:rsid w:val="00A45621"/>
    <w:rsid w:val="00A50C8B"/>
    <w:rsid w:val="00A62DBC"/>
    <w:rsid w:val="00AC49FB"/>
    <w:rsid w:val="00AC7F62"/>
    <w:rsid w:val="00AD3B42"/>
    <w:rsid w:val="00AD5E6C"/>
    <w:rsid w:val="00AE2058"/>
    <w:rsid w:val="00AE21EE"/>
    <w:rsid w:val="00AE29DA"/>
    <w:rsid w:val="00B04CB3"/>
    <w:rsid w:val="00B166C6"/>
    <w:rsid w:val="00B55012"/>
    <w:rsid w:val="00B608E9"/>
    <w:rsid w:val="00B67DCE"/>
    <w:rsid w:val="00BB1627"/>
    <w:rsid w:val="00BC7A95"/>
    <w:rsid w:val="00BD266A"/>
    <w:rsid w:val="00C00248"/>
    <w:rsid w:val="00C0750F"/>
    <w:rsid w:val="00C16E79"/>
    <w:rsid w:val="00C2352C"/>
    <w:rsid w:val="00C36E04"/>
    <w:rsid w:val="00C579FA"/>
    <w:rsid w:val="00C71CF2"/>
    <w:rsid w:val="00C7689C"/>
    <w:rsid w:val="00CA2999"/>
    <w:rsid w:val="00CB2C83"/>
    <w:rsid w:val="00CC128C"/>
    <w:rsid w:val="00CE0DF3"/>
    <w:rsid w:val="00CE270D"/>
    <w:rsid w:val="00CE47AC"/>
    <w:rsid w:val="00CF5C56"/>
    <w:rsid w:val="00D26A5D"/>
    <w:rsid w:val="00D3113F"/>
    <w:rsid w:val="00D43869"/>
    <w:rsid w:val="00D537AE"/>
    <w:rsid w:val="00D57631"/>
    <w:rsid w:val="00D63F69"/>
    <w:rsid w:val="00D67A72"/>
    <w:rsid w:val="00D70B3A"/>
    <w:rsid w:val="00DB3E6D"/>
    <w:rsid w:val="00DB41CB"/>
    <w:rsid w:val="00DB6253"/>
    <w:rsid w:val="00DB672B"/>
    <w:rsid w:val="00DC5199"/>
    <w:rsid w:val="00DD25FF"/>
    <w:rsid w:val="00DD51D1"/>
    <w:rsid w:val="00DD569C"/>
    <w:rsid w:val="00DD6F3D"/>
    <w:rsid w:val="00DD7350"/>
    <w:rsid w:val="00DE2D0A"/>
    <w:rsid w:val="00DF1FC4"/>
    <w:rsid w:val="00E025FA"/>
    <w:rsid w:val="00E063DC"/>
    <w:rsid w:val="00E11C76"/>
    <w:rsid w:val="00E148A7"/>
    <w:rsid w:val="00E20751"/>
    <w:rsid w:val="00E36CE1"/>
    <w:rsid w:val="00E83D40"/>
    <w:rsid w:val="00E843CF"/>
    <w:rsid w:val="00EA41FD"/>
    <w:rsid w:val="00EA4AD0"/>
    <w:rsid w:val="00ED531F"/>
    <w:rsid w:val="00ED5A9F"/>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B166C6"/>
    <w:pPr>
      <w:spacing w:line="360" w:lineRule="auto"/>
      <w:jc w:val="both"/>
    </w:pPr>
    <w:rPr>
      <w:rFonts w:eastAsia="Times New Roman"/>
      <w:sz w:val="20"/>
      <w:szCs w:val="20"/>
    </w:rPr>
  </w:style>
  <w:style w:type="character" w:customStyle="1" w:styleId="BodyTextChar">
    <w:name w:val="Body Text Char"/>
    <w:basedOn w:val="DefaultParagraphFont"/>
    <w:link w:val="BodyText"/>
    <w:rsid w:val="00B166C6"/>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5</Pages>
  <Words>1791</Words>
  <Characters>10210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153</cp:revision>
  <cp:lastPrinted>2019-10-22T13:18:00Z</cp:lastPrinted>
  <dcterms:created xsi:type="dcterms:W3CDTF">2019-10-19T01:55:00Z</dcterms:created>
  <dcterms:modified xsi:type="dcterms:W3CDTF">2022-02-23T11:23:00Z</dcterms:modified>
</cp:coreProperties>
</file>