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F3D" w:rsidRPr="00D26A5D" w:rsidRDefault="004221B4" w:rsidP="004221B4">
      <w:pPr>
        <w:spacing w:line="360" w:lineRule="auto"/>
        <w:jc w:val="center"/>
        <w:rPr>
          <w:b/>
          <w:szCs w:val="20"/>
        </w:rPr>
      </w:pPr>
      <w:r w:rsidRPr="004221B4">
        <w:rPr>
          <w:b/>
          <w:szCs w:val="20"/>
        </w:rPr>
        <w:t>N</w:t>
      </w:r>
      <w:r>
        <w:rPr>
          <w:b/>
          <w:szCs w:val="20"/>
        </w:rPr>
        <w:t>ON-INVASIVE PEDICTION OF HEMOGLOBIN LEVEL USING MACHINE LEARNING TECHNIQUES WITH THE PPG SIGNALS CHARACTERISTICS FEATURES</w:t>
      </w: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A903B1">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504CF3" w:rsidRPr="00504CF3">
        <w:t xml:space="preserve">Hemoglobin can be estimated regularly after the investigation of the blood test taken from the body and this estimation is named as obtrusive. Hemoglobin should ceaselessly be estimated to control the illness and its movement in individuals who go through hemodialysis and have infections, for example, oligocythemia and paleness. This gives a ceaseless sensation of torment to individuals. This paper proposes a painless strategy for the expectation of the hemoglobin utilizing the trademark highlights of the PPG signals and different AI calculations. In this work, PPG signals from 33 individuals were remembered for 10 periods and 40 trademark highlights were removed from them. Notwithstanding these elements, orientation data (male or female), tallness (as cm), weight (as kg) and age of each subjects were likewise considered as the highlights. Blood count and hemoglobin level were estimated all the while by utilizing the "Hemocue Hb-201TM" gadget. Utilizing the different AI relapse methods (grouping and relapse trees - CART, least squares relapse - LSR, summed up direct relapse - GLR, multivariate straight relapse - MVLR, incomplete least squares relapse - PLSR, summed up relapse neural organization - GRNN, MLP - multi-facet perceptron, and support vector relapse - SVR). RELIEFF include choice (RFS) and relationship based component determination (CFS) were utilized to choose the best elements. Unique highlights and chose highlights utilizing RFS (10 elements) and CFS (11 elements) were utilized to anticipate the hemoglobin level utilizing the different AI methods. To assess the </w:t>
      </w:r>
      <w:r w:rsidR="00504CF3" w:rsidRPr="00504CF3">
        <w:lastRenderedPageBreak/>
        <w:t>exhibition of the AI procedures, different execution measures like mean outright blunder - MAE, mean square mistake - MSE, R2 (coefficient of assurance), root mean square mistake - RMSE, Mean Absolute Percentage Error (MAPE) and Index of Agreement - IA were utilized. The promising outcomes were acquired (MSE-0.0027) utilizing the chose highlights by RFS and SVR. Consequently, the proposed technique may clinically be utilized to anticipate the hemoglobin level of person clinically without taking and examining blood tests.</w:t>
      </w:r>
    </w:p>
    <w:p w:rsidR="00504CF3" w:rsidRDefault="00504CF3"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3D10DC" w:rsidRDefault="003D10DC" w:rsidP="003D10DC">
      <w:pPr>
        <w:autoSpaceDE w:val="0"/>
        <w:autoSpaceDN w:val="0"/>
        <w:adjustRightInd w:val="0"/>
        <w:spacing w:line="360" w:lineRule="auto"/>
        <w:jc w:val="both"/>
        <w:rPr>
          <w:rStyle w:val="e24kjd"/>
        </w:rPr>
      </w:pPr>
    </w:p>
    <w:p w:rsidR="00070B1E" w:rsidRDefault="003D10DC" w:rsidP="00274BCE">
      <w:pPr>
        <w:autoSpaceDE w:val="0"/>
        <w:autoSpaceDN w:val="0"/>
        <w:adjustRightInd w:val="0"/>
        <w:spacing w:line="360" w:lineRule="auto"/>
        <w:jc w:val="both"/>
        <w:rPr>
          <w:rStyle w:val="e24kjd"/>
        </w:rPr>
      </w:pPr>
      <w:r w:rsidRPr="003D10DC">
        <w:rPr>
          <w:rStyle w:val="e24kjd"/>
        </w:rPr>
        <w:t xml:space="preserve">Hemoglobin (Hb) is the essential part of the red platelets. The Hb fixation in human blood is a significant boundary both for each blood count and the assessment of the physiologic condition of a person. Numerous intrusive techniques, (wherein blood is taken from the patient actually and afterward examined) are utilized to gauge the Hb focus in the present innovation. Other than the infirmity experienced while taking the blood tests, the burden of such intrusive techniques is the deferral between the phlebotomy and blood examination. Realizing the hemoglobin content in blood assists specialists with diagnosing numerous illnesses and to be aware of their sound status too. For example, the weakness, which is answerable for a significant piece of death, is effectively determined to have the abatement in the hemoglobin content in blood. Additionally, the day by </w:t>
      </w:r>
      <w:r w:rsidRPr="003D10DC">
        <w:rPr>
          <w:rStyle w:val="e24kjd"/>
        </w:rPr>
        <w:lastRenderedPageBreak/>
        <w:t>day estimation of the hemoglobin content in blood is critical for the treatment of patients with</w:t>
      </w:r>
      <w:r>
        <w:rPr>
          <w:rStyle w:val="e24kjd"/>
        </w:rPr>
        <w:t xml:space="preserve"> </w:t>
      </w:r>
      <w:r w:rsidRPr="003D10DC">
        <w:rPr>
          <w:rStyle w:val="e24kjd"/>
        </w:rPr>
        <w:t>dengue fever. In this review, photograph plethysmography (PPG) signal was utilized</w:t>
      </w:r>
      <w:r>
        <w:rPr>
          <w:rStyle w:val="e24kjd"/>
        </w:rPr>
        <w:t xml:space="preserve"> </w:t>
      </w:r>
      <w:r w:rsidRPr="003D10DC">
        <w:rPr>
          <w:rStyle w:val="e24kjd"/>
        </w:rPr>
        <w:t>(harmlessly) to quantify the hemoglobin focus level in blood. Beneath, data is given with regards to the PPG signal.</w:t>
      </w:r>
      <w:r>
        <w:rPr>
          <w:rStyle w:val="e24kjd"/>
        </w:rPr>
        <w:t xml:space="preserve"> </w:t>
      </w:r>
      <w:r w:rsidRPr="003D10DC">
        <w:rPr>
          <w:rStyle w:val="e24kjd"/>
        </w:rPr>
        <w:t>PPG is acquired through the light that enlightens the important region of the body, is reflected or communicated. To acquire the PPG, a light source with a frequency of is put on one side of an</w:t>
      </w:r>
      <w:r>
        <w:rPr>
          <w:rStyle w:val="e24kjd"/>
        </w:rPr>
        <w:t xml:space="preserve"> </w:t>
      </w:r>
      <w:r w:rsidRPr="003D10DC">
        <w:rPr>
          <w:rStyle w:val="e24kjd"/>
        </w:rPr>
        <w:t>expansion, for instance a finger, and the photograph locator, which will get the light sent right across the source, is situated on the opposite side. An ordinary PPG signal is involved a major DC part which goes through skin, muscle and bone without traveling through the veins, a little AC part which</w:t>
      </w:r>
      <w:r>
        <w:rPr>
          <w:rStyle w:val="e24kjd"/>
        </w:rPr>
        <w:t xml:space="preserve"> </w:t>
      </w:r>
      <w:r w:rsidRPr="003D10DC">
        <w:rPr>
          <w:rStyle w:val="e24kjd"/>
        </w:rPr>
        <w:t>straight</w:t>
      </w:r>
      <w:r>
        <w:rPr>
          <w:rStyle w:val="e24kjd"/>
        </w:rPr>
        <w:t xml:space="preserve"> </w:t>
      </w:r>
      <w:r w:rsidRPr="003D10DC">
        <w:rPr>
          <w:rStyle w:val="e24kjd"/>
        </w:rPr>
        <w:t>forwardly goes through veins by leaving the skin, muscle and bone and the part in the heart beat recurrence, which results from the light going through the blood vessel veins</w:t>
      </w:r>
      <w:r>
        <w:rPr>
          <w:rStyle w:val="e24kjd"/>
        </w:rPr>
        <w:t xml:space="preserve"> </w:t>
      </w:r>
      <w:r w:rsidRPr="003D10DC">
        <w:rPr>
          <w:rStyle w:val="e24kjd"/>
        </w:rPr>
        <w:t>also. The blood sum in supply routes builds just after the systole, and accordingly the light power got diminishes. The blood sum in corridors is decreased during the diastole and an expansion is seen in the light transmission. In an essential estimation region,</w:t>
      </w:r>
      <w:r w:rsidR="00274BCE">
        <w:rPr>
          <w:rStyle w:val="e24kjd"/>
        </w:rPr>
        <w:t xml:space="preserve"> </w:t>
      </w:r>
      <w:r w:rsidRPr="003D10DC">
        <w:rPr>
          <w:rStyle w:val="e24kjd"/>
        </w:rPr>
        <w:t xml:space="preserve">almost 100% of the sign comes from the skin, muscle and bone, 0.9% from the vein and 0.1% from the courses. PPG is a photoelectrical technique, which is utilized for estimating the tissue blood volume in view of the adjustment of the blood volume at each heartbeat. PPG has been pervasively utilized for the identification of numerous fundamental physiologic boundaries, for example, the oxygen sum in blood, pulse, breath and circulatory strain up until this point. PPG can likewise mirror some other huge cardiovascular (connected with heart and veins) </w:t>
      </w:r>
      <w:r w:rsidRPr="003D10DC">
        <w:rPr>
          <w:rStyle w:val="e24kjd"/>
        </w:rPr>
        <w:lastRenderedPageBreak/>
        <w:t>boundaries like embolism. In this way, it is significant and essential to profoundly dissect the PPG signal to find different physiologic boundaries with high exactness.</w:t>
      </w:r>
    </w:p>
    <w:p w:rsidR="00640D21" w:rsidRDefault="00640D21"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5E4A7B" w:rsidRDefault="001644F7" w:rsidP="001644F7">
      <w:pPr>
        <w:spacing w:line="360" w:lineRule="auto"/>
        <w:jc w:val="both"/>
        <w:rPr>
          <w:bCs/>
          <w:szCs w:val="20"/>
        </w:rPr>
      </w:pPr>
      <w:r w:rsidRPr="005E4A7B">
        <w:rPr>
          <w:bCs/>
          <w:szCs w:val="20"/>
        </w:rPr>
        <w:t>The least squares strategy partitions the issues into two classifications: straight or standard least squares and nonlinear least squares, contingent upon whether every obscure worth of the redundancies is direct. The direct least squares issue happens in factual relapse investigation; there is a</w:t>
      </w:r>
      <w:r w:rsidR="005E4A7B">
        <w:rPr>
          <w:bCs/>
          <w:szCs w:val="20"/>
        </w:rPr>
        <w:t xml:space="preserve"> </w:t>
      </w:r>
      <w:r w:rsidRPr="005E4A7B">
        <w:rPr>
          <w:bCs/>
          <w:szCs w:val="20"/>
        </w:rPr>
        <w:t>shut structure arrangement accessible. A shut structure arrangement (or a shut articulation) is a recipe, which can survey the standard activity at a set number. A nonlinear issue doesn't have a shut structure arrangement and it is by and large tackled through the iterated treatment, which is approximated to the framework by a direct issue at each</w:t>
      </w:r>
      <w:r w:rsidR="005E4A7B">
        <w:rPr>
          <w:bCs/>
          <w:szCs w:val="20"/>
        </w:rPr>
        <w:t xml:space="preserve"> </w:t>
      </w:r>
      <w:r w:rsidRPr="005E4A7B">
        <w:rPr>
          <w:bCs/>
          <w:szCs w:val="20"/>
        </w:rPr>
        <w:t>reiteration and in which the piece computation is made comparable in both situations.</w:t>
      </w:r>
      <w:r w:rsidR="005E4A7B">
        <w:rPr>
          <w:bCs/>
          <w:szCs w:val="20"/>
        </w:rPr>
        <w:t xml:space="preserve"> </w:t>
      </w:r>
      <w:r w:rsidRPr="005E4A7B">
        <w:rPr>
          <w:bCs/>
          <w:szCs w:val="20"/>
        </w:rPr>
        <w:t>First of all, it turns out to be very challenging to foresee the current data with vast potential outcomes, in light of the fact that the result is a genuine number. In the event of this relapse, resilience (epsilon) is the approximated setting of the SVM model that is now guaranteed from the issue.</w:t>
      </w:r>
    </w:p>
    <w:p w:rsidR="005E4A7B" w:rsidRDefault="005E4A7B"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BB4643" w:rsidRDefault="00BB4643" w:rsidP="001E14D0">
      <w:pPr>
        <w:tabs>
          <w:tab w:val="left" w:pos="720"/>
        </w:tabs>
        <w:spacing w:after="100" w:line="360" w:lineRule="auto"/>
        <w:jc w:val="both"/>
      </w:pPr>
    </w:p>
    <w:p w:rsidR="001E14D0" w:rsidRPr="00BB4643" w:rsidRDefault="001E14D0" w:rsidP="001E14D0">
      <w:pPr>
        <w:tabs>
          <w:tab w:val="left" w:pos="720"/>
        </w:tabs>
        <w:spacing w:after="100" w:line="360" w:lineRule="auto"/>
        <w:jc w:val="both"/>
      </w:pPr>
      <w:r w:rsidRPr="00BB4643">
        <w:t xml:space="preserve">J.L.A. Nirupa, V.J. Kumar, </w:t>
      </w:r>
    </w:p>
    <w:p w:rsidR="004B557E" w:rsidRPr="00BB4643" w:rsidRDefault="001E14D0" w:rsidP="001E14D0">
      <w:pPr>
        <w:tabs>
          <w:tab w:val="left" w:pos="720"/>
        </w:tabs>
        <w:spacing w:after="100" w:line="360" w:lineRule="auto"/>
        <w:jc w:val="both"/>
      </w:pPr>
      <w:r w:rsidRPr="00BB4643">
        <w:t>“</w:t>
      </w:r>
      <w:r w:rsidRPr="00BB4643">
        <w:t>Non-invasive measurement of hemoglobin content in blood</w:t>
      </w:r>
      <w:r w:rsidRPr="00BB4643">
        <w:t>”</w:t>
      </w:r>
    </w:p>
    <w:p w:rsidR="001E14D0" w:rsidRPr="00BB4643" w:rsidRDefault="00423C86" w:rsidP="001E14D0">
      <w:pPr>
        <w:tabs>
          <w:tab w:val="left" w:pos="720"/>
        </w:tabs>
        <w:spacing w:after="100" w:line="360" w:lineRule="auto"/>
        <w:jc w:val="both"/>
      </w:pPr>
      <w:r w:rsidRPr="00BB4643">
        <w:lastRenderedPageBreak/>
        <w:t>Commonly it so happens that hemoglobin values estimated in various labs yield various qualities for a similar example.</w:t>
      </w:r>
    </w:p>
    <w:p w:rsidR="00423C86" w:rsidRPr="00BB4643" w:rsidRDefault="00423C86" w:rsidP="001E14D0">
      <w:pPr>
        <w:tabs>
          <w:tab w:val="left" w:pos="720"/>
        </w:tabs>
        <w:spacing w:after="100" w:line="360" w:lineRule="auto"/>
        <w:jc w:val="both"/>
      </w:pPr>
    </w:p>
    <w:p w:rsidR="00423C86" w:rsidRPr="00BB4643" w:rsidRDefault="00423C86" w:rsidP="001E14D0">
      <w:pPr>
        <w:tabs>
          <w:tab w:val="left" w:pos="720"/>
        </w:tabs>
        <w:spacing w:after="100" w:line="360" w:lineRule="auto"/>
        <w:jc w:val="both"/>
      </w:pPr>
      <w:r w:rsidRPr="00BB4643">
        <w:t>J. Kraitl, U. Timm, H. Ewald, E. Lewis,</w:t>
      </w:r>
    </w:p>
    <w:p w:rsidR="00423C86" w:rsidRPr="00BB4643" w:rsidRDefault="00423C86" w:rsidP="001E14D0">
      <w:pPr>
        <w:tabs>
          <w:tab w:val="left" w:pos="720"/>
        </w:tabs>
        <w:spacing w:after="100" w:line="360" w:lineRule="auto"/>
        <w:jc w:val="both"/>
      </w:pPr>
      <w:r w:rsidRPr="00BB4643">
        <w:t>“</w:t>
      </w:r>
      <w:r w:rsidRPr="00BB4643">
        <w:t>Non-invasive measurement of blood component</w:t>
      </w:r>
      <w:r w:rsidRPr="00BB4643">
        <w:t>s</w:t>
      </w:r>
      <w:r w:rsidR="00BB4643" w:rsidRPr="00BB4643">
        <w:t>”</w:t>
      </w:r>
    </w:p>
    <w:p w:rsidR="00BB4643" w:rsidRPr="00BB4643" w:rsidRDefault="00BB4643" w:rsidP="001E14D0">
      <w:pPr>
        <w:tabs>
          <w:tab w:val="left" w:pos="720"/>
        </w:tabs>
        <w:spacing w:after="100" w:line="360" w:lineRule="auto"/>
        <w:jc w:val="both"/>
      </w:pPr>
      <w:r w:rsidRPr="00BB4643">
        <w:t>A harmless strategy permits torment free persistent on-line patient checking with least gamble of disease and works with constant information observing permitting quick clinical response to the deliberate information.</w:t>
      </w:r>
    </w:p>
    <w:p w:rsidR="00BB4643" w:rsidRPr="00BB4643" w:rsidRDefault="00BB4643" w:rsidP="001E14D0">
      <w:pPr>
        <w:tabs>
          <w:tab w:val="left" w:pos="720"/>
        </w:tabs>
        <w:spacing w:after="100" w:line="360" w:lineRule="auto"/>
        <w:jc w:val="both"/>
      </w:pPr>
    </w:p>
    <w:p w:rsidR="00BB4643" w:rsidRPr="00BB4643" w:rsidRDefault="00BB4643" w:rsidP="001E14D0">
      <w:pPr>
        <w:tabs>
          <w:tab w:val="left" w:pos="720"/>
        </w:tabs>
        <w:spacing w:after="100" w:line="360" w:lineRule="auto"/>
        <w:jc w:val="both"/>
      </w:pPr>
      <w:r w:rsidRPr="00BB4643">
        <w:t>P.A. Kyriacou, S. Powell, R.M. Langford, D.P. Jones,</w:t>
      </w:r>
    </w:p>
    <w:p w:rsidR="00BB4643" w:rsidRPr="00BB4643" w:rsidRDefault="00BB4643" w:rsidP="001E14D0">
      <w:pPr>
        <w:tabs>
          <w:tab w:val="left" w:pos="720"/>
        </w:tabs>
        <w:spacing w:after="100" w:line="360" w:lineRule="auto"/>
        <w:jc w:val="both"/>
      </w:pPr>
      <w:r w:rsidRPr="00BB4643">
        <w:t>“Investigation of oesophageal photoplethysmographic signals and blood oxygen saturation measurements in cardiothoracic surgery patients”</w:t>
      </w:r>
    </w:p>
    <w:p w:rsidR="00BB4643" w:rsidRPr="00BB4643" w:rsidRDefault="00BB4643" w:rsidP="001E14D0">
      <w:pPr>
        <w:tabs>
          <w:tab w:val="left" w:pos="720"/>
        </w:tabs>
        <w:spacing w:after="100" w:line="360" w:lineRule="auto"/>
        <w:jc w:val="both"/>
      </w:pPr>
      <w:r w:rsidRPr="00BB4643">
        <w:lastRenderedPageBreak/>
        <w:t>Oesophageal photoplethysmographic (PPG) signals with enormous amplitudes and high sign to-commotion proportions were estimated from different profundities inside the throat from all the cardiothoracic patients.</w:t>
      </w:r>
    </w:p>
    <w:p w:rsidR="00BB4643" w:rsidRPr="00BB4643" w:rsidRDefault="00BB4643" w:rsidP="001E14D0">
      <w:pPr>
        <w:tabs>
          <w:tab w:val="left" w:pos="720"/>
        </w:tabs>
        <w:spacing w:after="100" w:line="360" w:lineRule="auto"/>
        <w:jc w:val="both"/>
      </w:pPr>
    </w:p>
    <w:p w:rsidR="00BB4643" w:rsidRPr="00BB4643" w:rsidRDefault="00BB4643" w:rsidP="001E14D0">
      <w:pPr>
        <w:tabs>
          <w:tab w:val="left" w:pos="720"/>
        </w:tabs>
        <w:spacing w:after="100" w:line="360" w:lineRule="auto"/>
        <w:jc w:val="both"/>
      </w:pPr>
      <w:r w:rsidRPr="00BB4643">
        <w:t>A. Johansson,</w:t>
      </w:r>
    </w:p>
    <w:p w:rsidR="00BB4643" w:rsidRPr="00BB4643" w:rsidRDefault="00BB4643" w:rsidP="001E14D0">
      <w:pPr>
        <w:tabs>
          <w:tab w:val="left" w:pos="720"/>
        </w:tabs>
        <w:spacing w:after="100" w:line="360" w:lineRule="auto"/>
        <w:jc w:val="both"/>
      </w:pPr>
      <w:r w:rsidRPr="00BB4643">
        <w:t>“Neural network for photoplethysmographic respiratory rate monitoring”</w:t>
      </w:r>
    </w:p>
    <w:p w:rsidR="00BB4643" w:rsidRPr="00BB4643" w:rsidRDefault="00BB4643" w:rsidP="001E14D0">
      <w:pPr>
        <w:tabs>
          <w:tab w:val="left" w:pos="720"/>
        </w:tabs>
        <w:spacing w:after="100" w:line="360" w:lineRule="auto"/>
        <w:jc w:val="both"/>
      </w:pPr>
      <w:r w:rsidRPr="00BB4643">
        <w:t>The PPG signal incorporates respiratory simultaneous parts, seen as recurrence balance of the pulse (respiratory sinus arrhythmia), abundancy balance of the cardiovascular heartbeat and respiratory-initiated power varieties (RIIVs) in the PPG standard.</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BB4643" w:rsidRPr="00D26A5D" w:rsidRDefault="003C6C39" w:rsidP="004B752D">
      <w:pPr>
        <w:jc w:val="center"/>
        <w:rPr>
          <w:rFonts w:eastAsia="Times New Roman"/>
          <w:b/>
          <w:bCs/>
          <w:sz w:val="24"/>
          <w:szCs w:val="24"/>
        </w:rPr>
        <w:sectPr w:rsidR="00BB4643" w:rsidRPr="00D26A5D" w:rsidSect="00455FE3">
          <w:type w:val="continuous"/>
          <w:pgSz w:w="11907" w:h="16839" w:code="9"/>
          <w:pgMar w:top="1620" w:right="686" w:bottom="2340" w:left="700" w:header="0" w:footer="0" w:gutter="0"/>
          <w:cols w:space="720"/>
          <w:docGrid w:linePitch="299"/>
        </w:sectPr>
      </w:pPr>
      <w:r w:rsidRPr="003C6C39">
        <w:rPr>
          <w:rFonts w:eastAsia="Times New Roman"/>
          <w:b/>
          <w:bCs/>
          <w:sz w:val="24"/>
          <w:szCs w:val="24"/>
        </w:rPr>
        <w:drawing>
          <wp:inline distT="0" distB="0" distL="0" distR="0">
            <wp:extent cx="5219700" cy="2343150"/>
            <wp:effectExtent l="19050" t="0" r="0" b="0"/>
            <wp:docPr id="1" name="Picture 5" descr="D:\yuva work document\pic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yuva work document\pic 5.jpg"/>
                    <pic:cNvPicPr>
                      <a:picLocks noChangeAspect="1" noChangeArrowheads="1"/>
                    </pic:cNvPicPr>
                  </pic:nvPicPr>
                  <pic:blipFill>
                    <a:blip r:embed="rId10"/>
                    <a:srcRect/>
                    <a:stretch>
                      <a:fillRect/>
                    </a:stretch>
                  </pic:blipFill>
                  <pic:spPr bwMode="auto">
                    <a:xfrm>
                      <a:off x="0" y="0"/>
                      <a:ext cx="5219739" cy="2343168"/>
                    </a:xfrm>
                    <a:prstGeom prst="rect">
                      <a:avLst/>
                    </a:prstGeom>
                    <a:noFill/>
                    <a:ln w="9525">
                      <a:noFill/>
                      <a:miter lim="800000"/>
                      <a:headEnd/>
                      <a:tailEnd/>
                    </a:ln>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90270D">
        <w:rPr>
          <w:rFonts w:eastAsia="Times New Roman"/>
          <w:b/>
          <w:bCs/>
          <w:sz w:val="24"/>
          <w:szCs w:val="24"/>
        </w:rPr>
        <w:t xml:space="preserve"> </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90270D" w:rsidRDefault="0090270D" w:rsidP="0090270D">
      <w:pPr>
        <w:spacing w:after="120" w:line="360" w:lineRule="auto"/>
        <w:jc w:val="both"/>
        <w:rPr>
          <w:bCs/>
          <w:szCs w:val="20"/>
        </w:rPr>
      </w:pPr>
      <w:r w:rsidRPr="0090270D">
        <w:rPr>
          <w:bCs/>
          <w:szCs w:val="20"/>
        </w:rPr>
        <w:t xml:space="preserve">Existing clinical ways to deal with measure blood hemoglobin levels require particular hardware. It has </w:t>
      </w:r>
      <w:r w:rsidRPr="0090270D">
        <w:rPr>
          <w:bCs/>
          <w:szCs w:val="20"/>
        </w:rPr>
        <w:lastRenderedPageBreak/>
        <w:t xml:space="preserve">precision yet is costly and needs a great deal of framework necessities, which are all particularly hazardous in country and low-assets settings, where pallor is more predominant. Here, the blood test of the </w:t>
      </w:r>
      <w:r w:rsidRPr="0090270D">
        <w:rPr>
          <w:bCs/>
          <w:szCs w:val="20"/>
        </w:rPr>
        <w:lastRenderedPageBreak/>
        <w:t>individual is taken, and afterward certain tests are directed utilizing synthetic substances like Ethylene</w:t>
      </w:r>
      <w:r>
        <w:rPr>
          <w:bCs/>
          <w:szCs w:val="20"/>
        </w:rPr>
        <w:t xml:space="preserve"> </w:t>
      </w:r>
      <w:r w:rsidRPr="0090270D">
        <w:rPr>
          <w:bCs/>
          <w:szCs w:val="20"/>
        </w:rPr>
        <w:t>diamine</w:t>
      </w:r>
      <w:r>
        <w:rPr>
          <w:bCs/>
          <w:szCs w:val="20"/>
        </w:rPr>
        <w:t xml:space="preserve"> </w:t>
      </w:r>
      <w:r w:rsidRPr="0090270D">
        <w:rPr>
          <w:bCs/>
          <w:szCs w:val="20"/>
        </w:rPr>
        <w:t>tetra</w:t>
      </w:r>
      <w:r>
        <w:rPr>
          <w:bCs/>
          <w:szCs w:val="20"/>
        </w:rPr>
        <w:t xml:space="preserve"> </w:t>
      </w:r>
      <w:r w:rsidRPr="0090270D">
        <w:rPr>
          <w:bCs/>
          <w:szCs w:val="20"/>
        </w:rPr>
        <w:t>acetic corrosive (EDTA).</w:t>
      </w:r>
      <w:r>
        <w:rPr>
          <w:bCs/>
          <w:szCs w:val="20"/>
        </w:rPr>
        <w:t xml:space="preserve"> </w:t>
      </w:r>
      <w:r w:rsidRPr="0090270D">
        <w:rPr>
          <w:bCs/>
          <w:szCs w:val="20"/>
        </w:rPr>
        <w:t>It isn't just tedious however aims a ton of superfluous agony to the individual. Beside being cost-restrictive in asset unfortunate settings, the essential intrusive blood examining to quantify hemoglobin levels causes uneasiness in more youthful pediatric patients. It additionally creates a great deal of waste which is non-biodegradable. Hence, it isn't eco-accommodating.</w:t>
      </w: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DA288A" w:rsidP="00DA288A">
      <w:pPr>
        <w:spacing w:after="120" w:line="360" w:lineRule="auto"/>
        <w:jc w:val="both"/>
        <w:rPr>
          <w:bCs/>
          <w:szCs w:val="20"/>
          <w:lang w:val="en-IN"/>
        </w:rPr>
      </w:pPr>
      <w:r w:rsidRPr="00DA288A">
        <w:rPr>
          <w:bCs/>
          <w:szCs w:val="20"/>
          <w:lang w:val="en-IN"/>
        </w:rPr>
        <w:t>The least squares technique separates the issues into two classes: direct or customary least squares and nonlinear least squares, contingent upon whether every obscure worth of the redundancies is straight.</w:t>
      </w:r>
      <w:r>
        <w:rPr>
          <w:bCs/>
          <w:szCs w:val="20"/>
          <w:lang w:val="en-IN"/>
        </w:rPr>
        <w:t xml:space="preserve"> </w:t>
      </w:r>
      <w:r w:rsidRPr="00DA288A">
        <w:rPr>
          <w:bCs/>
          <w:szCs w:val="20"/>
          <w:lang w:val="en-IN"/>
        </w:rPr>
        <w:t>The direct least squares issue happens in measurable relapse examination; there is a shut structure arrangement accessible.</w:t>
      </w:r>
      <w:r>
        <w:rPr>
          <w:bCs/>
          <w:szCs w:val="20"/>
          <w:lang w:val="en-IN"/>
        </w:rPr>
        <w:t xml:space="preserve"> </w:t>
      </w:r>
      <w:r w:rsidRPr="00DA288A">
        <w:rPr>
          <w:bCs/>
          <w:szCs w:val="20"/>
          <w:lang w:val="en-IN"/>
        </w:rPr>
        <w:t>PPG is a photoelectrical technique, which is utilized for estimating the tissue blood volume in light of the adjustment of the blood volume at each heartbeat.</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DA288A" w:rsidRDefault="00A96627" w:rsidP="00A96627">
      <w:pPr>
        <w:spacing w:after="120" w:line="360" w:lineRule="auto"/>
        <w:jc w:val="both"/>
        <w:rPr>
          <w:szCs w:val="20"/>
          <w:lang w:val="en-IN"/>
        </w:rPr>
      </w:pPr>
      <w:r w:rsidRPr="00A96627">
        <w:rPr>
          <w:szCs w:val="20"/>
          <w:lang w:val="en-IN"/>
        </w:rPr>
        <w:t>In this technique, an area of skin on the fingertip is transilluminated by light which is produced by a red LED and a green LED.This light goes through the tissues and is reflected back.</w:t>
      </w:r>
      <w:r>
        <w:rPr>
          <w:szCs w:val="20"/>
          <w:lang w:val="en-IN"/>
        </w:rPr>
        <w:t xml:space="preserve"> </w:t>
      </w:r>
      <w:r w:rsidRPr="00A96627">
        <w:rPr>
          <w:szCs w:val="20"/>
          <w:lang w:val="en-IN"/>
        </w:rPr>
        <w:t>The frequency of the light reflected back from the tissue is recorded. The distinction in frequency is utilized to ascertain the hemoglobin count.</w:t>
      </w:r>
      <w:r>
        <w:rPr>
          <w:szCs w:val="20"/>
          <w:lang w:val="en-IN"/>
        </w:rPr>
        <w:t xml:space="preserve"> </w:t>
      </w:r>
      <w:r w:rsidRPr="00A96627">
        <w:rPr>
          <w:szCs w:val="20"/>
          <w:lang w:val="en-IN"/>
        </w:rPr>
        <w:t xml:space="preserve">The product is an application named detectIR which contain a data set for putting away the ideal hemoglobin level, giving tips and articles in view of the hemoglobin count, foreseeing </w:t>
      </w:r>
      <w:r w:rsidRPr="00A96627">
        <w:rPr>
          <w:szCs w:val="20"/>
          <w:lang w:val="en-IN"/>
        </w:rPr>
        <w:lastRenderedPageBreak/>
        <w:t>the opportunity of coronary failure involving SVM calculation in Machine Learning and giving extra data in light of the manifestations entered by the individual utilizing Web Crawling.</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Default="009761F1" w:rsidP="009761F1">
      <w:pPr>
        <w:autoSpaceDE w:val="0"/>
        <w:autoSpaceDN w:val="0"/>
        <w:adjustRightInd w:val="0"/>
        <w:spacing w:line="360" w:lineRule="auto"/>
        <w:jc w:val="both"/>
        <w:rPr>
          <w:rFonts w:eastAsia="Calibri"/>
        </w:rPr>
      </w:pPr>
      <w:r w:rsidRPr="009761F1">
        <w:rPr>
          <w:rFonts w:eastAsia="Calibri"/>
        </w:rPr>
        <w:t>In this work, painless hemoglobin fixation level forecast framework has been proposed in view of consolidating relapse strategies and element choice with time space highlights removed from PPG signal.</w:t>
      </w:r>
      <w:r>
        <w:rPr>
          <w:rFonts w:eastAsia="Calibri"/>
        </w:rPr>
        <w:t xml:space="preserve"> </w:t>
      </w:r>
      <w:r w:rsidRPr="009761F1">
        <w:rPr>
          <w:rFonts w:eastAsia="Calibri"/>
        </w:rPr>
        <w:t>The component determination calculations are regularly utilized to choose the pertinent elements related with the result name and limiting the computational time during order cycle of arrangement.</w:t>
      </w:r>
    </w:p>
    <w:p w:rsidR="00A96627" w:rsidRDefault="00A96627" w:rsidP="00960283">
      <w:pPr>
        <w:autoSpaceDE w:val="0"/>
        <w:autoSpaceDN w:val="0"/>
        <w:adjustRightInd w:val="0"/>
        <w:jc w:val="both"/>
        <w:rPr>
          <w:rFonts w:eastAsia="Calibri"/>
          <w:b/>
          <w:bCs/>
        </w:rPr>
      </w:pPr>
    </w:p>
    <w:p w:rsidR="00DC5199" w:rsidRPr="003C6C39" w:rsidRDefault="005218E3" w:rsidP="00960283">
      <w:pPr>
        <w:autoSpaceDE w:val="0"/>
        <w:autoSpaceDN w:val="0"/>
        <w:adjustRightInd w:val="0"/>
        <w:jc w:val="both"/>
        <w:rPr>
          <w:rFonts w:eastAsia="Calibri"/>
          <w:b/>
          <w:bCs/>
          <w:sz w:val="24"/>
          <w:szCs w:val="24"/>
        </w:rPr>
      </w:pPr>
      <w:r w:rsidRPr="003C6C39">
        <w:rPr>
          <w:rFonts w:eastAsia="Calibri"/>
          <w:b/>
          <w:bCs/>
          <w:sz w:val="24"/>
          <w:szCs w:val="24"/>
        </w:rPr>
        <w:t>CONCLUSION</w:t>
      </w:r>
      <w:r w:rsidR="00DC5199" w:rsidRPr="003C6C39">
        <w:rPr>
          <w:rFonts w:eastAsia="Calibri"/>
          <w:b/>
          <w:bCs/>
          <w:sz w:val="24"/>
          <w:szCs w:val="24"/>
        </w:rPr>
        <w:t xml:space="preserve"> :</w:t>
      </w:r>
    </w:p>
    <w:p w:rsidR="006B52E4" w:rsidRDefault="006B52E4" w:rsidP="002D7B1E">
      <w:pPr>
        <w:autoSpaceDE w:val="0"/>
        <w:autoSpaceDN w:val="0"/>
        <w:adjustRightInd w:val="0"/>
        <w:spacing w:line="360" w:lineRule="auto"/>
        <w:jc w:val="both"/>
        <w:rPr>
          <w:rFonts w:eastAsia="Calibri"/>
          <w:sz w:val="24"/>
          <w:szCs w:val="24"/>
        </w:rPr>
      </w:pPr>
    </w:p>
    <w:p w:rsidR="003C6C39" w:rsidRPr="007A1100" w:rsidRDefault="00A56A03" w:rsidP="00A56A03">
      <w:pPr>
        <w:autoSpaceDE w:val="0"/>
        <w:autoSpaceDN w:val="0"/>
        <w:adjustRightInd w:val="0"/>
        <w:spacing w:line="360" w:lineRule="auto"/>
        <w:jc w:val="both"/>
        <w:rPr>
          <w:rFonts w:eastAsia="Calibri"/>
        </w:rPr>
      </w:pPr>
      <w:r w:rsidRPr="007A1100">
        <w:rPr>
          <w:rFonts w:eastAsia="Calibri"/>
        </w:rPr>
        <w:t>The estimation of the hemoglobin content in blood does not just give data about the wellbeing of a patient, yet in addition assists the specialist with settling on a treatment for some sicknesses. Hemoglobin in blood is ordinarily estimated in the wake of taking blood test from the body. This causes bother for the patients whose hemoglobin is persistently estimated. A new painless</w:t>
      </w:r>
      <w:r w:rsidR="007A1100" w:rsidRPr="007A1100">
        <w:rPr>
          <w:rFonts w:eastAsia="Calibri"/>
        </w:rPr>
        <w:t xml:space="preserve"> </w:t>
      </w:r>
      <w:r w:rsidRPr="007A1100">
        <w:rPr>
          <w:rFonts w:eastAsia="Calibri"/>
        </w:rPr>
        <w:t>hemoglobin estimation strategy, which depends on PPG signal</w:t>
      </w:r>
      <w:r w:rsidR="007A1100" w:rsidRPr="007A1100">
        <w:rPr>
          <w:rFonts w:eastAsia="Calibri"/>
        </w:rPr>
        <w:t xml:space="preserve"> </w:t>
      </w:r>
      <w:r w:rsidRPr="007A1100">
        <w:rPr>
          <w:rFonts w:eastAsia="Calibri"/>
        </w:rPr>
        <w:t>furthermore AI, ha</w:t>
      </w:r>
      <w:r w:rsidR="007A1100" w:rsidRPr="007A1100">
        <w:rPr>
          <w:rFonts w:eastAsia="Calibri"/>
        </w:rPr>
        <w:t xml:space="preserve">s been proposed in this review. </w:t>
      </w:r>
      <w:r w:rsidRPr="007A1100">
        <w:rPr>
          <w:rFonts w:eastAsia="Calibri"/>
        </w:rPr>
        <w:t>In this</w:t>
      </w:r>
      <w:r w:rsidR="007A1100" w:rsidRPr="007A1100">
        <w:rPr>
          <w:rFonts w:eastAsia="Calibri"/>
        </w:rPr>
        <w:t xml:space="preserve"> </w:t>
      </w:r>
      <w:r w:rsidRPr="007A1100">
        <w:rPr>
          <w:rFonts w:eastAsia="Calibri"/>
        </w:rPr>
        <w:t>strategy, the hemoglobin upsides of individuals were assessed by</w:t>
      </w:r>
      <w:r w:rsidR="007A1100" w:rsidRPr="007A1100">
        <w:rPr>
          <w:rFonts w:eastAsia="Calibri"/>
        </w:rPr>
        <w:t xml:space="preserve"> </w:t>
      </w:r>
      <w:r w:rsidRPr="007A1100">
        <w:rPr>
          <w:rFonts w:eastAsia="Calibri"/>
        </w:rPr>
        <w:t>getting PPG signals from them, removing time-space highlights</w:t>
      </w:r>
      <w:r w:rsidR="007A1100" w:rsidRPr="007A1100">
        <w:rPr>
          <w:rFonts w:eastAsia="Calibri"/>
        </w:rPr>
        <w:t xml:space="preserve"> </w:t>
      </w:r>
      <w:r w:rsidRPr="007A1100">
        <w:rPr>
          <w:rFonts w:eastAsia="Calibri"/>
        </w:rPr>
        <w:t>from those signs and entering them into AI calculations. 8 unique relapse strategies were utilized for the forecast</w:t>
      </w:r>
      <w:r w:rsidR="007A1100" w:rsidRPr="007A1100">
        <w:rPr>
          <w:rFonts w:eastAsia="Calibri"/>
        </w:rPr>
        <w:t xml:space="preserve"> </w:t>
      </w:r>
      <w:r w:rsidRPr="007A1100">
        <w:rPr>
          <w:rFonts w:eastAsia="Calibri"/>
        </w:rPr>
        <w:t>of the hemoglobin esteem, including the CART (arrangement and</w:t>
      </w:r>
      <w:r w:rsidR="007A1100" w:rsidRPr="007A1100">
        <w:rPr>
          <w:rFonts w:eastAsia="Calibri"/>
        </w:rPr>
        <w:t xml:space="preserve"> </w:t>
      </w:r>
      <w:r w:rsidRPr="007A1100">
        <w:rPr>
          <w:rFonts w:eastAsia="Calibri"/>
        </w:rPr>
        <w:t>relapse trees), LSR (least squares relapse), GLR (summed up straight relapse), MVLR (multivariate direct relapse), PLSR</w:t>
      </w:r>
      <w:r w:rsidR="007A1100" w:rsidRPr="007A1100">
        <w:rPr>
          <w:rFonts w:eastAsia="Calibri"/>
        </w:rPr>
        <w:t xml:space="preserve"> </w:t>
      </w:r>
      <w:r w:rsidRPr="007A1100">
        <w:rPr>
          <w:rFonts w:eastAsia="Calibri"/>
        </w:rPr>
        <w:t xml:space="preserve">(fractional </w:t>
      </w:r>
      <w:r w:rsidRPr="007A1100">
        <w:rPr>
          <w:rFonts w:eastAsia="Calibri"/>
        </w:rPr>
        <w:lastRenderedPageBreak/>
        <w:t>least squares relapse), GRNN (summed up relapse</w:t>
      </w:r>
      <w:r w:rsidR="007A1100" w:rsidRPr="007A1100">
        <w:rPr>
          <w:rFonts w:eastAsia="Calibri"/>
        </w:rPr>
        <w:t xml:space="preserve"> </w:t>
      </w:r>
      <w:r w:rsidRPr="007A1100">
        <w:rPr>
          <w:rFonts w:eastAsia="Calibri"/>
        </w:rPr>
        <w:t>neural organization), MLP (multi-facet perceptron) and SVR (support</w:t>
      </w:r>
      <w:r w:rsidR="007A1100" w:rsidRPr="007A1100">
        <w:rPr>
          <w:rFonts w:eastAsia="Calibri"/>
        </w:rPr>
        <w:t xml:space="preserve"> </w:t>
      </w:r>
      <w:r w:rsidRPr="007A1100">
        <w:rPr>
          <w:rFonts w:eastAsia="Calibri"/>
        </w:rPr>
        <w:t>vector relapse) strategies. In addition, the techniques for RELIEF include</w:t>
      </w:r>
      <w:r w:rsidR="007A1100" w:rsidRPr="007A1100">
        <w:rPr>
          <w:rFonts w:eastAsia="Calibri"/>
        </w:rPr>
        <w:t xml:space="preserve"> </w:t>
      </w:r>
      <w:r w:rsidRPr="007A1100">
        <w:rPr>
          <w:rFonts w:eastAsia="Calibri"/>
        </w:rPr>
        <w:t>choice (RFS) and relationship based element determination (CFS) strategies were utilized to diminish the quantity of highlights. The quantity of</w:t>
      </w:r>
      <w:r w:rsidR="007A1100" w:rsidRPr="007A1100">
        <w:rPr>
          <w:rFonts w:eastAsia="Calibri"/>
        </w:rPr>
        <w:t xml:space="preserve"> </w:t>
      </w:r>
      <w:r w:rsidRPr="007A1100">
        <w:rPr>
          <w:rFonts w:eastAsia="Calibri"/>
        </w:rPr>
        <w:t>the highlights was extensively diminished down to 10 and 11 (RFS</w:t>
      </w:r>
      <w:r w:rsidR="007A1100" w:rsidRPr="007A1100">
        <w:rPr>
          <w:rFonts w:eastAsia="Calibri"/>
        </w:rPr>
        <w:t xml:space="preserve"> </w:t>
      </w:r>
      <w:r w:rsidRPr="007A1100">
        <w:rPr>
          <w:rFonts w:eastAsia="Calibri"/>
        </w:rPr>
        <w:t>also CFS) with the utilization of these component choice calculations</w:t>
      </w:r>
      <w:r w:rsidR="007A1100" w:rsidRPr="007A1100">
        <w:rPr>
          <w:rFonts w:eastAsia="Calibri"/>
        </w:rPr>
        <w:t xml:space="preserve"> </w:t>
      </w:r>
      <w:r w:rsidRPr="007A1100">
        <w:rPr>
          <w:rFonts w:eastAsia="Calibri"/>
        </w:rPr>
        <w:t>onto the dataset with 44 elements. As per the R2 execution</w:t>
      </w:r>
      <w:r w:rsidR="007A1100" w:rsidRPr="007A1100">
        <w:rPr>
          <w:rFonts w:eastAsia="Calibri"/>
        </w:rPr>
        <w:t xml:space="preserve"> </w:t>
      </w:r>
      <w:r w:rsidRPr="007A1100">
        <w:rPr>
          <w:rFonts w:eastAsia="Calibri"/>
        </w:rPr>
        <w:t>rules, the help vector relapse has been viewed as awesome</w:t>
      </w:r>
      <w:r w:rsidR="007A1100" w:rsidRPr="007A1100">
        <w:rPr>
          <w:rFonts w:eastAsia="Calibri"/>
        </w:rPr>
        <w:t xml:space="preserve"> </w:t>
      </w:r>
      <w:r w:rsidRPr="007A1100">
        <w:rPr>
          <w:rFonts w:eastAsia="Calibri"/>
        </w:rPr>
        <w:t>AI technique in the forecast of hemoglobin level. As</w:t>
      </w:r>
      <w:r w:rsidR="007A1100" w:rsidRPr="007A1100">
        <w:rPr>
          <w:rFonts w:eastAsia="Calibri"/>
        </w:rPr>
        <w:t xml:space="preserve"> </w:t>
      </w:r>
      <w:r w:rsidRPr="007A1100">
        <w:rPr>
          <w:rFonts w:eastAsia="Calibri"/>
        </w:rPr>
        <w:t>the hybridmodel, the mix of RFS and SVR has acquired very</w:t>
      </w:r>
      <w:r w:rsidR="007A1100" w:rsidRPr="007A1100">
        <w:rPr>
          <w:rFonts w:eastAsia="Calibri"/>
        </w:rPr>
        <w:t xml:space="preserve"> </w:t>
      </w:r>
      <w:r w:rsidRPr="007A1100">
        <w:rPr>
          <w:rFonts w:eastAsia="Calibri"/>
        </w:rPr>
        <w:t>great outcomes in the forecast of hemoglobin level. The acquired</w:t>
      </w:r>
      <w:r w:rsidR="007A1100" w:rsidRPr="007A1100">
        <w:rPr>
          <w:rFonts w:eastAsia="Calibri"/>
        </w:rPr>
        <w:t xml:space="preserve"> </w:t>
      </w:r>
      <w:r w:rsidRPr="007A1100">
        <w:rPr>
          <w:rFonts w:eastAsia="Calibri"/>
        </w:rPr>
        <w:t>results have shown that the mix of RFS and SVR would be able</w:t>
      </w:r>
      <w:r w:rsidR="007A1100" w:rsidRPr="007A1100">
        <w:rPr>
          <w:rFonts w:eastAsia="Calibri"/>
        </w:rPr>
        <w:t xml:space="preserve"> </w:t>
      </w:r>
      <w:r w:rsidRPr="007A1100">
        <w:rPr>
          <w:rFonts w:eastAsia="Calibri"/>
        </w:rPr>
        <w:t>be unhesitatingly utilized in the forecast of hemoglobin level as the</w:t>
      </w:r>
      <w:r w:rsidR="007A1100" w:rsidRPr="007A1100">
        <w:rPr>
          <w:rFonts w:eastAsia="Calibri"/>
        </w:rPr>
        <w:t xml:space="preserve"> </w:t>
      </w:r>
      <w:r w:rsidRPr="007A1100">
        <w:rPr>
          <w:rFonts w:eastAsia="Calibri"/>
        </w:rPr>
        <w:t>painless technique in light of PPG signal.</w:t>
      </w:r>
    </w:p>
    <w:p w:rsidR="00011F88" w:rsidRPr="003C6C39" w:rsidRDefault="00011F88" w:rsidP="006B52E4">
      <w:pPr>
        <w:autoSpaceDE w:val="0"/>
        <w:autoSpaceDN w:val="0"/>
        <w:adjustRightInd w:val="0"/>
        <w:jc w:val="both"/>
        <w:rPr>
          <w:rFonts w:eastAsia="Calibri"/>
          <w:sz w:val="24"/>
          <w:szCs w:val="24"/>
        </w:rPr>
      </w:pPr>
    </w:p>
    <w:p w:rsidR="009761F1" w:rsidRPr="003C6C39" w:rsidRDefault="009761F1" w:rsidP="006B52E4">
      <w:pPr>
        <w:autoSpaceDE w:val="0"/>
        <w:autoSpaceDN w:val="0"/>
        <w:adjustRightInd w:val="0"/>
        <w:jc w:val="both"/>
        <w:rPr>
          <w:rFonts w:eastAsia="Calibri"/>
          <w:b/>
          <w:bCs/>
          <w:sz w:val="24"/>
          <w:szCs w:val="24"/>
        </w:rPr>
      </w:pPr>
    </w:p>
    <w:p w:rsidR="004B557E" w:rsidRPr="003C6C39" w:rsidRDefault="004B557E" w:rsidP="00B608E9">
      <w:pPr>
        <w:spacing w:line="360" w:lineRule="auto"/>
        <w:jc w:val="both"/>
        <w:rPr>
          <w:sz w:val="24"/>
        </w:rPr>
      </w:pPr>
      <w:r w:rsidRPr="003C6C39">
        <w:rPr>
          <w:b/>
          <w:sz w:val="24"/>
        </w:rPr>
        <w:t>REFERENCES</w:t>
      </w:r>
    </w:p>
    <w:p w:rsidR="008E3998" w:rsidRPr="00D26A5D" w:rsidRDefault="008E3998" w:rsidP="00333A11">
      <w:pPr>
        <w:spacing w:line="360" w:lineRule="auto"/>
        <w:jc w:val="both"/>
      </w:pPr>
    </w:p>
    <w:p w:rsidR="009C129D" w:rsidRPr="009C129D" w:rsidRDefault="009C129D" w:rsidP="009C129D">
      <w:pPr>
        <w:pStyle w:val="BodyText"/>
        <w:rPr>
          <w:sz w:val="22"/>
          <w:szCs w:val="22"/>
          <w:lang w:val="en-IN"/>
        </w:rPr>
      </w:pPr>
      <w:r w:rsidRPr="009C129D">
        <w:rPr>
          <w:sz w:val="22"/>
          <w:szCs w:val="22"/>
        </w:rPr>
        <w:t xml:space="preserve">[1] J.L.A. Nirupa, V.J. Kumar, Non-invasive measurement of hemoglobin content in blood, in: 2014 IEEE International Symposium on Medical Measurements and Applications (MeMeA), 2014, pp. 1–5. </w:t>
      </w:r>
    </w:p>
    <w:p w:rsidR="009C129D" w:rsidRDefault="009C129D" w:rsidP="009C129D">
      <w:pPr>
        <w:pStyle w:val="BodyText"/>
        <w:rPr>
          <w:sz w:val="22"/>
          <w:szCs w:val="22"/>
        </w:rPr>
      </w:pPr>
    </w:p>
    <w:p w:rsidR="009C129D" w:rsidRPr="009C129D" w:rsidRDefault="009C129D" w:rsidP="009C129D">
      <w:pPr>
        <w:pStyle w:val="BodyText"/>
        <w:rPr>
          <w:sz w:val="22"/>
          <w:szCs w:val="22"/>
          <w:lang w:val="en-IN"/>
        </w:rPr>
      </w:pPr>
      <w:r w:rsidRPr="009C129D">
        <w:rPr>
          <w:sz w:val="22"/>
          <w:szCs w:val="22"/>
        </w:rPr>
        <w:t xml:space="preserve">[2] J. Kraitl, U. Timm, H. Ewald, E. Lewis, Non-invasive measurement of blood components, in: 2011 Fifth International Conference on Sensing Technology (ICST), 2011, pp. 253–257. </w:t>
      </w:r>
    </w:p>
    <w:p w:rsidR="009C129D" w:rsidRPr="009C129D" w:rsidRDefault="009C129D" w:rsidP="009C129D">
      <w:pPr>
        <w:pStyle w:val="BodyText"/>
        <w:rPr>
          <w:sz w:val="22"/>
          <w:szCs w:val="22"/>
          <w:lang w:val="en-IN"/>
        </w:rPr>
      </w:pPr>
      <w:r w:rsidRPr="009C129D">
        <w:rPr>
          <w:sz w:val="22"/>
          <w:szCs w:val="22"/>
        </w:rPr>
        <w:lastRenderedPageBreak/>
        <w:t xml:space="preserve">[3] J. Bailey, M. Fecteau, N.L. Pendleton, Wireless Pulse Oximeter, Worcester Polytechnic Institute, 2008, April 24, Bachelor Degree Thesis. </w:t>
      </w:r>
    </w:p>
    <w:p w:rsidR="009C129D" w:rsidRDefault="009C129D" w:rsidP="009C129D">
      <w:pPr>
        <w:pStyle w:val="BodyText"/>
        <w:rPr>
          <w:sz w:val="22"/>
          <w:szCs w:val="22"/>
        </w:rPr>
      </w:pPr>
    </w:p>
    <w:p w:rsidR="009C129D" w:rsidRPr="009C129D" w:rsidRDefault="009C129D" w:rsidP="009C129D">
      <w:pPr>
        <w:pStyle w:val="BodyText"/>
        <w:rPr>
          <w:sz w:val="22"/>
          <w:szCs w:val="22"/>
          <w:lang w:val="en-IN"/>
        </w:rPr>
      </w:pPr>
      <w:r w:rsidRPr="009C129D">
        <w:rPr>
          <w:sz w:val="22"/>
          <w:szCs w:val="22"/>
        </w:rPr>
        <w:t xml:space="preserve">[4] P.A. Kyriacou, S. Powell, R.M. Langford, D.P. Jones, Investigation of oesophageal photoplethysmographic signals and blood oxygen saturation measurements in cardiothoracic surgery patients, Physiol. Meas. 23 (2002) 533–545, August. </w:t>
      </w:r>
    </w:p>
    <w:p w:rsidR="009C129D" w:rsidRDefault="009C129D" w:rsidP="009C129D">
      <w:pPr>
        <w:pStyle w:val="BodyText"/>
        <w:rPr>
          <w:sz w:val="22"/>
          <w:szCs w:val="22"/>
        </w:rPr>
      </w:pPr>
    </w:p>
    <w:p w:rsidR="009C129D" w:rsidRPr="009C129D" w:rsidRDefault="009C129D" w:rsidP="009C129D">
      <w:pPr>
        <w:pStyle w:val="BodyText"/>
        <w:rPr>
          <w:sz w:val="22"/>
          <w:szCs w:val="22"/>
          <w:lang w:val="en-IN"/>
        </w:rPr>
      </w:pPr>
      <w:r w:rsidRPr="009C129D">
        <w:rPr>
          <w:sz w:val="22"/>
          <w:szCs w:val="22"/>
        </w:rPr>
        <w:t xml:space="preserve">[5] A. Johansson, Neural network for photoplethysmographic respiratory rate monitoring, Med. Biol. Eng. Comput. 41 (2003) 242–248, May. </w:t>
      </w:r>
    </w:p>
    <w:p w:rsidR="009C129D" w:rsidRDefault="009C129D" w:rsidP="009C129D">
      <w:pPr>
        <w:pStyle w:val="BodyText"/>
        <w:rPr>
          <w:sz w:val="22"/>
          <w:szCs w:val="22"/>
        </w:rPr>
      </w:pPr>
    </w:p>
    <w:p w:rsidR="009C129D" w:rsidRPr="009C129D" w:rsidRDefault="009C129D" w:rsidP="009C129D">
      <w:pPr>
        <w:pStyle w:val="BodyText"/>
        <w:rPr>
          <w:sz w:val="22"/>
          <w:szCs w:val="22"/>
          <w:lang w:val="en-IN"/>
        </w:rPr>
      </w:pPr>
      <w:r w:rsidRPr="009C129D">
        <w:rPr>
          <w:sz w:val="22"/>
          <w:szCs w:val="22"/>
        </w:rPr>
        <w:t xml:space="preserve">[6] S.H. Binns, D.D. Sisson, D.A. Buoscio, D.J. Schaeffer, Doppler ultrasonographic, oscillometric sphygmomanometric, and photoplethysmographic techniques for noninvasive blood-pressure measurement in anesthetized cats, J. Vet. Intern. Med. 9 (1995) 405–414, November–December. </w:t>
      </w:r>
    </w:p>
    <w:p w:rsidR="009C129D" w:rsidRDefault="009C129D" w:rsidP="009C129D">
      <w:pPr>
        <w:pStyle w:val="BodyText"/>
        <w:rPr>
          <w:sz w:val="22"/>
          <w:szCs w:val="22"/>
        </w:rPr>
      </w:pPr>
    </w:p>
    <w:p w:rsidR="009C129D" w:rsidRPr="009C129D" w:rsidRDefault="009C129D" w:rsidP="009C129D">
      <w:pPr>
        <w:pStyle w:val="BodyText"/>
        <w:rPr>
          <w:sz w:val="22"/>
          <w:szCs w:val="22"/>
          <w:lang w:val="en-IN"/>
        </w:rPr>
      </w:pPr>
      <w:r w:rsidRPr="009C129D">
        <w:rPr>
          <w:sz w:val="22"/>
          <w:szCs w:val="22"/>
        </w:rPr>
        <w:t xml:space="preserve">[7] J. Allen, Photoplethysmography and its application in clinical physiological measurement, Physiol. Meas. 28 (2007) R1–R39, March. </w:t>
      </w:r>
    </w:p>
    <w:p w:rsidR="009C129D" w:rsidRDefault="009C129D" w:rsidP="009C129D">
      <w:pPr>
        <w:pStyle w:val="BodyText"/>
        <w:rPr>
          <w:sz w:val="22"/>
          <w:szCs w:val="22"/>
        </w:rPr>
      </w:pPr>
    </w:p>
    <w:p w:rsidR="009C129D" w:rsidRPr="009C129D" w:rsidRDefault="009C129D" w:rsidP="009C129D">
      <w:pPr>
        <w:pStyle w:val="BodyText"/>
        <w:rPr>
          <w:sz w:val="22"/>
          <w:szCs w:val="22"/>
          <w:lang w:val="en-IN"/>
        </w:rPr>
      </w:pPr>
      <w:r w:rsidRPr="009C129D">
        <w:rPr>
          <w:sz w:val="22"/>
          <w:szCs w:val="22"/>
        </w:rPr>
        <w:t>[8] S.B. Usman, M.A.B. Ali, M.M.B. Reaz, K. Chellapan, Second derivative of photoplethysmogram in estimating vascular aging among diabetic patients, in: 2009 International Conference for Technical Postgraduates (Techpos 2009), vol. 357, 2009, pp. 5–7.</w:t>
      </w:r>
      <w:r w:rsidRPr="009C129D">
        <w:rPr>
          <w:sz w:val="22"/>
          <w:szCs w:val="22"/>
          <w:lang w:val="en-IN"/>
        </w:rPr>
        <w:t xml:space="preserve"> </w:t>
      </w:r>
    </w:p>
    <w:p w:rsidR="009C129D" w:rsidRDefault="009C129D" w:rsidP="009C129D">
      <w:pPr>
        <w:pStyle w:val="BodyText"/>
        <w:rPr>
          <w:sz w:val="22"/>
          <w:szCs w:val="22"/>
        </w:rPr>
      </w:pPr>
    </w:p>
    <w:p w:rsidR="009C129D" w:rsidRPr="009C129D" w:rsidRDefault="009C129D" w:rsidP="009C129D">
      <w:pPr>
        <w:pStyle w:val="BodyText"/>
        <w:rPr>
          <w:sz w:val="22"/>
          <w:szCs w:val="22"/>
          <w:lang w:val="en-IN"/>
        </w:rPr>
      </w:pPr>
      <w:r w:rsidRPr="009C129D">
        <w:rPr>
          <w:sz w:val="22"/>
          <w:szCs w:val="22"/>
        </w:rPr>
        <w:t xml:space="preserve">[9] W. Chen, S. Lei, L. Guo, Y. Chen,M. Pan, Study on conditioning and feature extraction algorithm of photoplethysmography signal for physiological </w:t>
      </w:r>
      <w:r w:rsidRPr="009C129D">
        <w:rPr>
          <w:sz w:val="22"/>
          <w:szCs w:val="22"/>
        </w:rPr>
        <w:lastRenderedPageBreak/>
        <w:t xml:space="preserve">parameters detection, in: 2011 4th International Congress on Image and Signal Processing (CISP), 15–17 October 2011, vol. 4, 2011, pp. 2194–2197. </w:t>
      </w:r>
    </w:p>
    <w:p w:rsidR="009C129D" w:rsidRDefault="009C129D" w:rsidP="009C129D">
      <w:pPr>
        <w:spacing w:line="360" w:lineRule="auto"/>
        <w:jc w:val="both"/>
      </w:pPr>
    </w:p>
    <w:p w:rsidR="004B557E" w:rsidRPr="009C129D" w:rsidRDefault="009C129D" w:rsidP="009C129D">
      <w:pPr>
        <w:spacing w:line="360" w:lineRule="auto"/>
        <w:jc w:val="both"/>
        <w:rPr>
          <w:sz w:val="16"/>
          <w:szCs w:val="16"/>
        </w:rPr>
      </w:pPr>
      <w:r w:rsidRPr="009C129D">
        <w:t>[10] M. Iwasaka, J. Miyakoshi, S. Ueno, Optical absorbance of hemoglobin and red blood cell suspensions under magnetic fields, IEEE Trans. Magn. 37 (4) (2001) 2906–2908, July.</w:t>
      </w:r>
    </w:p>
    <w:sectPr w:rsidR="004B557E" w:rsidRPr="009C129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53C9" w:rsidRDefault="00A553C9" w:rsidP="00D57631">
      <w:r>
        <w:separator/>
      </w:r>
    </w:p>
  </w:endnote>
  <w:endnote w:type="continuationSeparator" w:id="1">
    <w:p w:rsidR="00A553C9" w:rsidRDefault="00A553C9"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174667">
        <w:pPr>
          <w:pStyle w:val="Footer"/>
          <w:jc w:val="center"/>
        </w:pPr>
        <w:fldSimple w:instr=" PAGE   \* MERGEFORMAT ">
          <w:r w:rsidR="009C129D">
            <w:rPr>
              <w:noProof/>
            </w:rPr>
            <w:t>6</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53C9" w:rsidRDefault="00A553C9" w:rsidP="00D57631">
      <w:r>
        <w:separator/>
      </w:r>
    </w:p>
  </w:footnote>
  <w:footnote w:type="continuationSeparator" w:id="1">
    <w:p w:rsidR="00A553C9" w:rsidRDefault="00A553C9"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BF4D94"/>
    <w:multiLevelType w:val="hybridMultilevel"/>
    <w:tmpl w:val="DDF456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D1980"/>
    <w:multiLevelType w:val="hybridMultilevel"/>
    <w:tmpl w:val="FE3A95AE"/>
    <w:lvl w:ilvl="0" w:tplc="D304D5F6">
      <w:start w:val="1"/>
      <w:numFmt w:val="bullet"/>
      <w:lvlText w:val=""/>
      <w:lvlJc w:val="left"/>
      <w:pPr>
        <w:tabs>
          <w:tab w:val="num" w:pos="720"/>
        </w:tabs>
        <w:ind w:left="720" w:hanging="360"/>
      </w:pPr>
      <w:rPr>
        <w:rFonts w:ascii="Wingdings 2" w:hAnsi="Wingdings 2" w:hint="default"/>
      </w:rPr>
    </w:lvl>
    <w:lvl w:ilvl="1" w:tplc="CECA92C8" w:tentative="1">
      <w:start w:val="1"/>
      <w:numFmt w:val="bullet"/>
      <w:lvlText w:val=""/>
      <w:lvlJc w:val="left"/>
      <w:pPr>
        <w:tabs>
          <w:tab w:val="num" w:pos="1440"/>
        </w:tabs>
        <w:ind w:left="1440" w:hanging="360"/>
      </w:pPr>
      <w:rPr>
        <w:rFonts w:ascii="Wingdings 2" w:hAnsi="Wingdings 2" w:hint="default"/>
      </w:rPr>
    </w:lvl>
    <w:lvl w:ilvl="2" w:tplc="91ECB2FE" w:tentative="1">
      <w:start w:val="1"/>
      <w:numFmt w:val="bullet"/>
      <w:lvlText w:val=""/>
      <w:lvlJc w:val="left"/>
      <w:pPr>
        <w:tabs>
          <w:tab w:val="num" w:pos="2160"/>
        </w:tabs>
        <w:ind w:left="2160" w:hanging="360"/>
      </w:pPr>
      <w:rPr>
        <w:rFonts w:ascii="Wingdings 2" w:hAnsi="Wingdings 2" w:hint="default"/>
      </w:rPr>
    </w:lvl>
    <w:lvl w:ilvl="3" w:tplc="6DD297BC" w:tentative="1">
      <w:start w:val="1"/>
      <w:numFmt w:val="bullet"/>
      <w:lvlText w:val=""/>
      <w:lvlJc w:val="left"/>
      <w:pPr>
        <w:tabs>
          <w:tab w:val="num" w:pos="2880"/>
        </w:tabs>
        <w:ind w:left="2880" w:hanging="360"/>
      </w:pPr>
      <w:rPr>
        <w:rFonts w:ascii="Wingdings 2" w:hAnsi="Wingdings 2" w:hint="default"/>
      </w:rPr>
    </w:lvl>
    <w:lvl w:ilvl="4" w:tplc="6D3E4B8C" w:tentative="1">
      <w:start w:val="1"/>
      <w:numFmt w:val="bullet"/>
      <w:lvlText w:val=""/>
      <w:lvlJc w:val="left"/>
      <w:pPr>
        <w:tabs>
          <w:tab w:val="num" w:pos="3600"/>
        </w:tabs>
        <w:ind w:left="3600" w:hanging="360"/>
      </w:pPr>
      <w:rPr>
        <w:rFonts w:ascii="Wingdings 2" w:hAnsi="Wingdings 2" w:hint="default"/>
      </w:rPr>
    </w:lvl>
    <w:lvl w:ilvl="5" w:tplc="8C4E04CE" w:tentative="1">
      <w:start w:val="1"/>
      <w:numFmt w:val="bullet"/>
      <w:lvlText w:val=""/>
      <w:lvlJc w:val="left"/>
      <w:pPr>
        <w:tabs>
          <w:tab w:val="num" w:pos="4320"/>
        </w:tabs>
        <w:ind w:left="4320" w:hanging="360"/>
      </w:pPr>
      <w:rPr>
        <w:rFonts w:ascii="Wingdings 2" w:hAnsi="Wingdings 2" w:hint="default"/>
      </w:rPr>
    </w:lvl>
    <w:lvl w:ilvl="6" w:tplc="C8E6CFEA" w:tentative="1">
      <w:start w:val="1"/>
      <w:numFmt w:val="bullet"/>
      <w:lvlText w:val=""/>
      <w:lvlJc w:val="left"/>
      <w:pPr>
        <w:tabs>
          <w:tab w:val="num" w:pos="5040"/>
        </w:tabs>
        <w:ind w:left="5040" w:hanging="360"/>
      </w:pPr>
      <w:rPr>
        <w:rFonts w:ascii="Wingdings 2" w:hAnsi="Wingdings 2" w:hint="default"/>
      </w:rPr>
    </w:lvl>
    <w:lvl w:ilvl="7" w:tplc="EE3E68E4" w:tentative="1">
      <w:start w:val="1"/>
      <w:numFmt w:val="bullet"/>
      <w:lvlText w:val=""/>
      <w:lvlJc w:val="left"/>
      <w:pPr>
        <w:tabs>
          <w:tab w:val="num" w:pos="5760"/>
        </w:tabs>
        <w:ind w:left="5760" w:hanging="360"/>
      </w:pPr>
      <w:rPr>
        <w:rFonts w:ascii="Wingdings 2" w:hAnsi="Wingdings 2" w:hint="default"/>
      </w:rPr>
    </w:lvl>
    <w:lvl w:ilvl="8" w:tplc="6BD2DFE6" w:tentative="1">
      <w:start w:val="1"/>
      <w:numFmt w:val="bullet"/>
      <w:lvlText w:val=""/>
      <w:lvlJc w:val="left"/>
      <w:pPr>
        <w:tabs>
          <w:tab w:val="num" w:pos="6480"/>
        </w:tabs>
        <w:ind w:left="6480" w:hanging="360"/>
      </w:pPr>
      <w:rPr>
        <w:rFonts w:ascii="Wingdings 2" w:hAnsi="Wingdings 2" w:hint="default"/>
      </w:rPr>
    </w:lvl>
  </w:abstractNum>
  <w:abstractNum w:abstractNumId="20">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1">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5"/>
  </w:num>
  <w:num w:numId="8">
    <w:abstractNumId w:val="10"/>
  </w:num>
  <w:num w:numId="9">
    <w:abstractNumId w:val="21"/>
  </w:num>
  <w:num w:numId="10">
    <w:abstractNumId w:val="22"/>
  </w:num>
  <w:num w:numId="11">
    <w:abstractNumId w:val="17"/>
  </w:num>
  <w:num w:numId="12">
    <w:abstractNumId w:val="16"/>
  </w:num>
  <w:num w:numId="13">
    <w:abstractNumId w:val="7"/>
  </w:num>
  <w:num w:numId="14">
    <w:abstractNumId w:val="18"/>
  </w:num>
  <w:num w:numId="15">
    <w:abstractNumId w:val="12"/>
  </w:num>
  <w:num w:numId="16">
    <w:abstractNumId w:val="24"/>
  </w:num>
  <w:num w:numId="17">
    <w:abstractNumId w:val="14"/>
  </w:num>
  <w:num w:numId="18">
    <w:abstractNumId w:val="6"/>
  </w:num>
  <w:num w:numId="19">
    <w:abstractNumId w:val="23"/>
  </w:num>
  <w:num w:numId="20">
    <w:abstractNumId w:val="25"/>
  </w:num>
  <w:num w:numId="21">
    <w:abstractNumId w:val="11"/>
  </w:num>
  <w:num w:numId="22">
    <w:abstractNumId w:val="9"/>
  </w:num>
  <w:num w:numId="23">
    <w:abstractNumId w:val="20"/>
  </w:num>
  <w:num w:numId="24">
    <w:abstractNumId w:val="5"/>
  </w:num>
  <w:num w:numId="25">
    <w:abstractNumId w:val="19"/>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644F7"/>
    <w:rsid w:val="00173B6E"/>
    <w:rsid w:val="00174667"/>
    <w:rsid w:val="001C3B54"/>
    <w:rsid w:val="001D67F4"/>
    <w:rsid w:val="001E14D0"/>
    <w:rsid w:val="001F3C11"/>
    <w:rsid w:val="001F6F30"/>
    <w:rsid w:val="001F7AEF"/>
    <w:rsid w:val="00205856"/>
    <w:rsid w:val="00251117"/>
    <w:rsid w:val="00271D2A"/>
    <w:rsid w:val="00274BCE"/>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C6C39"/>
    <w:rsid w:val="003D10DC"/>
    <w:rsid w:val="003D3CDC"/>
    <w:rsid w:val="003E3FCC"/>
    <w:rsid w:val="00401CED"/>
    <w:rsid w:val="00403826"/>
    <w:rsid w:val="00410813"/>
    <w:rsid w:val="0041528A"/>
    <w:rsid w:val="00416FBE"/>
    <w:rsid w:val="004221B4"/>
    <w:rsid w:val="00422889"/>
    <w:rsid w:val="00423C86"/>
    <w:rsid w:val="004523CE"/>
    <w:rsid w:val="00455FE3"/>
    <w:rsid w:val="0047329A"/>
    <w:rsid w:val="00492C1F"/>
    <w:rsid w:val="004A66F3"/>
    <w:rsid w:val="004B557E"/>
    <w:rsid w:val="004B752D"/>
    <w:rsid w:val="00504CF3"/>
    <w:rsid w:val="0050504C"/>
    <w:rsid w:val="005078A8"/>
    <w:rsid w:val="005079FD"/>
    <w:rsid w:val="00513A4B"/>
    <w:rsid w:val="005218E3"/>
    <w:rsid w:val="00547F62"/>
    <w:rsid w:val="005660B8"/>
    <w:rsid w:val="005850F5"/>
    <w:rsid w:val="00591146"/>
    <w:rsid w:val="00597B41"/>
    <w:rsid w:val="005D1361"/>
    <w:rsid w:val="005D303E"/>
    <w:rsid w:val="005E4A7B"/>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7084E"/>
    <w:rsid w:val="007859EB"/>
    <w:rsid w:val="0079463B"/>
    <w:rsid w:val="007A1100"/>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0270D"/>
    <w:rsid w:val="00923626"/>
    <w:rsid w:val="00923913"/>
    <w:rsid w:val="0092721B"/>
    <w:rsid w:val="009346F5"/>
    <w:rsid w:val="00950A8C"/>
    <w:rsid w:val="00960283"/>
    <w:rsid w:val="009634DE"/>
    <w:rsid w:val="00971B3A"/>
    <w:rsid w:val="00971D50"/>
    <w:rsid w:val="00975110"/>
    <w:rsid w:val="009761F1"/>
    <w:rsid w:val="009C129D"/>
    <w:rsid w:val="009D5A27"/>
    <w:rsid w:val="009D5A4D"/>
    <w:rsid w:val="009F73D0"/>
    <w:rsid w:val="00A0617D"/>
    <w:rsid w:val="00A06BDE"/>
    <w:rsid w:val="00A1174B"/>
    <w:rsid w:val="00A11874"/>
    <w:rsid w:val="00A2476E"/>
    <w:rsid w:val="00A269F8"/>
    <w:rsid w:val="00A45621"/>
    <w:rsid w:val="00A50C8B"/>
    <w:rsid w:val="00A553C9"/>
    <w:rsid w:val="00A56A03"/>
    <w:rsid w:val="00A62DBC"/>
    <w:rsid w:val="00A903B1"/>
    <w:rsid w:val="00A96627"/>
    <w:rsid w:val="00AC49FB"/>
    <w:rsid w:val="00AC7F62"/>
    <w:rsid w:val="00AD3B42"/>
    <w:rsid w:val="00AD5E6C"/>
    <w:rsid w:val="00AE2058"/>
    <w:rsid w:val="00AE21EE"/>
    <w:rsid w:val="00AE29DA"/>
    <w:rsid w:val="00B04CB3"/>
    <w:rsid w:val="00B55012"/>
    <w:rsid w:val="00B608E9"/>
    <w:rsid w:val="00B67DCE"/>
    <w:rsid w:val="00BB1627"/>
    <w:rsid w:val="00BB4643"/>
    <w:rsid w:val="00BC7A95"/>
    <w:rsid w:val="00BD266A"/>
    <w:rsid w:val="00BE6803"/>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A288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9C129D"/>
    <w:pPr>
      <w:spacing w:line="360" w:lineRule="auto"/>
      <w:jc w:val="both"/>
    </w:pPr>
    <w:rPr>
      <w:rFonts w:eastAsia="Times New Roman"/>
      <w:sz w:val="20"/>
      <w:szCs w:val="20"/>
    </w:rPr>
  </w:style>
  <w:style w:type="character" w:customStyle="1" w:styleId="BodyTextChar">
    <w:name w:val="Body Text Char"/>
    <w:basedOn w:val="DefaultParagraphFont"/>
    <w:link w:val="BodyText"/>
    <w:rsid w:val="009C129D"/>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6</Pages>
  <Words>2080</Words>
  <Characters>11857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149</cp:revision>
  <cp:lastPrinted>2019-10-22T13:18:00Z</cp:lastPrinted>
  <dcterms:created xsi:type="dcterms:W3CDTF">2019-10-19T01:55:00Z</dcterms:created>
  <dcterms:modified xsi:type="dcterms:W3CDTF">2022-02-23T07:38:00Z</dcterms:modified>
</cp:coreProperties>
</file>