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A6540" w:rsidRDefault="00BA6540" w:rsidP="00BA6540">
      <w:pPr>
        <w:spacing w:line="360" w:lineRule="auto"/>
        <w:jc w:val="center"/>
        <w:rPr>
          <w:rFonts w:ascii="Times New Roman" w:hAnsi="Times New Roman" w:cs="Times New Roman"/>
          <w:b/>
          <w:sz w:val="56"/>
          <w:szCs w:val="56"/>
        </w:rPr>
      </w:pPr>
      <w:r w:rsidRPr="00BA6540">
        <w:rPr>
          <w:rFonts w:ascii="Times New Roman" w:hAnsi="Times New Roman" w:cs="Times New Roman"/>
          <w:b/>
          <w:sz w:val="56"/>
          <w:szCs w:val="56"/>
        </w:rPr>
        <w:t>Low MOSFET Count Isolated DC-AC Converter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A6540" w:rsidRDefault="00BA654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64C47" w:rsidRPr="00464C47" w:rsidRDefault="00464C47" w:rsidP="00464C47">
      <w:pPr>
        <w:spacing w:line="360" w:lineRule="auto"/>
        <w:jc w:val="both"/>
        <w:rPr>
          <w:rFonts w:ascii="Times New Roman" w:hAnsi="Times New Roman" w:cs="Times New Roman"/>
          <w:bCs/>
          <w:sz w:val="32"/>
          <w:szCs w:val="32"/>
        </w:rPr>
      </w:pPr>
      <w:r w:rsidRPr="00464C47">
        <w:rPr>
          <w:rFonts w:ascii="Times New Roman" w:hAnsi="Times New Roman" w:cs="Times New Roman"/>
          <w:bCs/>
          <w:sz w:val="32"/>
          <w:szCs w:val="32"/>
        </w:rPr>
        <w:t>This letter proposes a novel soft-switched single-stage-isolated dc-ac converter topology from the industry point of view. The proposed converter requires a lesser number of MOSFETs compared to a widely studied cycloconverter-type (CCT)-isolated dc-ac converter topology. This converter provides lower duty cycle loss, better efficiency, and electromagnetic interference performance compared to a CCT dc-ac converter. Also, it is thermally more stable, thus requires a smaller heat sink. The converter operation is demonstrated in a 1-kW prototype developed with SiC MOSFETs.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464C4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C35E3F" w:rsidRPr="00C35E3F" w:rsidRDefault="00C35E3F" w:rsidP="00C35E3F">
      <w:pPr>
        <w:pStyle w:val="ListParagraph"/>
        <w:numPr>
          <w:ilvl w:val="0"/>
          <w:numId w:val="42"/>
        </w:numPr>
        <w:autoSpaceDE w:val="0"/>
        <w:autoSpaceDN w:val="0"/>
        <w:adjustRightInd w:val="0"/>
        <w:spacing w:after="0" w:line="360" w:lineRule="auto"/>
        <w:ind w:left="284" w:hanging="284"/>
        <w:jc w:val="both"/>
        <w:rPr>
          <w:rFonts w:ascii="Times New Roman" w:hAnsi="Times New Roman" w:cs="Times New Roman"/>
          <w:b/>
          <w:sz w:val="36"/>
          <w:szCs w:val="36"/>
        </w:rPr>
      </w:pPr>
      <w:r w:rsidRPr="00D37EC2">
        <w:rPr>
          <w:rFonts w:ascii="Times New Roman" w:hAnsi="Times New Roman" w:cs="Times New Roman"/>
          <w:sz w:val="32"/>
          <w:szCs w:val="32"/>
        </w:rPr>
        <w:t xml:space="preserve">It should be noted here that, although the choice of carrier between triangular waveform and sawtooth waveform does not make much difference in normal three-phase Sine-PWM (SPWM) converters, it makes a significant difference in terms of switching loss for the case of the nine-switch converter. </w:t>
      </w:r>
    </w:p>
    <w:p w:rsidR="00C35E3F" w:rsidRPr="00D37EC2" w:rsidRDefault="00C35E3F" w:rsidP="00C35E3F">
      <w:pPr>
        <w:pStyle w:val="ListParagraph"/>
        <w:numPr>
          <w:ilvl w:val="0"/>
          <w:numId w:val="42"/>
        </w:numPr>
        <w:autoSpaceDE w:val="0"/>
        <w:autoSpaceDN w:val="0"/>
        <w:adjustRightInd w:val="0"/>
        <w:spacing w:after="0" w:line="360" w:lineRule="auto"/>
        <w:ind w:left="284" w:hanging="284"/>
        <w:jc w:val="both"/>
        <w:rPr>
          <w:rFonts w:ascii="Times New Roman" w:hAnsi="Times New Roman" w:cs="Times New Roman"/>
          <w:b/>
          <w:sz w:val="36"/>
          <w:szCs w:val="36"/>
        </w:rPr>
      </w:pPr>
      <w:r w:rsidRPr="00D37EC2">
        <w:rPr>
          <w:rFonts w:ascii="Times New Roman" w:hAnsi="Times New Roman" w:cs="Times New Roman"/>
          <w:sz w:val="32"/>
          <w:szCs w:val="32"/>
        </w:rPr>
        <w:t>As can be found in almost all the exis</w:t>
      </w:r>
      <w:r>
        <w:rPr>
          <w:rFonts w:ascii="Times New Roman" w:hAnsi="Times New Roman" w:cs="Times New Roman"/>
          <w:sz w:val="32"/>
          <w:szCs w:val="32"/>
        </w:rPr>
        <w:t>ting literatures</w:t>
      </w:r>
      <w:r w:rsidRPr="00D37EC2">
        <w:rPr>
          <w:rFonts w:ascii="Times New Roman" w:hAnsi="Times New Roman" w:cs="Times New Roman"/>
          <w:sz w:val="32"/>
          <w:szCs w:val="32"/>
        </w:rPr>
        <w:t>, owing to the XOR operation, the middle switches operate at twice the switching frequency (2fs), because a triangular carrier has been used everywhere.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D473D" w:rsidRDefault="00573739" w:rsidP="004D473D">
      <w:pPr>
        <w:numPr>
          <w:ilvl w:val="0"/>
          <w:numId w:val="43"/>
        </w:numPr>
        <w:spacing w:line="360" w:lineRule="auto"/>
        <w:jc w:val="both"/>
        <w:rPr>
          <w:rFonts w:ascii="Times New Roman" w:hAnsi="Times New Roman" w:cs="Times New Roman"/>
          <w:bCs/>
          <w:sz w:val="32"/>
          <w:szCs w:val="32"/>
          <w:lang w:val="en-IN"/>
        </w:rPr>
      </w:pPr>
      <w:r w:rsidRPr="004D473D">
        <w:rPr>
          <w:rFonts w:ascii="Times New Roman" w:hAnsi="Times New Roman" w:cs="Times New Roman"/>
          <w:bCs/>
          <w:sz w:val="32"/>
          <w:szCs w:val="32"/>
        </w:rPr>
        <w:t xml:space="preserve">The previous connection had the disadvantage of not getting the whole Vdc at each of the primary sides. </w:t>
      </w:r>
    </w:p>
    <w:p w:rsidR="00000000" w:rsidRPr="004D473D" w:rsidRDefault="00573739" w:rsidP="004D473D">
      <w:pPr>
        <w:numPr>
          <w:ilvl w:val="0"/>
          <w:numId w:val="43"/>
        </w:numPr>
        <w:spacing w:line="360" w:lineRule="auto"/>
        <w:jc w:val="both"/>
        <w:rPr>
          <w:rFonts w:ascii="Times New Roman" w:hAnsi="Times New Roman" w:cs="Times New Roman"/>
          <w:bCs/>
          <w:sz w:val="32"/>
          <w:szCs w:val="32"/>
          <w:lang w:val="en-IN"/>
        </w:rPr>
      </w:pPr>
      <w:r w:rsidRPr="004D473D">
        <w:rPr>
          <w:rFonts w:ascii="Times New Roman" w:hAnsi="Times New Roman" w:cs="Times New Roman"/>
          <w:bCs/>
          <w:sz w:val="32"/>
          <w:szCs w:val="32"/>
        </w:rPr>
        <w:t xml:space="preserve">One way to </w:t>
      </w:r>
      <w:r w:rsidRPr="004D473D">
        <w:rPr>
          <w:rFonts w:ascii="Times New Roman" w:hAnsi="Times New Roman" w:cs="Times New Roman"/>
          <w:bCs/>
          <w:sz w:val="32"/>
          <w:szCs w:val="32"/>
        </w:rPr>
        <w:t xml:space="preserve">avoid the problem can be to choose a gating signal in such a way that the loads do not operate at the same time. </w:t>
      </w:r>
    </w:p>
    <w:p w:rsidR="00000000" w:rsidRPr="004D473D" w:rsidRDefault="00573739" w:rsidP="004D473D">
      <w:pPr>
        <w:numPr>
          <w:ilvl w:val="0"/>
          <w:numId w:val="43"/>
        </w:numPr>
        <w:spacing w:line="360" w:lineRule="auto"/>
        <w:jc w:val="both"/>
        <w:rPr>
          <w:rFonts w:ascii="Times New Roman" w:hAnsi="Times New Roman" w:cs="Times New Roman"/>
          <w:bCs/>
          <w:sz w:val="32"/>
          <w:szCs w:val="32"/>
          <w:lang w:val="en-IN"/>
        </w:rPr>
      </w:pPr>
      <w:r w:rsidRPr="004D473D">
        <w:rPr>
          <w:rFonts w:ascii="Times New Roman" w:hAnsi="Times New Roman" w:cs="Times New Roman"/>
          <w:bCs/>
          <w:sz w:val="32"/>
          <w:szCs w:val="32"/>
        </w:rPr>
        <w:t xml:space="preserve">In that way one of the loads will have the whole input voltage at the primary side and the other will have zero. </w:t>
      </w:r>
    </w:p>
    <w:p w:rsidR="00F94960" w:rsidRPr="004D473D" w:rsidRDefault="00573739" w:rsidP="00E53AA4">
      <w:pPr>
        <w:numPr>
          <w:ilvl w:val="0"/>
          <w:numId w:val="43"/>
        </w:numPr>
        <w:spacing w:line="360" w:lineRule="auto"/>
        <w:jc w:val="both"/>
        <w:rPr>
          <w:rFonts w:ascii="Times New Roman" w:hAnsi="Times New Roman" w:cs="Times New Roman"/>
          <w:bCs/>
          <w:sz w:val="32"/>
          <w:szCs w:val="32"/>
          <w:lang w:val="en-IN"/>
        </w:rPr>
      </w:pPr>
      <w:r w:rsidRPr="004D473D">
        <w:rPr>
          <w:rFonts w:ascii="Times New Roman" w:hAnsi="Times New Roman" w:cs="Times New Roman"/>
          <w:bCs/>
          <w:sz w:val="32"/>
          <w:szCs w:val="32"/>
        </w:rPr>
        <w:t xml:space="preserve">The problem of not having </w:t>
      </w:r>
      <w:r w:rsidRPr="004D473D">
        <w:rPr>
          <w:rFonts w:ascii="Times New Roman" w:hAnsi="Times New Roman" w:cs="Times New Roman"/>
          <w:bCs/>
          <w:sz w:val="32"/>
          <w:szCs w:val="32"/>
        </w:rPr>
        <w:t xml:space="preserve">Vdc as primary side voltage like the previous design will still remain. Also depending on the load </w:t>
      </w:r>
      <w:r w:rsidRPr="004D473D">
        <w:rPr>
          <w:rFonts w:ascii="Times New Roman" w:hAnsi="Times New Roman" w:cs="Times New Roman"/>
          <w:bCs/>
          <w:sz w:val="32"/>
          <w:szCs w:val="32"/>
        </w:rPr>
        <w:lastRenderedPageBreak/>
        <w:t xml:space="preserve">condition, the voltage level will fluctuate and hence will be difficult to control.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E2A2B" w:rsidRPr="006E2A2B" w:rsidRDefault="006E2A2B" w:rsidP="006E2A2B">
      <w:pPr>
        <w:pStyle w:val="NormalWeb"/>
        <w:numPr>
          <w:ilvl w:val="0"/>
          <w:numId w:val="44"/>
        </w:numPr>
        <w:spacing w:before="0" w:beforeAutospacing="0" w:after="0" w:afterAutospacing="0" w:line="360" w:lineRule="auto"/>
        <w:ind w:left="426"/>
        <w:jc w:val="both"/>
        <w:rPr>
          <w:sz w:val="32"/>
          <w:szCs w:val="32"/>
        </w:rPr>
      </w:pPr>
      <w:r w:rsidRPr="006E2A2B">
        <w:rPr>
          <w:sz w:val="32"/>
          <w:szCs w:val="32"/>
        </w:rPr>
        <w:t xml:space="preserve">In order to avoid the bulky mains transformer and/or to increase power density and efficiency, alternatively, topologies with high-frequency isolation based on a dc–dc system feeding the dc link of a full-bridge dc–ac converter connected directly to the mains are proposed. </w:t>
      </w:r>
    </w:p>
    <w:p w:rsidR="006E2A2B" w:rsidRPr="006E2A2B" w:rsidRDefault="006E2A2B" w:rsidP="006E2A2B">
      <w:pPr>
        <w:pStyle w:val="NormalWeb"/>
        <w:numPr>
          <w:ilvl w:val="0"/>
          <w:numId w:val="44"/>
        </w:numPr>
        <w:spacing w:before="0" w:beforeAutospacing="0" w:after="0" w:afterAutospacing="0" w:line="360" w:lineRule="auto"/>
        <w:ind w:left="426"/>
        <w:jc w:val="both"/>
        <w:rPr>
          <w:sz w:val="32"/>
          <w:szCs w:val="32"/>
        </w:rPr>
      </w:pPr>
      <w:r w:rsidRPr="006E2A2B">
        <w:rPr>
          <w:sz w:val="32"/>
          <w:szCs w:val="32"/>
        </w:rPr>
        <w:t xml:space="preserve">However, here, the low losses of the high-frequency isolation transformer have to be seen considering the additional losses of the rectifier stage and, especially, the line-side inverter. </w:t>
      </w:r>
    </w:p>
    <w:p w:rsidR="003A5D44" w:rsidRPr="006E2A2B" w:rsidRDefault="006E2A2B" w:rsidP="00E53AA4">
      <w:pPr>
        <w:pStyle w:val="NormalWeb"/>
        <w:numPr>
          <w:ilvl w:val="0"/>
          <w:numId w:val="44"/>
        </w:numPr>
        <w:spacing w:before="0" w:beforeAutospacing="0" w:after="0" w:afterAutospacing="0" w:line="360" w:lineRule="auto"/>
        <w:ind w:left="426"/>
        <w:jc w:val="both"/>
        <w:rPr>
          <w:sz w:val="32"/>
          <w:szCs w:val="32"/>
        </w:rPr>
      </w:pPr>
      <w:r w:rsidRPr="006E2A2B">
        <w:rPr>
          <w:sz w:val="32"/>
          <w:szCs w:val="32"/>
        </w:rPr>
        <w:t>According to the required dc-link voltage level (e.g., 400 V), this power stage, in general, has to be equipped with insulated gate bipolar transistors (IGBTs), which show a nonoptimum efficiency for operating in the partial load area.</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473E5D" w:rsidRPr="00473E5D" w:rsidRDefault="00473E5D" w:rsidP="00473E5D">
      <w:p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73E5D">
        <w:rPr>
          <w:rFonts w:ascii="Times New Roman" w:eastAsia="AdvGulliv-R" w:hAnsi="Times New Roman" w:cs="Times New Roman"/>
          <w:bCs/>
          <w:sz w:val="32"/>
          <w:szCs w:val="32"/>
        </w:rPr>
        <w:t xml:space="preserve">Though these converters provide desired performance, they have two major concerns from a product perspective. </w:t>
      </w:r>
    </w:p>
    <w:p w:rsidR="00000000" w:rsidRPr="00473E5D" w:rsidRDefault="00573739" w:rsidP="00473E5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73E5D">
        <w:rPr>
          <w:rFonts w:ascii="Times New Roman" w:eastAsia="AdvGulliv-R" w:hAnsi="Times New Roman" w:cs="Times New Roman"/>
          <w:bCs/>
          <w:sz w:val="32"/>
          <w:szCs w:val="32"/>
        </w:rPr>
        <w:t>A bulky electrolytic capacitor bank is necessary to integrate the dc-dc stage and dc-ac inv</w:t>
      </w:r>
      <w:r w:rsidRPr="00473E5D">
        <w:rPr>
          <w:rFonts w:ascii="Times New Roman" w:eastAsia="AdvGulliv-R" w:hAnsi="Times New Roman" w:cs="Times New Roman"/>
          <w:bCs/>
          <w:sz w:val="32"/>
          <w:szCs w:val="32"/>
        </w:rPr>
        <w:t xml:space="preserve">erter which reduces the power density. Typically, the standard electrolytic capacitors are rated for 105◦C. Thus, a lot of design efforts go into thermal management to achieve a longer product life. </w:t>
      </w:r>
    </w:p>
    <w:p w:rsidR="00000000" w:rsidRPr="00473E5D" w:rsidRDefault="00573739" w:rsidP="00473E5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73E5D">
        <w:rPr>
          <w:rFonts w:ascii="Times New Roman" w:eastAsia="AdvGulliv-R" w:hAnsi="Times New Roman" w:cs="Times New Roman"/>
          <w:bCs/>
          <w:sz w:val="32"/>
          <w:szCs w:val="32"/>
        </w:rPr>
        <w:lastRenderedPageBreak/>
        <w:t>The control complexity is high. It requires an addition</w:t>
      </w:r>
      <w:r w:rsidRPr="00473E5D">
        <w:rPr>
          <w:rFonts w:ascii="Times New Roman" w:eastAsia="AdvGulliv-R" w:hAnsi="Times New Roman" w:cs="Times New Roman"/>
          <w:bCs/>
          <w:sz w:val="32"/>
          <w:szCs w:val="32"/>
        </w:rPr>
        <w:t>al dc voltage sensor to regulate the output of the dc-dc stage.</w:t>
      </w:r>
      <w:r w:rsidRPr="00473E5D">
        <w:rPr>
          <w:rFonts w:ascii="Times New Roman" w:eastAsia="AdvGulliv-R" w:hAnsi="Times New Roman" w:cs="Times New Roman"/>
          <w:bCs/>
          <w:sz w:val="32"/>
          <w:szCs w:val="32"/>
          <w:lang w:val="en-IN"/>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687F67" w:rsidTr="00F27C8B">
        <w:trPr>
          <w:trHeight w:val="2780"/>
        </w:trPr>
        <w:tc>
          <w:tcPr>
            <w:tcW w:w="3192" w:type="dxa"/>
          </w:tcPr>
          <w:p w:rsidR="00687F67" w:rsidRPr="00D37EC2" w:rsidRDefault="00687F67" w:rsidP="00AC2C2E">
            <w:pPr>
              <w:tabs>
                <w:tab w:val="left" w:pos="720"/>
              </w:tabs>
              <w:spacing w:after="100" w:line="360" w:lineRule="auto"/>
              <w:jc w:val="both"/>
              <w:rPr>
                <w:rFonts w:ascii="Times New Roman" w:hAnsi="Times New Roman" w:cs="Times New Roman"/>
                <w:sz w:val="28"/>
                <w:szCs w:val="28"/>
              </w:rPr>
            </w:pPr>
            <w:r w:rsidRPr="00D37EC2">
              <w:rPr>
                <w:rFonts w:ascii="Times New Roman" w:hAnsi="Times New Roman" w:cs="Times New Roman"/>
                <w:sz w:val="28"/>
                <w:szCs w:val="28"/>
              </w:rPr>
              <w:t>Novel DC–AC inverter based on phase-shift shoot-through controlled dual-active-bridge and high-frequency pulse</w:t>
            </w:r>
          </w:p>
          <w:p w:rsidR="00687F67" w:rsidRPr="00D37EC2" w:rsidRDefault="00687F67" w:rsidP="00AC2C2E">
            <w:pPr>
              <w:tabs>
                <w:tab w:val="left" w:pos="720"/>
              </w:tabs>
              <w:spacing w:after="100" w:line="360" w:lineRule="auto"/>
              <w:jc w:val="both"/>
              <w:rPr>
                <w:rFonts w:ascii="Times New Roman" w:hAnsi="Times New Roman" w:cs="Times New Roman"/>
                <w:sz w:val="28"/>
                <w:szCs w:val="28"/>
              </w:rPr>
            </w:pPr>
            <w:r w:rsidRPr="00D37EC2">
              <w:rPr>
                <w:rFonts w:ascii="Times New Roman" w:hAnsi="Times New Roman" w:cs="Times New Roman"/>
                <w:sz w:val="28"/>
                <w:szCs w:val="28"/>
              </w:rPr>
              <w:t>DC link</w:t>
            </w:r>
          </w:p>
        </w:tc>
        <w:tc>
          <w:tcPr>
            <w:tcW w:w="3192" w:type="dxa"/>
          </w:tcPr>
          <w:p w:rsidR="00687F67" w:rsidRPr="00D37EC2" w:rsidRDefault="00687F67" w:rsidP="00AC2C2E">
            <w:pPr>
              <w:autoSpaceDE w:val="0"/>
              <w:autoSpaceDN w:val="0"/>
              <w:adjustRightInd w:val="0"/>
              <w:spacing w:line="360" w:lineRule="auto"/>
              <w:rPr>
                <w:rFonts w:ascii="Times New Roman" w:hAnsi="Times New Roman" w:cs="Times New Roman"/>
                <w:sz w:val="28"/>
                <w:szCs w:val="28"/>
              </w:rPr>
            </w:pPr>
            <w:r w:rsidRPr="00D37EC2">
              <w:rPr>
                <w:rFonts w:ascii="Times New Roman" w:hAnsi="Times New Roman" w:cs="Times New Roman"/>
                <w:sz w:val="28"/>
                <w:szCs w:val="28"/>
                <w:lang w:val="en-IN" w:bidi="ta-IN"/>
              </w:rPr>
              <w:t xml:space="preserve">Z. Song and W. Chen, </w:t>
            </w:r>
          </w:p>
          <w:p w:rsidR="00687F67" w:rsidRPr="00D37EC2" w:rsidRDefault="00687F67" w:rsidP="00AC2C2E">
            <w:pPr>
              <w:tabs>
                <w:tab w:val="left" w:pos="720"/>
              </w:tabs>
              <w:spacing w:after="100" w:line="360" w:lineRule="auto"/>
              <w:jc w:val="both"/>
              <w:rPr>
                <w:rFonts w:ascii="Times New Roman" w:hAnsi="Times New Roman" w:cs="Times New Roman"/>
                <w:sz w:val="28"/>
                <w:szCs w:val="28"/>
              </w:rPr>
            </w:pPr>
          </w:p>
        </w:tc>
        <w:tc>
          <w:tcPr>
            <w:tcW w:w="3192" w:type="dxa"/>
          </w:tcPr>
          <w:p w:rsidR="00687F67" w:rsidRPr="00D37EC2" w:rsidRDefault="00687F67" w:rsidP="00AC2C2E">
            <w:pPr>
              <w:tabs>
                <w:tab w:val="left" w:pos="720"/>
              </w:tabs>
              <w:spacing w:after="100" w:line="360" w:lineRule="auto"/>
              <w:jc w:val="both"/>
              <w:rPr>
                <w:rFonts w:ascii="Times New Roman" w:hAnsi="Times New Roman" w:cs="Times New Roman"/>
                <w:sz w:val="28"/>
                <w:szCs w:val="28"/>
              </w:rPr>
            </w:pPr>
            <w:r w:rsidRPr="00D37EC2">
              <w:rPr>
                <w:rFonts w:ascii="Times New Roman" w:hAnsi="Times New Roman" w:cs="Times New Roman"/>
                <w:sz w:val="28"/>
                <w:szCs w:val="28"/>
              </w:rPr>
              <w:t>Based on the commonly used two-stage isolated inverter, this study proposed a novel DC–AC inverter that combines dual-active-bridge (DAB) converter, switched capacitor and full-bridge inverter.</w:t>
            </w:r>
          </w:p>
        </w:tc>
      </w:tr>
      <w:tr w:rsidR="00687F67" w:rsidTr="000C407B">
        <w:trPr>
          <w:trHeight w:val="2942"/>
        </w:trPr>
        <w:tc>
          <w:tcPr>
            <w:tcW w:w="3192" w:type="dxa"/>
          </w:tcPr>
          <w:p w:rsidR="00687F67" w:rsidRPr="00D37EC2" w:rsidRDefault="00687F67" w:rsidP="00AC2C2E">
            <w:pPr>
              <w:tabs>
                <w:tab w:val="left" w:pos="720"/>
              </w:tabs>
              <w:spacing w:after="100" w:line="360" w:lineRule="auto"/>
              <w:jc w:val="both"/>
              <w:rPr>
                <w:rFonts w:ascii="Times New Roman" w:hAnsi="Times New Roman" w:cs="Times New Roman"/>
                <w:sz w:val="28"/>
                <w:szCs w:val="28"/>
              </w:rPr>
            </w:pPr>
            <w:r w:rsidRPr="00D37EC2">
              <w:rPr>
                <w:rFonts w:ascii="Times New Roman" w:hAnsi="Times New Roman" w:cs="Times New Roman"/>
                <w:sz w:val="28"/>
                <w:szCs w:val="28"/>
              </w:rPr>
              <w:t>High-Frequency Isolated AC–DC–AC Interleaved Converter for Power Quality Applications</w:t>
            </w:r>
          </w:p>
        </w:tc>
        <w:tc>
          <w:tcPr>
            <w:tcW w:w="3192" w:type="dxa"/>
          </w:tcPr>
          <w:p w:rsidR="00687F67" w:rsidRPr="00D37EC2" w:rsidRDefault="00687F67" w:rsidP="00AC2C2E">
            <w:pPr>
              <w:tabs>
                <w:tab w:val="left" w:pos="720"/>
              </w:tabs>
              <w:spacing w:after="100" w:line="360" w:lineRule="auto"/>
              <w:jc w:val="both"/>
              <w:rPr>
                <w:rFonts w:ascii="Times New Roman" w:hAnsi="Times New Roman" w:cs="Times New Roman"/>
                <w:sz w:val="28"/>
                <w:szCs w:val="28"/>
              </w:rPr>
            </w:pPr>
            <w:r w:rsidRPr="00D37EC2">
              <w:rPr>
                <w:rFonts w:ascii="Times New Roman" w:hAnsi="Times New Roman" w:cs="Times New Roman"/>
                <w:sz w:val="28"/>
                <w:szCs w:val="28"/>
              </w:rPr>
              <w:t>O. Filho, B. Almeida, D. Oliveira J´unior and T. Neto,</w:t>
            </w:r>
          </w:p>
        </w:tc>
        <w:tc>
          <w:tcPr>
            <w:tcW w:w="3192" w:type="dxa"/>
          </w:tcPr>
          <w:p w:rsidR="00687F67" w:rsidRPr="00D37EC2" w:rsidRDefault="00687F67" w:rsidP="00AC2C2E">
            <w:pPr>
              <w:tabs>
                <w:tab w:val="left" w:pos="720"/>
              </w:tabs>
              <w:spacing w:after="100" w:line="360" w:lineRule="auto"/>
              <w:jc w:val="both"/>
              <w:rPr>
                <w:rFonts w:ascii="Times New Roman" w:hAnsi="Times New Roman" w:cs="Times New Roman"/>
                <w:sz w:val="28"/>
                <w:szCs w:val="28"/>
              </w:rPr>
            </w:pPr>
            <w:r w:rsidRPr="00D37EC2">
              <w:rPr>
                <w:rFonts w:ascii="Times New Roman" w:hAnsi="Times New Roman" w:cs="Times New Roman"/>
                <w:color w:val="333333"/>
                <w:sz w:val="28"/>
                <w:szCs w:val="28"/>
                <w:shd w:val="clear" w:color="auto" w:fill="FFFFFF"/>
              </w:rPr>
              <w:t>The proposed converter is suitable for power quality applications, such as dynamic voltage restorers, uninterruptable power supplies, and voltage regulators.</w:t>
            </w:r>
          </w:p>
        </w:tc>
      </w:tr>
      <w:tr w:rsidR="00687F67" w:rsidTr="000C407B">
        <w:tc>
          <w:tcPr>
            <w:tcW w:w="3192" w:type="dxa"/>
          </w:tcPr>
          <w:p w:rsidR="00687F67" w:rsidRPr="00D37EC2" w:rsidRDefault="00687F67" w:rsidP="00AC2C2E">
            <w:pPr>
              <w:tabs>
                <w:tab w:val="left" w:pos="720"/>
              </w:tabs>
              <w:spacing w:after="100" w:line="360" w:lineRule="auto"/>
              <w:jc w:val="both"/>
              <w:rPr>
                <w:rFonts w:ascii="Times New Roman" w:hAnsi="Times New Roman" w:cs="Times New Roman"/>
                <w:sz w:val="28"/>
                <w:szCs w:val="28"/>
              </w:rPr>
            </w:pPr>
            <w:r w:rsidRPr="00D37EC2">
              <w:rPr>
                <w:rFonts w:ascii="Times New Roman" w:hAnsi="Times New Roman" w:cs="Times New Roman"/>
                <w:sz w:val="28"/>
                <w:szCs w:val="28"/>
              </w:rPr>
              <w:t>A Unified State-Space Modeling</w:t>
            </w:r>
          </w:p>
          <w:p w:rsidR="00687F67" w:rsidRPr="00D37EC2" w:rsidRDefault="00687F67" w:rsidP="00AC2C2E">
            <w:pPr>
              <w:tabs>
                <w:tab w:val="left" w:pos="720"/>
              </w:tabs>
              <w:spacing w:after="100" w:line="360" w:lineRule="auto"/>
              <w:jc w:val="both"/>
              <w:rPr>
                <w:rFonts w:ascii="Times New Roman" w:hAnsi="Times New Roman" w:cs="Times New Roman"/>
                <w:sz w:val="28"/>
                <w:szCs w:val="28"/>
              </w:rPr>
            </w:pPr>
            <w:r w:rsidRPr="00D37EC2">
              <w:rPr>
                <w:rFonts w:ascii="Times New Roman" w:hAnsi="Times New Roman" w:cs="Times New Roman"/>
                <w:sz w:val="28"/>
                <w:szCs w:val="28"/>
              </w:rPr>
              <w:t>Method for a Phase-Shift Controlled Bidirectional Dual-Active Half-</w:t>
            </w:r>
          </w:p>
          <w:p w:rsidR="00687F67" w:rsidRPr="00D37EC2" w:rsidRDefault="00687F67" w:rsidP="00AC2C2E">
            <w:pPr>
              <w:tabs>
                <w:tab w:val="left" w:pos="720"/>
              </w:tabs>
              <w:spacing w:after="100" w:line="360" w:lineRule="auto"/>
              <w:jc w:val="both"/>
              <w:rPr>
                <w:rFonts w:ascii="Times New Roman" w:hAnsi="Times New Roman" w:cs="Times New Roman"/>
                <w:sz w:val="28"/>
                <w:szCs w:val="28"/>
              </w:rPr>
            </w:pPr>
            <w:r w:rsidRPr="00D37EC2">
              <w:rPr>
                <w:rFonts w:ascii="Times New Roman" w:hAnsi="Times New Roman" w:cs="Times New Roman"/>
                <w:sz w:val="28"/>
                <w:szCs w:val="28"/>
              </w:rPr>
              <w:t>Bridge Converter</w:t>
            </w:r>
          </w:p>
        </w:tc>
        <w:tc>
          <w:tcPr>
            <w:tcW w:w="3192" w:type="dxa"/>
          </w:tcPr>
          <w:p w:rsidR="00687F67" w:rsidRPr="00D37EC2" w:rsidRDefault="00687F67" w:rsidP="00AC2C2E">
            <w:pPr>
              <w:tabs>
                <w:tab w:val="left" w:pos="720"/>
              </w:tabs>
              <w:spacing w:after="100" w:line="360" w:lineRule="auto"/>
              <w:jc w:val="both"/>
              <w:rPr>
                <w:rFonts w:ascii="Times New Roman" w:hAnsi="Times New Roman" w:cs="Times New Roman"/>
                <w:sz w:val="28"/>
                <w:szCs w:val="28"/>
              </w:rPr>
            </w:pPr>
            <w:r w:rsidRPr="00D37EC2">
              <w:rPr>
                <w:rFonts w:ascii="Times New Roman" w:hAnsi="Times New Roman" w:cs="Times New Roman"/>
                <w:sz w:val="28"/>
                <w:szCs w:val="28"/>
              </w:rPr>
              <w:t xml:space="preserve">H. Shi, K. Sun, H. Wu and Y. Li, </w:t>
            </w:r>
          </w:p>
        </w:tc>
        <w:tc>
          <w:tcPr>
            <w:tcW w:w="3192" w:type="dxa"/>
          </w:tcPr>
          <w:p w:rsidR="00687F67" w:rsidRPr="00D37EC2" w:rsidRDefault="00687F67" w:rsidP="00AC2C2E">
            <w:pPr>
              <w:tabs>
                <w:tab w:val="left" w:pos="720"/>
              </w:tabs>
              <w:spacing w:after="100" w:line="360" w:lineRule="auto"/>
              <w:jc w:val="both"/>
              <w:rPr>
                <w:rFonts w:ascii="Times New Roman" w:hAnsi="Times New Roman" w:cs="Times New Roman"/>
                <w:sz w:val="28"/>
                <w:szCs w:val="28"/>
              </w:rPr>
            </w:pPr>
            <w:r w:rsidRPr="00D37EC2">
              <w:rPr>
                <w:rFonts w:ascii="Times New Roman" w:hAnsi="Times New Roman" w:cs="Times New Roman"/>
                <w:color w:val="333333"/>
                <w:sz w:val="28"/>
                <w:szCs w:val="28"/>
                <w:shd w:val="clear" w:color="auto" w:fill="FFFFFF"/>
              </w:rPr>
              <w:t xml:space="preserve">The existing state-space modeling methods are only suitable for modeling such a converter in two PSs directions separately, which results in a positive-PS model and a </w:t>
            </w:r>
            <w:r w:rsidRPr="00D37EC2">
              <w:rPr>
                <w:rFonts w:ascii="Times New Roman" w:hAnsi="Times New Roman" w:cs="Times New Roman"/>
                <w:color w:val="333333"/>
                <w:sz w:val="28"/>
                <w:szCs w:val="28"/>
                <w:shd w:val="clear" w:color="auto" w:fill="FFFFFF"/>
              </w:rPr>
              <w:lastRenderedPageBreak/>
              <w:t>negative-PS model. </w:t>
            </w:r>
          </w:p>
        </w:tc>
      </w:tr>
      <w:tr w:rsidR="00687F67" w:rsidTr="000C407B">
        <w:tc>
          <w:tcPr>
            <w:tcW w:w="3192" w:type="dxa"/>
          </w:tcPr>
          <w:p w:rsidR="00687F67" w:rsidRPr="00D37EC2" w:rsidRDefault="00687F67" w:rsidP="00AC2C2E">
            <w:pPr>
              <w:tabs>
                <w:tab w:val="left" w:pos="720"/>
              </w:tabs>
              <w:spacing w:after="100" w:line="360" w:lineRule="auto"/>
              <w:jc w:val="both"/>
              <w:rPr>
                <w:rFonts w:ascii="Times New Roman" w:hAnsi="Times New Roman" w:cs="Times New Roman"/>
                <w:sz w:val="28"/>
                <w:szCs w:val="28"/>
              </w:rPr>
            </w:pPr>
            <w:r w:rsidRPr="00D37EC2">
              <w:rPr>
                <w:rFonts w:ascii="Times New Roman" w:hAnsi="Times New Roman" w:cs="Times New Roman"/>
                <w:sz w:val="28"/>
                <w:szCs w:val="28"/>
              </w:rPr>
              <w:lastRenderedPageBreak/>
              <w:t>A Comparative</w:t>
            </w:r>
          </w:p>
          <w:p w:rsidR="00687F67" w:rsidRPr="00D37EC2" w:rsidRDefault="00687F67" w:rsidP="00AC2C2E">
            <w:pPr>
              <w:tabs>
                <w:tab w:val="left" w:pos="720"/>
              </w:tabs>
              <w:spacing w:after="100" w:line="360" w:lineRule="auto"/>
              <w:jc w:val="both"/>
              <w:rPr>
                <w:rFonts w:ascii="Times New Roman" w:hAnsi="Times New Roman" w:cs="Times New Roman"/>
                <w:sz w:val="28"/>
                <w:szCs w:val="28"/>
              </w:rPr>
            </w:pPr>
            <w:r w:rsidRPr="00D37EC2">
              <w:rPr>
                <w:rFonts w:ascii="Times New Roman" w:hAnsi="Times New Roman" w:cs="Times New Roman"/>
                <w:sz w:val="28"/>
                <w:szCs w:val="28"/>
              </w:rPr>
              <w:t>Study Between AI-HM and SPD-HM for Railway Auxiliary Inverter</w:t>
            </w:r>
          </w:p>
          <w:p w:rsidR="00687F67" w:rsidRPr="00D37EC2" w:rsidRDefault="00687F67" w:rsidP="00AC2C2E">
            <w:pPr>
              <w:tabs>
                <w:tab w:val="left" w:pos="720"/>
              </w:tabs>
              <w:spacing w:after="100" w:line="360" w:lineRule="auto"/>
              <w:jc w:val="both"/>
              <w:rPr>
                <w:rFonts w:ascii="Times New Roman" w:hAnsi="Times New Roman" w:cs="Times New Roman"/>
                <w:sz w:val="28"/>
                <w:szCs w:val="28"/>
              </w:rPr>
            </w:pPr>
            <w:r w:rsidRPr="00D37EC2">
              <w:rPr>
                <w:rFonts w:ascii="Times New Roman" w:hAnsi="Times New Roman" w:cs="Times New Roman"/>
                <w:sz w:val="28"/>
                <w:szCs w:val="28"/>
              </w:rPr>
              <w:t>With Pulsating DC Link</w:t>
            </w:r>
          </w:p>
        </w:tc>
        <w:tc>
          <w:tcPr>
            <w:tcW w:w="3192" w:type="dxa"/>
          </w:tcPr>
          <w:p w:rsidR="00687F67" w:rsidRPr="00D37EC2" w:rsidRDefault="00687F67" w:rsidP="00AC2C2E">
            <w:pPr>
              <w:tabs>
                <w:tab w:val="left" w:pos="720"/>
              </w:tabs>
              <w:spacing w:after="100" w:line="360" w:lineRule="auto"/>
              <w:jc w:val="both"/>
              <w:rPr>
                <w:rFonts w:ascii="Times New Roman" w:hAnsi="Times New Roman" w:cs="Times New Roman"/>
                <w:sz w:val="28"/>
                <w:szCs w:val="28"/>
              </w:rPr>
            </w:pPr>
            <w:r w:rsidRPr="00D37EC2">
              <w:rPr>
                <w:rFonts w:ascii="Times New Roman" w:hAnsi="Times New Roman" w:cs="Times New Roman"/>
                <w:sz w:val="28"/>
                <w:szCs w:val="28"/>
              </w:rPr>
              <w:t xml:space="preserve">L. Diao, H. Du, Z. Shu, Y. Xue, M. Li and S. M. Sharkh, </w:t>
            </w:r>
          </w:p>
          <w:p w:rsidR="00687F67" w:rsidRPr="00D37EC2" w:rsidRDefault="00687F67" w:rsidP="00AC2C2E">
            <w:pPr>
              <w:tabs>
                <w:tab w:val="left" w:pos="720"/>
              </w:tabs>
              <w:spacing w:after="100" w:line="360" w:lineRule="auto"/>
              <w:jc w:val="both"/>
              <w:rPr>
                <w:rFonts w:ascii="Times New Roman" w:hAnsi="Times New Roman" w:cs="Times New Roman"/>
                <w:sz w:val="28"/>
                <w:szCs w:val="28"/>
              </w:rPr>
            </w:pPr>
          </w:p>
        </w:tc>
        <w:tc>
          <w:tcPr>
            <w:tcW w:w="3192" w:type="dxa"/>
          </w:tcPr>
          <w:p w:rsidR="00687F67" w:rsidRPr="00D37EC2" w:rsidRDefault="00687F67" w:rsidP="00AC2C2E">
            <w:pPr>
              <w:tabs>
                <w:tab w:val="left" w:pos="720"/>
              </w:tabs>
              <w:spacing w:after="100" w:line="360" w:lineRule="auto"/>
              <w:jc w:val="both"/>
              <w:rPr>
                <w:rFonts w:ascii="Times New Roman" w:hAnsi="Times New Roman" w:cs="Times New Roman"/>
                <w:sz w:val="28"/>
                <w:szCs w:val="28"/>
              </w:rPr>
            </w:pPr>
            <w:r w:rsidRPr="00D37EC2">
              <w:rPr>
                <w:rFonts w:ascii="Times New Roman" w:hAnsi="Times New Roman" w:cs="Times New Roman"/>
                <w:sz w:val="28"/>
                <w:szCs w:val="28"/>
              </w:rPr>
              <w:t>Then a piecewise compensation of modulation wave and a carrier phase-shift strategy are proposed to improve the output voltage quality of AI-HM under zero portion effect.</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E350D" w:rsidP="00E53AA4">
      <w:pPr>
        <w:spacing w:after="0" w:line="360" w:lineRule="auto"/>
        <w:jc w:val="both"/>
        <w:rPr>
          <w:rFonts w:ascii="Times New Roman" w:hAnsi="Times New Roman" w:cs="Times New Roman"/>
        </w:rPr>
      </w:pPr>
      <w:r w:rsidRPr="00DE350D">
        <w:rPr>
          <w:rFonts w:ascii="Times New Roman" w:hAnsi="Times New Roman" w:cs="Times New Roman"/>
        </w:rPr>
        <w:drawing>
          <wp:inline distT="0" distB="0" distL="0" distR="0">
            <wp:extent cx="5943600" cy="5600700"/>
            <wp:effectExtent l="19050" t="0" r="0" b="0"/>
            <wp:docPr id="15" name="Picture 3" descr="C:\Users\ELCOT-Lenovo\Desktop\pic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COT-Lenovo\Desktop\pic 3.png"/>
                    <pic:cNvPicPr>
                      <a:picLocks noChangeAspect="1" noChangeArrowheads="1"/>
                    </pic:cNvPicPr>
                  </pic:nvPicPr>
                  <pic:blipFill>
                    <a:blip r:embed="rId8"/>
                    <a:srcRect/>
                    <a:stretch>
                      <a:fillRect/>
                    </a:stretch>
                  </pic:blipFill>
                  <pic:spPr bwMode="auto">
                    <a:xfrm>
                      <a:off x="0" y="0"/>
                      <a:ext cx="5943600" cy="5600700"/>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Pr="00DE350D" w:rsidRDefault="00D81E16" w:rsidP="00DE350D">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1238B" w:rsidRPr="00D95B88" w:rsidRDefault="0041238B" w:rsidP="0041238B">
      <w:pPr>
        <w:pStyle w:val="BodyText"/>
        <w:rPr>
          <w:b/>
          <w:iCs/>
          <w:sz w:val="32"/>
          <w:szCs w:val="32"/>
        </w:rPr>
      </w:pPr>
      <w:r w:rsidRPr="00D95B88">
        <w:rPr>
          <w:sz w:val="32"/>
          <w:szCs w:val="32"/>
        </w:rPr>
        <w:t>This letter proposes a single-stage isolated dc-ac converter with a target of industrial implantation. It addresses the shortcomings of conventional single-stage CCT converters. The converter performance is evaluated in a 1kW prototype. Compared to conventional CCT, the MOSFET count is reduced by two. The duty cycle loss is reduced by 40%. The average device case temperature is reduced by 10◦C. It also provides a better CE response with a noise reduction of 12 dBµV. The peak efficiency of the proposed converter is 97.2%. These advancements can help in developing a low-cost and reliable product for UPS applications.</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1238B" w:rsidRDefault="0041238B" w:rsidP="00E53AA4">
      <w:pPr>
        <w:pStyle w:val="BodyText"/>
        <w:rPr>
          <w:b/>
          <w:iCs/>
          <w:sz w:val="28"/>
          <w:szCs w:val="28"/>
        </w:rPr>
      </w:pPr>
    </w:p>
    <w:p w:rsidR="0041238B" w:rsidRDefault="0041238B" w:rsidP="00E53AA4">
      <w:pPr>
        <w:pStyle w:val="BodyText"/>
        <w:rPr>
          <w:b/>
          <w:iCs/>
          <w:sz w:val="28"/>
          <w:szCs w:val="28"/>
        </w:rPr>
      </w:pPr>
    </w:p>
    <w:p w:rsidR="0041238B" w:rsidRDefault="0041238B" w:rsidP="00E53AA4">
      <w:pPr>
        <w:pStyle w:val="BodyText"/>
        <w:rPr>
          <w:b/>
          <w:iCs/>
          <w:sz w:val="28"/>
          <w:szCs w:val="28"/>
        </w:rPr>
      </w:pPr>
    </w:p>
    <w:p w:rsidR="0041238B" w:rsidRDefault="0041238B" w:rsidP="00E53AA4">
      <w:pPr>
        <w:pStyle w:val="BodyText"/>
        <w:rPr>
          <w:b/>
          <w:iCs/>
          <w:sz w:val="28"/>
          <w:szCs w:val="28"/>
        </w:rPr>
      </w:pPr>
    </w:p>
    <w:p w:rsidR="0041238B" w:rsidRDefault="0041238B" w:rsidP="00E53AA4">
      <w:pPr>
        <w:pStyle w:val="BodyText"/>
        <w:rPr>
          <w:b/>
          <w:iCs/>
          <w:sz w:val="28"/>
          <w:szCs w:val="28"/>
        </w:rPr>
      </w:pPr>
    </w:p>
    <w:p w:rsidR="0041238B" w:rsidRDefault="0041238B" w:rsidP="00E53AA4">
      <w:pPr>
        <w:pStyle w:val="BodyText"/>
        <w:rPr>
          <w:b/>
          <w:iCs/>
          <w:sz w:val="28"/>
          <w:szCs w:val="28"/>
        </w:rPr>
      </w:pPr>
    </w:p>
    <w:p w:rsidR="0041238B" w:rsidRDefault="0041238B" w:rsidP="00E53AA4">
      <w:pPr>
        <w:pStyle w:val="BodyText"/>
        <w:rPr>
          <w:b/>
          <w:iCs/>
          <w:sz w:val="28"/>
          <w:szCs w:val="28"/>
        </w:rPr>
      </w:pPr>
    </w:p>
    <w:p w:rsidR="0041238B" w:rsidRDefault="0041238B" w:rsidP="00E53AA4">
      <w:pPr>
        <w:pStyle w:val="BodyText"/>
        <w:rPr>
          <w:b/>
          <w:iCs/>
          <w:sz w:val="28"/>
          <w:szCs w:val="28"/>
        </w:rPr>
      </w:pPr>
    </w:p>
    <w:p w:rsidR="0041238B" w:rsidRDefault="0041238B" w:rsidP="00E53AA4">
      <w:pPr>
        <w:pStyle w:val="BodyText"/>
        <w:rPr>
          <w:b/>
          <w:iCs/>
          <w:sz w:val="28"/>
          <w:szCs w:val="28"/>
        </w:rPr>
      </w:pPr>
    </w:p>
    <w:p w:rsidR="0041238B" w:rsidRDefault="0041238B" w:rsidP="00E53AA4">
      <w:pPr>
        <w:pStyle w:val="BodyText"/>
        <w:rPr>
          <w:b/>
          <w:iCs/>
          <w:sz w:val="28"/>
          <w:szCs w:val="28"/>
        </w:rPr>
      </w:pPr>
    </w:p>
    <w:p w:rsidR="0041238B" w:rsidRDefault="0041238B" w:rsidP="00E53AA4">
      <w:pPr>
        <w:pStyle w:val="BodyText"/>
        <w:rPr>
          <w:b/>
          <w:iCs/>
          <w:sz w:val="28"/>
          <w:szCs w:val="28"/>
        </w:rPr>
      </w:pPr>
    </w:p>
    <w:p w:rsidR="0041238B" w:rsidRDefault="0041238B" w:rsidP="00E53AA4">
      <w:pPr>
        <w:pStyle w:val="BodyText"/>
        <w:rPr>
          <w:b/>
          <w:iCs/>
          <w:sz w:val="28"/>
          <w:szCs w:val="28"/>
        </w:rPr>
      </w:pPr>
    </w:p>
    <w:p w:rsidR="0041238B" w:rsidRDefault="0041238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3C121A" w:rsidRDefault="003C121A" w:rsidP="003C121A">
      <w:pPr>
        <w:pStyle w:val="BodyText"/>
        <w:numPr>
          <w:ilvl w:val="0"/>
          <w:numId w:val="46"/>
        </w:numPr>
        <w:rPr>
          <w:sz w:val="32"/>
          <w:szCs w:val="32"/>
        </w:rPr>
      </w:pPr>
      <w:r w:rsidRPr="00D95B88">
        <w:rPr>
          <w:sz w:val="32"/>
          <w:szCs w:val="32"/>
        </w:rPr>
        <w:t xml:space="preserve">[1] Z. Song and W. Chen, “Novel DC–AC inverter based on phase-shift shoot-through controlled dual-active-bridge and high-frequency pulse DC link,” IET Power Electronics, vol. 12, no. 14, pp. 3842-3851, 27- 11-2019. </w:t>
      </w:r>
    </w:p>
    <w:p w:rsidR="003C121A" w:rsidRDefault="003C121A" w:rsidP="003C121A">
      <w:pPr>
        <w:pStyle w:val="BodyText"/>
        <w:numPr>
          <w:ilvl w:val="0"/>
          <w:numId w:val="46"/>
        </w:numPr>
        <w:rPr>
          <w:sz w:val="32"/>
          <w:szCs w:val="32"/>
        </w:rPr>
      </w:pPr>
      <w:r w:rsidRPr="00D95B88">
        <w:rPr>
          <w:sz w:val="32"/>
          <w:szCs w:val="32"/>
        </w:rPr>
        <w:t xml:space="preserve">[2] O. Filho, B. Almeida, D. Oliveira Junior and T. Neto, “High-Frequency ´ Isolated AC–DC–AC Interleaved Converter for Power Quality Applications,” IEEE Trans. on Ind. Appl., vol. 54, no. 5, pp. 4594-4602, Sept./Oct. 2018. </w:t>
      </w:r>
    </w:p>
    <w:p w:rsidR="003C121A" w:rsidRDefault="003C121A" w:rsidP="003C121A">
      <w:pPr>
        <w:pStyle w:val="BodyText"/>
        <w:numPr>
          <w:ilvl w:val="0"/>
          <w:numId w:val="46"/>
        </w:numPr>
        <w:rPr>
          <w:sz w:val="32"/>
          <w:szCs w:val="32"/>
        </w:rPr>
      </w:pPr>
      <w:r w:rsidRPr="00D95B88">
        <w:rPr>
          <w:sz w:val="32"/>
          <w:szCs w:val="32"/>
        </w:rPr>
        <w:t xml:space="preserve">[3] H. Shi, K. Sun, H. Wu and Y. Li, “A Unified State-Space Modeling Method for a Phase-Shift Controlled Bidirectional Dual-Active HalfBridge Converter,” IEEE Trans. on Power Electron., vol. 35, no. 3, pp. 3254-3265, March 2020. </w:t>
      </w:r>
    </w:p>
    <w:p w:rsidR="003C121A" w:rsidRDefault="003C121A" w:rsidP="003C121A">
      <w:pPr>
        <w:pStyle w:val="BodyText"/>
        <w:numPr>
          <w:ilvl w:val="0"/>
          <w:numId w:val="46"/>
        </w:numPr>
        <w:rPr>
          <w:sz w:val="32"/>
          <w:szCs w:val="32"/>
        </w:rPr>
      </w:pPr>
      <w:r w:rsidRPr="00D95B88">
        <w:rPr>
          <w:sz w:val="32"/>
          <w:szCs w:val="32"/>
        </w:rPr>
        <w:t xml:space="preserve">[4] L. Diao, H. Du, Z. Shu, Y. Xue, M. Li and S. M. Sharkh, “A Comparative Study Between AI-HM and SPD-HM for Railway Auxiliary Inverter With Pulsating DC Link,” IEEE Trans. on Ind. Electron., vol. 65, no. 7, pp. 5816-5825, July 2018. </w:t>
      </w:r>
    </w:p>
    <w:p w:rsidR="003C121A" w:rsidRDefault="003C121A" w:rsidP="003C121A">
      <w:pPr>
        <w:pStyle w:val="BodyText"/>
        <w:numPr>
          <w:ilvl w:val="0"/>
          <w:numId w:val="46"/>
        </w:numPr>
        <w:rPr>
          <w:sz w:val="32"/>
          <w:szCs w:val="32"/>
        </w:rPr>
      </w:pPr>
      <w:r w:rsidRPr="00D95B88">
        <w:rPr>
          <w:sz w:val="32"/>
          <w:szCs w:val="32"/>
        </w:rPr>
        <w:t xml:space="preserve">[5] C. Abbate, G. Busatto, F. Iannuzzo, D. Marciano and D. Tedesco, “Isolated DC/AC Converter with ZVT based on Pulsating DC Link,” in IEEE Appl. Power Electron. Conf. and Expo., 2020, pp. 1162-1167. </w:t>
      </w:r>
    </w:p>
    <w:p w:rsidR="003C121A" w:rsidRDefault="003C121A" w:rsidP="003C121A">
      <w:pPr>
        <w:pStyle w:val="BodyText"/>
        <w:numPr>
          <w:ilvl w:val="0"/>
          <w:numId w:val="46"/>
        </w:numPr>
        <w:rPr>
          <w:sz w:val="32"/>
          <w:szCs w:val="32"/>
        </w:rPr>
      </w:pPr>
      <w:r w:rsidRPr="00D95B88">
        <w:rPr>
          <w:sz w:val="32"/>
          <w:szCs w:val="32"/>
        </w:rPr>
        <w:t xml:space="preserve">[6] M. Wang, S. Guo, Q. Huang, W. Yu and A. Q. Huang, “An Isolated Bidirectional Single-Stage DC–AC Converter Using </w:t>
      </w:r>
      <w:r w:rsidRPr="00D95B88">
        <w:rPr>
          <w:sz w:val="32"/>
          <w:szCs w:val="32"/>
        </w:rPr>
        <w:lastRenderedPageBreak/>
        <w:t xml:space="preserve">Wide-Band-Gap Devices With a Novel Carrier-Based Unipolar Modulation Technique Under Synchronous Rectification,” IEEE Trans. on Power Electron., vol. 32, no. 3, pp. 1832-1843, March 2017. </w:t>
      </w:r>
    </w:p>
    <w:p w:rsidR="003C121A" w:rsidRDefault="003C121A" w:rsidP="003C121A">
      <w:pPr>
        <w:pStyle w:val="BodyText"/>
        <w:numPr>
          <w:ilvl w:val="0"/>
          <w:numId w:val="46"/>
        </w:numPr>
        <w:rPr>
          <w:sz w:val="32"/>
          <w:szCs w:val="32"/>
        </w:rPr>
      </w:pPr>
      <w:r w:rsidRPr="00D95B88">
        <w:rPr>
          <w:sz w:val="32"/>
          <w:szCs w:val="32"/>
        </w:rPr>
        <w:t xml:space="preserve">[7] M. Wang, Q. Huang, S. Guo, X. Yu, W. Yu and A. Q. Huang, “SoftSwitched Modulation Techniques for an Isolated Bidirectional DC–AC,” IEEE Trans. on Power Electron., vol. 33, no. 1, pp. 137-150, Jan. 2018. </w:t>
      </w:r>
    </w:p>
    <w:p w:rsidR="003C121A" w:rsidRDefault="003C121A" w:rsidP="003C121A">
      <w:pPr>
        <w:pStyle w:val="BodyText"/>
        <w:numPr>
          <w:ilvl w:val="0"/>
          <w:numId w:val="46"/>
        </w:numPr>
        <w:rPr>
          <w:sz w:val="32"/>
          <w:szCs w:val="32"/>
        </w:rPr>
      </w:pPr>
      <w:r w:rsidRPr="00D95B88">
        <w:rPr>
          <w:sz w:val="32"/>
          <w:szCs w:val="32"/>
        </w:rPr>
        <w:t xml:space="preserve">[8] P. Nayak, K. Rajashekara and S. K. Pramanick, “Soft-Switched Modulation Technique for a Single-Stage Matrix-Type Isolated DC–AC Converter,” IEEE Trans. on Ind. Appl., vol. 55, no. 6, pp. 7642-7656, Nov./Dec. 2019. </w:t>
      </w:r>
    </w:p>
    <w:p w:rsidR="003C121A" w:rsidRDefault="003C121A" w:rsidP="003C121A">
      <w:pPr>
        <w:pStyle w:val="BodyText"/>
        <w:numPr>
          <w:ilvl w:val="0"/>
          <w:numId w:val="46"/>
        </w:numPr>
        <w:rPr>
          <w:sz w:val="32"/>
          <w:szCs w:val="32"/>
        </w:rPr>
      </w:pPr>
      <w:r w:rsidRPr="00D95B88">
        <w:rPr>
          <w:sz w:val="32"/>
          <w:szCs w:val="32"/>
        </w:rPr>
        <w:t xml:space="preserve">[9] S. Tiwari, S. Basu, T. M. Undeland and O. Midtgard, “Efficiency and ˚ Conducted EMI Evaluation of a Single-Phase Power Factor Correction Boost Converter Using State-of-the-Art SiC Mosfet and SiC Diode,” IEEE Trans. on Ind. Appl., vol. 55, no. 6, pp. 7745-7756, Nov./Dec. 2019. </w:t>
      </w:r>
    </w:p>
    <w:p w:rsidR="003C121A" w:rsidRDefault="003C121A" w:rsidP="003C121A">
      <w:pPr>
        <w:pStyle w:val="BodyText"/>
        <w:numPr>
          <w:ilvl w:val="0"/>
          <w:numId w:val="46"/>
        </w:numPr>
        <w:rPr>
          <w:sz w:val="32"/>
          <w:szCs w:val="32"/>
        </w:rPr>
      </w:pPr>
      <w:r w:rsidRPr="00D95B88">
        <w:rPr>
          <w:sz w:val="32"/>
          <w:szCs w:val="32"/>
        </w:rPr>
        <w:t>[10] W. Zhu, K. Zhou and M. Cheng, “A Bidirectional High-Frequency-Link Single-phase Inverter: Modulation, Modeling, and Control,” IEEE Trans. on Power Electron., vol. 29, no. 8, pp. 4049-4057, Aug. 2014.</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3739" w:rsidRDefault="00573739" w:rsidP="003654DF">
      <w:pPr>
        <w:spacing w:after="0" w:line="240" w:lineRule="auto"/>
      </w:pPr>
      <w:r>
        <w:separator/>
      </w:r>
    </w:p>
  </w:endnote>
  <w:endnote w:type="continuationSeparator" w:id="1">
    <w:p w:rsidR="00573739" w:rsidRDefault="0057373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3739" w:rsidRDefault="00573739" w:rsidP="003654DF">
      <w:pPr>
        <w:spacing w:after="0" w:line="240" w:lineRule="auto"/>
      </w:pPr>
      <w:r>
        <w:separator/>
      </w:r>
    </w:p>
  </w:footnote>
  <w:footnote w:type="continuationSeparator" w:id="1">
    <w:p w:rsidR="00573739" w:rsidRDefault="0057373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20A0D">
        <w:pPr>
          <w:pStyle w:val="Header"/>
          <w:jc w:val="right"/>
        </w:pPr>
        <w:fldSimple w:instr=" PAGE   \* MERGEFORMAT ">
          <w:r w:rsidR="003C121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9A2DF9"/>
    <w:multiLevelType w:val="hybridMultilevel"/>
    <w:tmpl w:val="A7A4AFE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C875537"/>
    <w:multiLevelType w:val="hybridMultilevel"/>
    <w:tmpl w:val="B01488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2C53E0"/>
    <w:multiLevelType w:val="hybridMultilevel"/>
    <w:tmpl w:val="F99A3FEA"/>
    <w:lvl w:ilvl="0" w:tplc="7E3AE130">
      <w:start w:val="1"/>
      <w:numFmt w:val="bullet"/>
      <w:lvlText w:val=""/>
      <w:lvlJc w:val="left"/>
      <w:pPr>
        <w:tabs>
          <w:tab w:val="num" w:pos="720"/>
        </w:tabs>
        <w:ind w:left="720" w:hanging="360"/>
      </w:pPr>
      <w:rPr>
        <w:rFonts w:ascii="Wingdings 2" w:hAnsi="Wingdings 2" w:hint="default"/>
      </w:rPr>
    </w:lvl>
    <w:lvl w:ilvl="1" w:tplc="9006B0CA" w:tentative="1">
      <w:start w:val="1"/>
      <w:numFmt w:val="bullet"/>
      <w:lvlText w:val=""/>
      <w:lvlJc w:val="left"/>
      <w:pPr>
        <w:tabs>
          <w:tab w:val="num" w:pos="1440"/>
        </w:tabs>
        <w:ind w:left="1440" w:hanging="360"/>
      </w:pPr>
      <w:rPr>
        <w:rFonts w:ascii="Wingdings 2" w:hAnsi="Wingdings 2" w:hint="default"/>
      </w:rPr>
    </w:lvl>
    <w:lvl w:ilvl="2" w:tplc="D1647152" w:tentative="1">
      <w:start w:val="1"/>
      <w:numFmt w:val="bullet"/>
      <w:lvlText w:val=""/>
      <w:lvlJc w:val="left"/>
      <w:pPr>
        <w:tabs>
          <w:tab w:val="num" w:pos="2160"/>
        </w:tabs>
        <w:ind w:left="2160" w:hanging="360"/>
      </w:pPr>
      <w:rPr>
        <w:rFonts w:ascii="Wingdings 2" w:hAnsi="Wingdings 2" w:hint="default"/>
      </w:rPr>
    </w:lvl>
    <w:lvl w:ilvl="3" w:tplc="B43878D2" w:tentative="1">
      <w:start w:val="1"/>
      <w:numFmt w:val="bullet"/>
      <w:lvlText w:val=""/>
      <w:lvlJc w:val="left"/>
      <w:pPr>
        <w:tabs>
          <w:tab w:val="num" w:pos="2880"/>
        </w:tabs>
        <w:ind w:left="2880" w:hanging="360"/>
      </w:pPr>
      <w:rPr>
        <w:rFonts w:ascii="Wingdings 2" w:hAnsi="Wingdings 2" w:hint="default"/>
      </w:rPr>
    </w:lvl>
    <w:lvl w:ilvl="4" w:tplc="7276A5B6" w:tentative="1">
      <w:start w:val="1"/>
      <w:numFmt w:val="bullet"/>
      <w:lvlText w:val=""/>
      <w:lvlJc w:val="left"/>
      <w:pPr>
        <w:tabs>
          <w:tab w:val="num" w:pos="3600"/>
        </w:tabs>
        <w:ind w:left="3600" w:hanging="360"/>
      </w:pPr>
      <w:rPr>
        <w:rFonts w:ascii="Wingdings 2" w:hAnsi="Wingdings 2" w:hint="default"/>
      </w:rPr>
    </w:lvl>
    <w:lvl w:ilvl="5" w:tplc="DC36B786" w:tentative="1">
      <w:start w:val="1"/>
      <w:numFmt w:val="bullet"/>
      <w:lvlText w:val=""/>
      <w:lvlJc w:val="left"/>
      <w:pPr>
        <w:tabs>
          <w:tab w:val="num" w:pos="4320"/>
        </w:tabs>
        <w:ind w:left="4320" w:hanging="360"/>
      </w:pPr>
      <w:rPr>
        <w:rFonts w:ascii="Wingdings 2" w:hAnsi="Wingdings 2" w:hint="default"/>
      </w:rPr>
    </w:lvl>
    <w:lvl w:ilvl="6" w:tplc="346EB664" w:tentative="1">
      <w:start w:val="1"/>
      <w:numFmt w:val="bullet"/>
      <w:lvlText w:val=""/>
      <w:lvlJc w:val="left"/>
      <w:pPr>
        <w:tabs>
          <w:tab w:val="num" w:pos="5040"/>
        </w:tabs>
        <w:ind w:left="5040" w:hanging="360"/>
      </w:pPr>
      <w:rPr>
        <w:rFonts w:ascii="Wingdings 2" w:hAnsi="Wingdings 2" w:hint="default"/>
      </w:rPr>
    </w:lvl>
    <w:lvl w:ilvl="7" w:tplc="A5E036D4" w:tentative="1">
      <w:start w:val="1"/>
      <w:numFmt w:val="bullet"/>
      <w:lvlText w:val=""/>
      <w:lvlJc w:val="left"/>
      <w:pPr>
        <w:tabs>
          <w:tab w:val="num" w:pos="5760"/>
        </w:tabs>
        <w:ind w:left="5760" w:hanging="360"/>
      </w:pPr>
      <w:rPr>
        <w:rFonts w:ascii="Wingdings 2" w:hAnsi="Wingdings 2" w:hint="default"/>
      </w:rPr>
    </w:lvl>
    <w:lvl w:ilvl="8" w:tplc="D73A7A7C" w:tentative="1">
      <w:start w:val="1"/>
      <w:numFmt w:val="bullet"/>
      <w:lvlText w:val=""/>
      <w:lvlJc w:val="left"/>
      <w:pPr>
        <w:tabs>
          <w:tab w:val="num" w:pos="6480"/>
        </w:tabs>
        <w:ind w:left="6480" w:hanging="360"/>
      </w:pPr>
      <w:rPr>
        <w:rFonts w:ascii="Wingdings 2" w:hAnsi="Wingdings 2"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7C2405"/>
    <w:multiLevelType w:val="hybridMultilevel"/>
    <w:tmpl w:val="014AD31A"/>
    <w:lvl w:ilvl="0" w:tplc="3A1494E4">
      <w:start w:val="1"/>
      <w:numFmt w:val="bullet"/>
      <w:lvlText w:val=""/>
      <w:lvlJc w:val="left"/>
      <w:pPr>
        <w:tabs>
          <w:tab w:val="num" w:pos="720"/>
        </w:tabs>
        <w:ind w:left="720" w:hanging="360"/>
      </w:pPr>
      <w:rPr>
        <w:rFonts w:ascii="Wingdings 2" w:hAnsi="Wingdings 2" w:hint="default"/>
      </w:rPr>
    </w:lvl>
    <w:lvl w:ilvl="1" w:tplc="63180244" w:tentative="1">
      <w:start w:val="1"/>
      <w:numFmt w:val="bullet"/>
      <w:lvlText w:val=""/>
      <w:lvlJc w:val="left"/>
      <w:pPr>
        <w:tabs>
          <w:tab w:val="num" w:pos="1440"/>
        </w:tabs>
        <w:ind w:left="1440" w:hanging="360"/>
      </w:pPr>
      <w:rPr>
        <w:rFonts w:ascii="Wingdings 2" w:hAnsi="Wingdings 2" w:hint="default"/>
      </w:rPr>
    </w:lvl>
    <w:lvl w:ilvl="2" w:tplc="34A03BD4" w:tentative="1">
      <w:start w:val="1"/>
      <w:numFmt w:val="bullet"/>
      <w:lvlText w:val=""/>
      <w:lvlJc w:val="left"/>
      <w:pPr>
        <w:tabs>
          <w:tab w:val="num" w:pos="2160"/>
        </w:tabs>
        <w:ind w:left="2160" w:hanging="360"/>
      </w:pPr>
      <w:rPr>
        <w:rFonts w:ascii="Wingdings 2" w:hAnsi="Wingdings 2" w:hint="default"/>
      </w:rPr>
    </w:lvl>
    <w:lvl w:ilvl="3" w:tplc="86A4C9D2" w:tentative="1">
      <w:start w:val="1"/>
      <w:numFmt w:val="bullet"/>
      <w:lvlText w:val=""/>
      <w:lvlJc w:val="left"/>
      <w:pPr>
        <w:tabs>
          <w:tab w:val="num" w:pos="2880"/>
        </w:tabs>
        <w:ind w:left="2880" w:hanging="360"/>
      </w:pPr>
      <w:rPr>
        <w:rFonts w:ascii="Wingdings 2" w:hAnsi="Wingdings 2" w:hint="default"/>
      </w:rPr>
    </w:lvl>
    <w:lvl w:ilvl="4" w:tplc="373C52EA" w:tentative="1">
      <w:start w:val="1"/>
      <w:numFmt w:val="bullet"/>
      <w:lvlText w:val=""/>
      <w:lvlJc w:val="left"/>
      <w:pPr>
        <w:tabs>
          <w:tab w:val="num" w:pos="3600"/>
        </w:tabs>
        <w:ind w:left="3600" w:hanging="360"/>
      </w:pPr>
      <w:rPr>
        <w:rFonts w:ascii="Wingdings 2" w:hAnsi="Wingdings 2" w:hint="default"/>
      </w:rPr>
    </w:lvl>
    <w:lvl w:ilvl="5" w:tplc="735ACB72" w:tentative="1">
      <w:start w:val="1"/>
      <w:numFmt w:val="bullet"/>
      <w:lvlText w:val=""/>
      <w:lvlJc w:val="left"/>
      <w:pPr>
        <w:tabs>
          <w:tab w:val="num" w:pos="4320"/>
        </w:tabs>
        <w:ind w:left="4320" w:hanging="360"/>
      </w:pPr>
      <w:rPr>
        <w:rFonts w:ascii="Wingdings 2" w:hAnsi="Wingdings 2" w:hint="default"/>
      </w:rPr>
    </w:lvl>
    <w:lvl w:ilvl="6" w:tplc="7E5ABC4C" w:tentative="1">
      <w:start w:val="1"/>
      <w:numFmt w:val="bullet"/>
      <w:lvlText w:val=""/>
      <w:lvlJc w:val="left"/>
      <w:pPr>
        <w:tabs>
          <w:tab w:val="num" w:pos="5040"/>
        </w:tabs>
        <w:ind w:left="5040" w:hanging="360"/>
      </w:pPr>
      <w:rPr>
        <w:rFonts w:ascii="Wingdings 2" w:hAnsi="Wingdings 2" w:hint="default"/>
      </w:rPr>
    </w:lvl>
    <w:lvl w:ilvl="7" w:tplc="634605B8" w:tentative="1">
      <w:start w:val="1"/>
      <w:numFmt w:val="bullet"/>
      <w:lvlText w:val=""/>
      <w:lvlJc w:val="left"/>
      <w:pPr>
        <w:tabs>
          <w:tab w:val="num" w:pos="5760"/>
        </w:tabs>
        <w:ind w:left="5760" w:hanging="360"/>
      </w:pPr>
      <w:rPr>
        <w:rFonts w:ascii="Wingdings 2" w:hAnsi="Wingdings 2" w:hint="default"/>
      </w:rPr>
    </w:lvl>
    <w:lvl w:ilvl="8" w:tplc="E5DE38B8"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BB63B7"/>
    <w:multiLevelType w:val="hybridMultilevel"/>
    <w:tmpl w:val="4FE21652"/>
    <w:lvl w:ilvl="0" w:tplc="40090001">
      <w:start w:val="1"/>
      <w:numFmt w:val="bullet"/>
      <w:lvlText w:val=""/>
      <w:lvlJc w:val="left"/>
      <w:pPr>
        <w:ind w:left="1170" w:hanging="360"/>
      </w:pPr>
      <w:rPr>
        <w:rFonts w:ascii="Symbol" w:hAnsi="Symbol" w:hint="default"/>
      </w:rPr>
    </w:lvl>
    <w:lvl w:ilvl="1" w:tplc="40090003" w:tentative="1">
      <w:start w:val="1"/>
      <w:numFmt w:val="bullet"/>
      <w:lvlText w:val="o"/>
      <w:lvlJc w:val="left"/>
      <w:pPr>
        <w:ind w:left="1890" w:hanging="360"/>
      </w:pPr>
      <w:rPr>
        <w:rFonts w:ascii="Courier New" w:hAnsi="Courier New" w:cs="Courier New" w:hint="default"/>
      </w:rPr>
    </w:lvl>
    <w:lvl w:ilvl="2" w:tplc="40090005" w:tentative="1">
      <w:start w:val="1"/>
      <w:numFmt w:val="bullet"/>
      <w:lvlText w:val=""/>
      <w:lvlJc w:val="left"/>
      <w:pPr>
        <w:ind w:left="2610" w:hanging="360"/>
      </w:pPr>
      <w:rPr>
        <w:rFonts w:ascii="Wingdings" w:hAnsi="Wingdings" w:hint="default"/>
      </w:rPr>
    </w:lvl>
    <w:lvl w:ilvl="3" w:tplc="40090001" w:tentative="1">
      <w:start w:val="1"/>
      <w:numFmt w:val="bullet"/>
      <w:lvlText w:val=""/>
      <w:lvlJc w:val="left"/>
      <w:pPr>
        <w:ind w:left="3330" w:hanging="360"/>
      </w:pPr>
      <w:rPr>
        <w:rFonts w:ascii="Symbol" w:hAnsi="Symbol" w:hint="default"/>
      </w:rPr>
    </w:lvl>
    <w:lvl w:ilvl="4" w:tplc="40090003" w:tentative="1">
      <w:start w:val="1"/>
      <w:numFmt w:val="bullet"/>
      <w:lvlText w:val="o"/>
      <w:lvlJc w:val="left"/>
      <w:pPr>
        <w:ind w:left="4050" w:hanging="360"/>
      </w:pPr>
      <w:rPr>
        <w:rFonts w:ascii="Courier New" w:hAnsi="Courier New" w:cs="Courier New" w:hint="default"/>
      </w:rPr>
    </w:lvl>
    <w:lvl w:ilvl="5" w:tplc="40090005" w:tentative="1">
      <w:start w:val="1"/>
      <w:numFmt w:val="bullet"/>
      <w:lvlText w:val=""/>
      <w:lvlJc w:val="left"/>
      <w:pPr>
        <w:ind w:left="4770" w:hanging="360"/>
      </w:pPr>
      <w:rPr>
        <w:rFonts w:ascii="Wingdings" w:hAnsi="Wingdings" w:hint="default"/>
      </w:rPr>
    </w:lvl>
    <w:lvl w:ilvl="6" w:tplc="40090001" w:tentative="1">
      <w:start w:val="1"/>
      <w:numFmt w:val="bullet"/>
      <w:lvlText w:val=""/>
      <w:lvlJc w:val="left"/>
      <w:pPr>
        <w:ind w:left="5490" w:hanging="360"/>
      </w:pPr>
      <w:rPr>
        <w:rFonts w:ascii="Symbol" w:hAnsi="Symbol" w:hint="default"/>
      </w:rPr>
    </w:lvl>
    <w:lvl w:ilvl="7" w:tplc="40090003" w:tentative="1">
      <w:start w:val="1"/>
      <w:numFmt w:val="bullet"/>
      <w:lvlText w:val="o"/>
      <w:lvlJc w:val="left"/>
      <w:pPr>
        <w:ind w:left="6210" w:hanging="360"/>
      </w:pPr>
      <w:rPr>
        <w:rFonts w:ascii="Courier New" w:hAnsi="Courier New" w:cs="Courier New" w:hint="default"/>
      </w:rPr>
    </w:lvl>
    <w:lvl w:ilvl="8" w:tplc="40090005" w:tentative="1">
      <w:start w:val="1"/>
      <w:numFmt w:val="bullet"/>
      <w:lvlText w:val=""/>
      <w:lvlJc w:val="left"/>
      <w:pPr>
        <w:ind w:left="693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4"/>
  </w:num>
  <w:num w:numId="9">
    <w:abstractNumId w:val="6"/>
  </w:num>
  <w:num w:numId="10">
    <w:abstractNumId w:val="1"/>
  </w:num>
  <w:num w:numId="11">
    <w:abstractNumId w:val="10"/>
  </w:num>
  <w:num w:numId="12">
    <w:abstractNumId w:val="34"/>
  </w:num>
  <w:num w:numId="13">
    <w:abstractNumId w:val="40"/>
  </w:num>
  <w:num w:numId="14">
    <w:abstractNumId w:val="44"/>
  </w:num>
  <w:num w:numId="15">
    <w:abstractNumId w:val="36"/>
  </w:num>
  <w:num w:numId="16">
    <w:abstractNumId w:val="33"/>
  </w:num>
  <w:num w:numId="17">
    <w:abstractNumId w:val="8"/>
  </w:num>
  <w:num w:numId="18">
    <w:abstractNumId w:val="35"/>
  </w:num>
  <w:num w:numId="19">
    <w:abstractNumId w:val="24"/>
  </w:num>
  <w:num w:numId="20">
    <w:abstractNumId w:val="7"/>
  </w:num>
  <w:num w:numId="21">
    <w:abstractNumId w:val="45"/>
  </w:num>
  <w:num w:numId="22">
    <w:abstractNumId w:val="18"/>
  </w:num>
  <w:num w:numId="23">
    <w:abstractNumId w:val="42"/>
  </w:num>
  <w:num w:numId="24">
    <w:abstractNumId w:val="43"/>
  </w:num>
  <w:num w:numId="25">
    <w:abstractNumId w:val="31"/>
  </w:num>
  <w:num w:numId="26">
    <w:abstractNumId w:val="17"/>
  </w:num>
  <w:num w:numId="27">
    <w:abstractNumId w:val="3"/>
  </w:num>
  <w:num w:numId="28">
    <w:abstractNumId w:val="11"/>
  </w:num>
  <w:num w:numId="29">
    <w:abstractNumId w:val="32"/>
  </w:num>
  <w:num w:numId="30">
    <w:abstractNumId w:val="38"/>
  </w:num>
  <w:num w:numId="31">
    <w:abstractNumId w:val="29"/>
  </w:num>
  <w:num w:numId="32">
    <w:abstractNumId w:val="2"/>
  </w:num>
  <w:num w:numId="33">
    <w:abstractNumId w:val="27"/>
  </w:num>
  <w:num w:numId="34">
    <w:abstractNumId w:val="21"/>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2"/>
  </w:num>
  <w:num w:numId="42">
    <w:abstractNumId w:val="41"/>
  </w:num>
  <w:num w:numId="43">
    <w:abstractNumId w:val="25"/>
  </w:num>
  <w:num w:numId="44">
    <w:abstractNumId w:val="5"/>
  </w:num>
  <w:num w:numId="45">
    <w:abstractNumId w:val="28"/>
  </w:num>
  <w:num w:numId="46">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21A"/>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38B"/>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4C47"/>
    <w:rsid w:val="00465023"/>
    <w:rsid w:val="00466CFF"/>
    <w:rsid w:val="004679D5"/>
    <w:rsid w:val="004702B4"/>
    <w:rsid w:val="00473E5D"/>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473D"/>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3739"/>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87F67"/>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2A2B"/>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65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5E3F"/>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350D"/>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0A0D"/>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3567384">
      <w:bodyDiv w:val="1"/>
      <w:marLeft w:val="0"/>
      <w:marRight w:val="0"/>
      <w:marTop w:val="0"/>
      <w:marBottom w:val="0"/>
      <w:divBdr>
        <w:top w:val="none" w:sz="0" w:space="0" w:color="auto"/>
        <w:left w:val="none" w:sz="0" w:space="0" w:color="auto"/>
        <w:bottom w:val="none" w:sz="0" w:space="0" w:color="auto"/>
        <w:right w:val="none" w:sz="0" w:space="0" w:color="auto"/>
      </w:divBdr>
      <w:divsChild>
        <w:div w:id="658768626">
          <w:marLeft w:val="576"/>
          <w:marRight w:val="0"/>
          <w:marTop w:val="120"/>
          <w:marBottom w:val="0"/>
          <w:divBdr>
            <w:top w:val="none" w:sz="0" w:space="0" w:color="auto"/>
            <w:left w:val="none" w:sz="0" w:space="0" w:color="auto"/>
            <w:bottom w:val="none" w:sz="0" w:space="0" w:color="auto"/>
            <w:right w:val="none" w:sz="0" w:space="0" w:color="auto"/>
          </w:divBdr>
        </w:div>
        <w:div w:id="181824813">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4177537">
      <w:bodyDiv w:val="1"/>
      <w:marLeft w:val="0"/>
      <w:marRight w:val="0"/>
      <w:marTop w:val="0"/>
      <w:marBottom w:val="0"/>
      <w:divBdr>
        <w:top w:val="none" w:sz="0" w:space="0" w:color="auto"/>
        <w:left w:val="none" w:sz="0" w:space="0" w:color="auto"/>
        <w:bottom w:val="none" w:sz="0" w:space="0" w:color="auto"/>
        <w:right w:val="none" w:sz="0" w:space="0" w:color="auto"/>
      </w:divBdr>
      <w:divsChild>
        <w:div w:id="1944412279">
          <w:marLeft w:val="576"/>
          <w:marRight w:val="0"/>
          <w:marTop w:val="120"/>
          <w:marBottom w:val="0"/>
          <w:divBdr>
            <w:top w:val="none" w:sz="0" w:space="0" w:color="auto"/>
            <w:left w:val="none" w:sz="0" w:space="0" w:color="auto"/>
            <w:bottom w:val="none" w:sz="0" w:space="0" w:color="auto"/>
            <w:right w:val="none" w:sz="0" w:space="0" w:color="auto"/>
          </w:divBdr>
        </w:div>
        <w:div w:id="1631745439">
          <w:marLeft w:val="576"/>
          <w:marRight w:val="0"/>
          <w:marTop w:val="120"/>
          <w:marBottom w:val="0"/>
          <w:divBdr>
            <w:top w:val="none" w:sz="0" w:space="0" w:color="auto"/>
            <w:left w:val="none" w:sz="0" w:space="0" w:color="auto"/>
            <w:bottom w:val="none" w:sz="0" w:space="0" w:color="auto"/>
            <w:right w:val="none" w:sz="0" w:space="0" w:color="auto"/>
          </w:divBdr>
        </w:div>
        <w:div w:id="272830556">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3594476">
      <w:bodyDiv w:val="1"/>
      <w:marLeft w:val="0"/>
      <w:marRight w:val="0"/>
      <w:marTop w:val="0"/>
      <w:marBottom w:val="0"/>
      <w:divBdr>
        <w:top w:val="none" w:sz="0" w:space="0" w:color="auto"/>
        <w:left w:val="none" w:sz="0" w:space="0" w:color="auto"/>
        <w:bottom w:val="none" w:sz="0" w:space="0" w:color="auto"/>
        <w:right w:val="none" w:sz="0" w:space="0" w:color="auto"/>
      </w:divBdr>
      <w:divsChild>
        <w:div w:id="1044790223">
          <w:marLeft w:val="576"/>
          <w:marRight w:val="0"/>
          <w:marTop w:val="120"/>
          <w:marBottom w:val="0"/>
          <w:divBdr>
            <w:top w:val="none" w:sz="0" w:space="0" w:color="auto"/>
            <w:left w:val="none" w:sz="0" w:space="0" w:color="auto"/>
            <w:bottom w:val="none" w:sz="0" w:space="0" w:color="auto"/>
            <w:right w:val="none" w:sz="0" w:space="0" w:color="auto"/>
          </w:divBdr>
        </w:div>
        <w:div w:id="39983493">
          <w:marLeft w:val="576"/>
          <w:marRight w:val="0"/>
          <w:marTop w:val="120"/>
          <w:marBottom w:val="0"/>
          <w:divBdr>
            <w:top w:val="none" w:sz="0" w:space="0" w:color="auto"/>
            <w:left w:val="none" w:sz="0" w:space="0" w:color="auto"/>
            <w:bottom w:val="none" w:sz="0" w:space="0" w:color="auto"/>
            <w:right w:val="none" w:sz="0" w:space="0" w:color="auto"/>
          </w:divBdr>
        </w:div>
        <w:div w:id="92864715">
          <w:marLeft w:val="576"/>
          <w:marRight w:val="0"/>
          <w:marTop w:val="120"/>
          <w:marBottom w:val="0"/>
          <w:divBdr>
            <w:top w:val="none" w:sz="0" w:space="0" w:color="auto"/>
            <w:left w:val="none" w:sz="0" w:space="0" w:color="auto"/>
            <w:bottom w:val="none" w:sz="0" w:space="0" w:color="auto"/>
            <w:right w:val="none" w:sz="0" w:space="0" w:color="auto"/>
          </w:divBdr>
        </w:div>
        <w:div w:id="1792550229">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3585</TotalTime>
  <Pages>14</Pages>
  <Words>1719</Words>
  <Characters>9800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2021-12-07T14:10:00Z</dcterms:modified>
</cp:coreProperties>
</file>