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A34" w:rsidRPr="00D26A5D" w:rsidRDefault="00D36F8D" w:rsidP="00C36E04">
      <w:pPr>
        <w:spacing w:line="360" w:lineRule="auto"/>
        <w:jc w:val="center"/>
        <w:rPr>
          <w:b/>
          <w:szCs w:val="20"/>
        </w:rPr>
      </w:pPr>
      <w:r w:rsidRPr="00D36F8D">
        <w:rPr>
          <w:b/>
          <w:bCs/>
          <w:szCs w:val="20"/>
        </w:rPr>
        <w:t>DESIGN OF HYBRID FORWARD BOOST CONVERTER FOR RENEWABLE ENERGY POWERED ELECTRIC VEHICLE CHARGING APPLICATIONS</w:t>
      </w:r>
      <w:r>
        <w:rPr>
          <w:b/>
          <w:bCs/>
          <w:szCs w:val="20"/>
        </w:rPr>
        <w:t xml:space="preserve"> </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C13D3" w:rsidRPr="003C57DE" w:rsidRDefault="008077AA" w:rsidP="003C57DE">
      <w:pPr>
        <w:autoSpaceDE w:val="0"/>
        <w:autoSpaceDN w:val="0"/>
        <w:adjustRightInd w:val="0"/>
        <w:spacing w:line="360" w:lineRule="auto"/>
        <w:jc w:val="both"/>
        <w:rPr>
          <w:lang w:val="en-IN"/>
        </w:rPr>
      </w:pPr>
      <w:r w:rsidRPr="00D26A5D">
        <w:rPr>
          <w:b/>
          <w:szCs w:val="20"/>
        </w:rPr>
        <w:lastRenderedPageBreak/>
        <w:t>ABSTRACT-</w:t>
      </w:r>
      <w:r w:rsidR="00126A34" w:rsidRPr="00D26A5D">
        <w:t xml:space="preserve"> </w:t>
      </w:r>
      <w:r w:rsidR="00A73A46" w:rsidRPr="00A73A46">
        <w:t>The framework associated electric vehicle charging stations are being incorporated into environmentally friendly power for saving the ordinary energy assets just as to guarantee economical improvement of the general public. Notwithstanding the easy charging, the abrupt interest varieties in the network can be met by the sustainable power stockpiling framework in the charging stations. The fundamental test in this idea is the shaky idea of sustainable power. As the energy stockpiling means of charging station is straightforwardly associated with the sustainable power source like a sunlight based charger, as per the variable and insufficient information power condition, the converter should supply a directed result at the necessary size. On the off chance that a regular converter is utilized for this reason, the charging productivity will be poor for higher increase conditions. This article presents a half and half forward-support converter to defeat this test. By keeping up with the power move proficiency higher, the increase can be differed to supply a managed voltage, in any event, for exceptionally low information conditions in this proposed geography. The most extreme generally speaking proficiency of 95% is accomplished for a variable info state of 30–50 V to give a result voltage of 170 V. The idea is approved by executing a 150 W cross breed converter.</w:t>
      </w:r>
    </w:p>
    <w:p w:rsidR="006308D1" w:rsidRDefault="006308D1" w:rsidP="00397FFE">
      <w:pPr>
        <w:spacing w:line="360" w:lineRule="auto"/>
        <w:jc w:val="both"/>
        <w:rPr>
          <w:b/>
          <w:szCs w:val="20"/>
        </w:rPr>
      </w:pPr>
    </w:p>
    <w:p w:rsidR="004B557E" w:rsidRDefault="004B557E" w:rsidP="00397FFE">
      <w:pPr>
        <w:spacing w:line="360" w:lineRule="auto"/>
        <w:jc w:val="both"/>
        <w:rPr>
          <w:b/>
          <w:szCs w:val="20"/>
        </w:rPr>
      </w:pPr>
      <w:r w:rsidRPr="00D26A5D">
        <w:rPr>
          <w:b/>
          <w:szCs w:val="20"/>
        </w:rPr>
        <w:t>1. INTRODUCTION</w:t>
      </w:r>
    </w:p>
    <w:p w:rsidR="00853A86" w:rsidRDefault="00853A86" w:rsidP="00397FFE">
      <w:pPr>
        <w:spacing w:line="360" w:lineRule="auto"/>
        <w:jc w:val="both"/>
        <w:rPr>
          <w:b/>
          <w:szCs w:val="20"/>
        </w:rPr>
      </w:pPr>
    </w:p>
    <w:p w:rsidR="00853A86" w:rsidRPr="00853A86" w:rsidRDefault="00853A86" w:rsidP="00853A86">
      <w:pPr>
        <w:spacing w:line="360" w:lineRule="auto"/>
        <w:jc w:val="both"/>
        <w:rPr>
          <w:bCs/>
          <w:szCs w:val="20"/>
        </w:rPr>
      </w:pPr>
      <w:r w:rsidRPr="00853A86">
        <w:rPr>
          <w:bCs/>
          <w:szCs w:val="20"/>
        </w:rPr>
        <w:lastRenderedPageBreak/>
        <w:t xml:space="preserve">To conquer the present circumstance, the sustainable power incorporated EV charging stations were acquainted with the EV area. The underlying executions depended on framework inexhaustible mixture charging stations. Here, the framework will supply energy to the EV on account of insufficient inexhaustible power. The benefit is that no extra stockpiling framework is needed for this situation. Aside from that, the excess energy given by sustainable sources can be taken care of back to the network for power factor amendment. As a specialized progression, independent sustainable power controlled charging stations were brought into the transportation area. In independent sustainable power fueled charging stations, the whole power prerequisite will be met by environmentally friendly power. The overflow energy will be put away in a capacity battery. For satisfying the need in sustainable power inadequate conditions, an energy stockpiling battery is utilized here alongside the previous framework. To charge this battery straightforwardly from sustainable power sources, a few difficulties must be confronted. The environmentally friendly power supply is dependably adaptable because of its climate reliance. For sun based energy age, as per the sun powered light, the result voltage differs. For higher radiation, it will give higher or ideal result. For concealed or shady conditions, it will give least result. Also for wind-based sustainable power age, according to the accessibility of wind, the result voltage of the reaping framework changes. As </w:t>
      </w:r>
      <w:r w:rsidRPr="00853A86">
        <w:rPr>
          <w:bCs/>
          <w:szCs w:val="20"/>
        </w:rPr>
        <w:lastRenderedPageBreak/>
        <w:t>the converter is taking contribution from the environmentally friendly power source straightforwardly, the voltage guideline and required enhancement ought to be given by the converter circuit itself. For medium power EV charging applications, the DC–DC converter circuit ought to enhance the info voltage to a higher worth. A few geographies were proposed for this application. On account of higher info variety, the charging proficiency is decreasing quickly in traditional geographies for guaranteeing the managed yield, particularly during exceptionally low information conditions.</w:t>
      </w:r>
    </w:p>
    <w:p w:rsidR="00070B1E" w:rsidRDefault="00070B1E" w:rsidP="001C3B54">
      <w:pPr>
        <w:pStyle w:val="ListParagraph"/>
        <w:autoSpaceDE w:val="0"/>
        <w:autoSpaceDN w:val="0"/>
        <w:adjustRightInd w:val="0"/>
        <w:spacing w:line="360" w:lineRule="auto"/>
        <w:ind w:left="0"/>
        <w:jc w:val="both"/>
        <w:rPr>
          <w:rStyle w:val="e24kjd"/>
        </w:rPr>
      </w:pPr>
    </w:p>
    <w:p w:rsidR="00640D21" w:rsidRDefault="00640D21"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AC7573" w:rsidRDefault="004417DC" w:rsidP="004417DC">
      <w:pPr>
        <w:spacing w:line="360" w:lineRule="auto"/>
        <w:jc w:val="both"/>
        <w:rPr>
          <w:color w:val="222222"/>
          <w:shd w:val="clear" w:color="auto" w:fill="FFFFFF"/>
        </w:rPr>
      </w:pPr>
      <w:r w:rsidRPr="004417DC">
        <w:rPr>
          <w:color w:val="222222"/>
          <w:shd w:val="clear" w:color="auto" w:fill="FFFFFF"/>
        </w:rPr>
        <w:t>Utilizing the forward converter rule in low info esteems and lift converter standard in higher information esteems, the info variety range issue is tackled.</w:t>
      </w:r>
      <w:r>
        <w:rPr>
          <w:color w:val="222222"/>
          <w:shd w:val="clear" w:color="auto" w:fill="FFFFFF"/>
        </w:rPr>
        <w:t xml:space="preserve"> </w:t>
      </w:r>
      <w:r w:rsidRPr="004417DC">
        <w:rPr>
          <w:color w:val="222222"/>
          <w:shd w:val="clear" w:color="auto" w:fill="FFFFFF"/>
        </w:rPr>
        <w:t>To get the necessary result voltage, regular converters are having limit because of voltage worry about switches for a higher obligation. The issue is addressed up to a degree in this geography. The proposed geography will give a controlled result to a higher info voltage variety</w:t>
      </w:r>
      <w:r>
        <w:rPr>
          <w:color w:val="222222"/>
          <w:shd w:val="clear" w:color="auto" w:fill="FFFFFF"/>
        </w:rPr>
        <w:t xml:space="preserve"> </w:t>
      </w:r>
      <w:r w:rsidRPr="004417DC">
        <w:rPr>
          <w:color w:val="222222"/>
          <w:shd w:val="clear" w:color="auto" w:fill="FFFFFF"/>
        </w:rPr>
        <w:t>span, dissimilar to customary converters.</w:t>
      </w:r>
      <w:r>
        <w:rPr>
          <w:color w:val="222222"/>
          <w:shd w:val="clear" w:color="auto" w:fill="FFFFFF"/>
        </w:rPr>
        <w:t xml:space="preserve"> </w:t>
      </w:r>
      <w:r w:rsidRPr="004417DC">
        <w:rPr>
          <w:color w:val="222222"/>
          <w:shd w:val="clear" w:color="auto" w:fill="FFFFFF"/>
        </w:rPr>
        <w:t>The benefits of one converter ought to defeat the weaknesses of others. With a legitimate half and half joining of various converters, this objective can be achieved.</w:t>
      </w:r>
      <w:r>
        <w:rPr>
          <w:color w:val="222222"/>
          <w:shd w:val="clear" w:color="auto" w:fill="FFFFFF"/>
        </w:rPr>
        <w:t xml:space="preserve"> </w:t>
      </w:r>
      <w:r w:rsidRPr="004417DC">
        <w:rPr>
          <w:color w:val="222222"/>
          <w:shd w:val="clear" w:color="auto" w:fill="FFFFFF"/>
        </w:rPr>
        <w:t>A impediment of the lift converter is the chance of a short out at a higher obligation cycle. The</w:t>
      </w:r>
      <w:r>
        <w:rPr>
          <w:color w:val="222222"/>
          <w:shd w:val="clear" w:color="auto" w:fill="FFFFFF"/>
        </w:rPr>
        <w:t xml:space="preserve"> </w:t>
      </w:r>
      <w:r w:rsidRPr="004417DC">
        <w:rPr>
          <w:color w:val="222222"/>
          <w:shd w:val="clear" w:color="auto" w:fill="FFFFFF"/>
        </w:rPr>
        <w:t xml:space="preserve">converter proficiency is less at higher obligations. While coordinating one converter with another, there ought not be an exhibition struggle between the converters. All the while, the uniqueness </w:t>
      </w:r>
      <w:r w:rsidRPr="004417DC">
        <w:rPr>
          <w:color w:val="222222"/>
          <w:shd w:val="clear" w:color="auto" w:fill="FFFFFF"/>
        </w:rPr>
        <w:lastRenderedPageBreak/>
        <w:t>ought to be kept up with just as the detriments ought to be moderated. Barely any drawbacks are likewise connected with the proposed converter. As the proposed converter is framed by consolidating the highlights of regular lift and forward converter, the quantity of parts are high in it, which adds to the size of the converter.</w:t>
      </w:r>
    </w:p>
    <w:p w:rsidR="004417DC" w:rsidRDefault="004417DC"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065A0B" w:rsidRPr="00065A0B" w:rsidRDefault="00065A0B" w:rsidP="00065A0B">
      <w:pPr>
        <w:spacing w:line="360" w:lineRule="auto"/>
        <w:jc w:val="both"/>
        <w:rPr>
          <w:lang w:val="en-IN"/>
        </w:rPr>
      </w:pPr>
      <w:r w:rsidRPr="00065A0B">
        <w:rPr>
          <w:lang w:val="en-IN"/>
        </w:rPr>
        <w:t xml:space="preserve">Leithon J., Lim T.J., and Sun S. </w:t>
      </w:r>
    </w:p>
    <w:p w:rsidR="00065A0B" w:rsidRDefault="00065A0B" w:rsidP="008F3A01">
      <w:pPr>
        <w:spacing w:line="360" w:lineRule="auto"/>
        <w:jc w:val="both"/>
        <w:rPr>
          <w:lang w:val="en-IN"/>
        </w:rPr>
      </w:pPr>
      <w:r>
        <w:rPr>
          <w:lang w:val="en-IN"/>
        </w:rPr>
        <w:t>“</w:t>
      </w:r>
      <w:r w:rsidRPr="00065A0B">
        <w:rPr>
          <w:lang w:val="en-IN"/>
        </w:rPr>
        <w:t>Cost-aware renewable energy management with a</w:t>
      </w:r>
      <w:r>
        <w:rPr>
          <w:lang w:val="en-IN"/>
        </w:rPr>
        <w:t>pplication in cellular networks”</w:t>
      </w:r>
    </w:p>
    <w:p w:rsidR="00065A0B" w:rsidRDefault="00C328EC" w:rsidP="008F3A01">
      <w:pPr>
        <w:spacing w:line="360" w:lineRule="auto"/>
        <w:jc w:val="both"/>
        <w:rPr>
          <w:lang w:val="en-IN"/>
        </w:rPr>
      </w:pPr>
      <w:r w:rsidRPr="00C328EC">
        <w:rPr>
          <w:lang w:val="en-IN"/>
        </w:rPr>
        <w:t>In this paper, we propose an expense minimization procedure for offices with shared admittance to a sustainable power ranch.</w:t>
      </w:r>
    </w:p>
    <w:p w:rsidR="00C328EC" w:rsidRDefault="00C328EC" w:rsidP="008F3A01">
      <w:pPr>
        <w:spacing w:line="360" w:lineRule="auto"/>
        <w:jc w:val="both"/>
        <w:rPr>
          <w:lang w:val="en-IN"/>
        </w:rPr>
      </w:pPr>
    </w:p>
    <w:p w:rsidR="00920160" w:rsidRPr="00920160" w:rsidRDefault="00920160" w:rsidP="00920160">
      <w:pPr>
        <w:spacing w:line="360" w:lineRule="auto"/>
        <w:jc w:val="both"/>
        <w:rPr>
          <w:lang w:val="en-IN"/>
        </w:rPr>
      </w:pPr>
      <w:r w:rsidRPr="00920160">
        <w:rPr>
          <w:lang w:val="en-IN"/>
        </w:rPr>
        <w:t xml:space="preserve">Sun J., Li M., and Zhang Z. et al. </w:t>
      </w:r>
    </w:p>
    <w:p w:rsidR="00C328EC" w:rsidRDefault="00522C71" w:rsidP="008F3A01">
      <w:pPr>
        <w:spacing w:line="360" w:lineRule="auto"/>
        <w:jc w:val="both"/>
        <w:rPr>
          <w:lang w:val="en-IN"/>
        </w:rPr>
      </w:pPr>
      <w:r>
        <w:rPr>
          <w:lang w:val="en-IN"/>
        </w:rPr>
        <w:t>“</w:t>
      </w:r>
      <w:r w:rsidR="00920160" w:rsidRPr="00920160">
        <w:rPr>
          <w:lang w:val="en-IN"/>
        </w:rPr>
        <w:t>Renewable energy transmission by HVDC across the continent: system challenges and opportunities</w:t>
      </w:r>
      <w:r w:rsidR="00920160">
        <w:rPr>
          <w:lang w:val="en-IN"/>
        </w:rPr>
        <w:t>”</w:t>
      </w:r>
    </w:p>
    <w:p w:rsidR="00522C71" w:rsidRDefault="00F62CD8" w:rsidP="008F3A01">
      <w:pPr>
        <w:spacing w:line="360" w:lineRule="auto"/>
        <w:jc w:val="both"/>
        <w:rPr>
          <w:lang w:val="en-IN"/>
        </w:rPr>
      </w:pPr>
      <w:r w:rsidRPr="00F62CD8">
        <w:rPr>
          <w:lang w:val="en-IN"/>
        </w:rPr>
        <w:t>New framework hypotheses and advances are needed to help the turn of events and activity of a future network that depends increasingly more on power hardware.</w:t>
      </w:r>
    </w:p>
    <w:p w:rsidR="00065A0B" w:rsidRDefault="00065A0B" w:rsidP="008F3A01">
      <w:pPr>
        <w:spacing w:line="360" w:lineRule="auto"/>
        <w:jc w:val="both"/>
        <w:rPr>
          <w:lang w:val="en-IN"/>
        </w:rPr>
      </w:pPr>
    </w:p>
    <w:p w:rsidR="00E87577" w:rsidRPr="00E87577" w:rsidRDefault="00E87577" w:rsidP="00E87577">
      <w:pPr>
        <w:spacing w:line="360" w:lineRule="auto"/>
        <w:jc w:val="both"/>
        <w:rPr>
          <w:lang w:val="en-IN"/>
        </w:rPr>
      </w:pPr>
      <w:r w:rsidRPr="00E87577">
        <w:rPr>
          <w:lang w:val="en-IN"/>
        </w:rPr>
        <w:t xml:space="preserve">Luo C., Huang Y.F., and Gupta V. </w:t>
      </w:r>
    </w:p>
    <w:p w:rsidR="00065A0B" w:rsidRDefault="00E87577" w:rsidP="008F3A01">
      <w:pPr>
        <w:spacing w:line="360" w:lineRule="auto"/>
        <w:jc w:val="both"/>
        <w:rPr>
          <w:lang w:val="en-IN"/>
        </w:rPr>
      </w:pPr>
      <w:r>
        <w:rPr>
          <w:lang w:val="en-IN"/>
        </w:rPr>
        <w:t>“</w:t>
      </w:r>
      <w:r w:rsidRPr="00E87577">
        <w:rPr>
          <w:lang w:val="en-IN"/>
        </w:rPr>
        <w:t>Stochastic dynamic pricing for EV charging stations with renewable</w:t>
      </w:r>
      <w:r>
        <w:rPr>
          <w:lang w:val="en-IN"/>
        </w:rPr>
        <w:t xml:space="preserve"> integration and energy storage”</w:t>
      </w:r>
    </w:p>
    <w:p w:rsidR="00E87577" w:rsidRDefault="00013489" w:rsidP="008F3A01">
      <w:pPr>
        <w:spacing w:line="360" w:lineRule="auto"/>
        <w:jc w:val="both"/>
        <w:rPr>
          <w:lang w:val="en-IN"/>
        </w:rPr>
      </w:pPr>
      <w:r w:rsidRPr="00013489">
        <w:rPr>
          <w:lang w:val="en-IN"/>
        </w:rPr>
        <w:t>This paper concentrates on the issue of stochastic unique valuing and energy the executives strategy for electric vehicle (EV) charging specialist organizations.</w:t>
      </w:r>
    </w:p>
    <w:p w:rsidR="00013489" w:rsidRDefault="00013489" w:rsidP="00013489">
      <w:pPr>
        <w:spacing w:line="360" w:lineRule="auto"/>
        <w:jc w:val="both"/>
        <w:rPr>
          <w:lang w:val="en-IN"/>
        </w:rPr>
      </w:pPr>
    </w:p>
    <w:p w:rsidR="00013489" w:rsidRDefault="00013489" w:rsidP="00013489">
      <w:pPr>
        <w:spacing w:line="360" w:lineRule="auto"/>
        <w:jc w:val="both"/>
        <w:rPr>
          <w:lang w:val="en-IN"/>
        </w:rPr>
      </w:pPr>
    </w:p>
    <w:p w:rsidR="00013489" w:rsidRDefault="00013489" w:rsidP="00013489">
      <w:pPr>
        <w:spacing w:line="360" w:lineRule="auto"/>
        <w:jc w:val="both"/>
        <w:rPr>
          <w:lang w:val="en-IN"/>
        </w:rPr>
      </w:pPr>
    </w:p>
    <w:p w:rsidR="00013489" w:rsidRPr="00013489" w:rsidRDefault="00013489" w:rsidP="00013489">
      <w:pPr>
        <w:spacing w:line="360" w:lineRule="auto"/>
        <w:jc w:val="both"/>
        <w:rPr>
          <w:lang w:val="en-IN"/>
        </w:rPr>
      </w:pPr>
      <w:r w:rsidRPr="00013489">
        <w:rPr>
          <w:lang w:val="en-IN"/>
        </w:rPr>
        <w:lastRenderedPageBreak/>
        <w:t xml:space="preserve">Mohan V., Singh J.G., and Ongsakul W. </w:t>
      </w:r>
    </w:p>
    <w:p w:rsidR="00013489" w:rsidRDefault="00013489" w:rsidP="00013489">
      <w:pPr>
        <w:spacing w:line="360" w:lineRule="auto"/>
        <w:jc w:val="both"/>
        <w:rPr>
          <w:lang w:val="en-IN"/>
        </w:rPr>
      </w:pPr>
      <w:r>
        <w:rPr>
          <w:lang w:val="en-IN"/>
        </w:rPr>
        <w:t>“</w:t>
      </w:r>
      <w:r w:rsidRPr="00013489">
        <w:rPr>
          <w:lang w:val="en-IN"/>
        </w:rPr>
        <w:t>Sortino ratio based portfolio optimization considering EVs and renewable energy in microgrid power market</w:t>
      </w:r>
      <w:r>
        <w:rPr>
          <w:lang w:val="en-IN"/>
        </w:rPr>
        <w:t>”</w:t>
      </w:r>
    </w:p>
    <w:p w:rsidR="00013489" w:rsidRDefault="00013489" w:rsidP="00013489">
      <w:pPr>
        <w:spacing w:line="360" w:lineRule="auto"/>
        <w:jc w:val="both"/>
        <w:rPr>
          <w:lang w:val="en-IN"/>
        </w:rPr>
      </w:pPr>
      <w:r w:rsidRPr="00013489">
        <w:rPr>
          <w:lang w:val="en-IN"/>
        </w:rPr>
        <w:lastRenderedPageBreak/>
        <w:t>The benefit identifying with deterministic guage information of sustainable power and pre-dispatch data from the EV parking areas is considered as the danger free objective benefit.</w:t>
      </w:r>
    </w:p>
    <w:p w:rsidR="00013489" w:rsidRPr="000E43CA" w:rsidRDefault="00013489" w:rsidP="007D4C87">
      <w:pPr>
        <w:spacing w:line="360" w:lineRule="auto"/>
        <w:jc w:val="both"/>
        <w:rPr>
          <w:lang w:val="en-IN"/>
        </w:rPr>
        <w:sectPr w:rsidR="00013489" w:rsidRPr="000E43CA" w:rsidSect="00126A34">
          <w:type w:val="continuous"/>
          <w:pgSz w:w="11907" w:h="16839" w:code="9"/>
          <w:pgMar w:top="1620" w:right="686" w:bottom="2340" w:left="700" w:header="0" w:footer="0" w:gutter="0"/>
          <w:cols w:num="2" w:space="720"/>
          <w:docGrid w:linePitch="299"/>
        </w:sectPr>
      </w:pPr>
    </w:p>
    <w:p w:rsidR="00013489" w:rsidRDefault="00013489" w:rsidP="007D4C87">
      <w:pPr>
        <w:spacing w:line="360" w:lineRule="auto"/>
        <w:jc w:val="both"/>
        <w:rPr>
          <w:b/>
        </w:rPr>
      </w:pPr>
    </w:p>
    <w:p w:rsidR="004B752D" w:rsidRDefault="007D4C87" w:rsidP="007D4C87">
      <w:pPr>
        <w:spacing w:line="360" w:lineRule="auto"/>
        <w:jc w:val="both"/>
        <w:rPr>
          <w:b/>
        </w:rPr>
      </w:pPr>
      <w:r w:rsidRPr="00D26A5D">
        <w:rPr>
          <w:b/>
        </w:rPr>
        <w:t>5.SYSTEM ARCHITECTURE :</w:t>
      </w:r>
    </w:p>
    <w:p w:rsidR="00264D6E" w:rsidRPr="00D26A5D" w:rsidRDefault="00264D6E" w:rsidP="007D4C87">
      <w:pPr>
        <w:spacing w:line="360" w:lineRule="auto"/>
        <w:jc w:val="both"/>
        <w:rPr>
          <w:b/>
        </w:rPr>
      </w:pPr>
    </w:p>
    <w:p w:rsidR="007D4C87" w:rsidRPr="00D26A5D" w:rsidRDefault="00264D6E" w:rsidP="004B752D">
      <w:pPr>
        <w:jc w:val="center"/>
        <w:rPr>
          <w:rFonts w:eastAsia="Times New Roman"/>
          <w:b/>
          <w:bCs/>
          <w:sz w:val="24"/>
          <w:szCs w:val="24"/>
        </w:rPr>
        <w:sectPr w:rsidR="007D4C87" w:rsidRPr="00D26A5D" w:rsidSect="00455FE3">
          <w:type w:val="continuous"/>
          <w:pgSz w:w="11907" w:h="16839" w:code="9"/>
          <w:pgMar w:top="1620" w:right="686" w:bottom="2340" w:left="700" w:header="0" w:footer="0" w:gutter="0"/>
          <w:cols w:space="720"/>
          <w:docGrid w:linePitch="299"/>
        </w:sectPr>
      </w:pPr>
      <w:r w:rsidRPr="00264D6E">
        <w:rPr>
          <w:rFonts w:eastAsia="Times New Roman"/>
          <w:b/>
          <w:bCs/>
          <w:sz w:val="24"/>
          <w:szCs w:val="24"/>
        </w:rPr>
        <w:drawing>
          <wp:inline distT="0" distB="0" distL="0" distR="0">
            <wp:extent cx="5938865" cy="2085975"/>
            <wp:effectExtent l="19050" t="0" r="4735"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10"/>
                    <a:srcRect/>
                    <a:stretch>
                      <a:fillRect/>
                    </a:stretch>
                  </pic:blipFill>
                  <pic:spPr bwMode="auto">
                    <a:xfrm>
                      <a:off x="0" y="0"/>
                      <a:ext cx="5943600" cy="2087638"/>
                    </a:xfrm>
                    <a:prstGeom prst="rect">
                      <a:avLst/>
                    </a:prstGeom>
                    <a:noFill/>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264D6E" w:rsidRDefault="00F84BAD" w:rsidP="002D7B1E">
      <w:pPr>
        <w:spacing w:after="120" w:line="360" w:lineRule="auto"/>
        <w:jc w:val="both"/>
        <w:rPr>
          <w:bCs/>
          <w:szCs w:val="20"/>
        </w:rPr>
      </w:pPr>
      <w:r w:rsidRPr="00F84BAD">
        <w:rPr>
          <w:bCs/>
          <w:szCs w:val="20"/>
        </w:rPr>
        <w:t>The E-Vehicles are mostly utilized the DC-DC converter. The current framework, Evehicles are charging by utilizing the environmentally friendly power and 12V contribution to give the electric vehicles. Sun based energy acquired from the daylight and wind energy is creating from the speed of wind. DC-DC converter (Boost converter) is mostly utilizes in the electric vehicles which is utilized to further develop the voltage level. Battery is utilized to store the energy from the converter. Li-particle battery is utilized these vehicles which is one of the battery-powered battery and proficiently. This paper beat these issues and worked on the effectiveness of the E-vehicles.</w:t>
      </w:r>
    </w:p>
    <w:p w:rsidR="00F84BAD" w:rsidRDefault="00F84BAD"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lastRenderedPageBreak/>
        <w:t>7.DISADVANTAGE OF EXISTING SYSTEM:</w:t>
      </w:r>
    </w:p>
    <w:p w:rsidR="00BD266A" w:rsidRPr="000E4377" w:rsidRDefault="00BD266A" w:rsidP="002D7B1E">
      <w:pPr>
        <w:spacing w:after="120" w:line="360" w:lineRule="auto"/>
        <w:jc w:val="both"/>
        <w:rPr>
          <w:bCs/>
          <w:szCs w:val="20"/>
          <w:lang w:val="en-IN"/>
        </w:rPr>
      </w:pPr>
    </w:p>
    <w:p w:rsidR="00F84BAD" w:rsidRDefault="000E4377" w:rsidP="0092721B">
      <w:pPr>
        <w:spacing w:after="120" w:line="360" w:lineRule="auto"/>
        <w:jc w:val="both"/>
        <w:rPr>
          <w:bCs/>
          <w:szCs w:val="20"/>
        </w:rPr>
      </w:pPr>
      <w:r w:rsidRPr="000E4377">
        <w:rPr>
          <w:bCs/>
          <w:szCs w:val="20"/>
        </w:rPr>
        <w:t>An inconvenience of the lift converter is the chance of a short out at a higher obligation cycle. Both of the referenced converter strategies enjoying the ideal benefits and significant burdens according to their working mode, a blend of both may result in a streamlined topology.Using the forward converter rule in low information esteems and lift converter rule in higher info esteems, the info variety range issue is tackled. Few drawbacks are additionally connected with the proposed converter. To get the necessary result voltage, traditional converters are having constraint because of voltage worry about switches for a higher obligation. The issue is addressed up to a degree in this geography.</w:t>
      </w:r>
    </w:p>
    <w:p w:rsidR="000E4377" w:rsidRPr="000E4377" w:rsidRDefault="000E4377" w:rsidP="0092721B">
      <w:pPr>
        <w:spacing w:after="120" w:line="360" w:lineRule="auto"/>
        <w:jc w:val="both"/>
        <w:rPr>
          <w:bCs/>
          <w:szCs w:val="20"/>
        </w:rPr>
      </w:pPr>
    </w:p>
    <w:p w:rsidR="00867532" w:rsidRPr="00D26A5D" w:rsidRDefault="002D7B1E" w:rsidP="0092721B">
      <w:pPr>
        <w:spacing w:after="120" w:line="360" w:lineRule="auto"/>
        <w:jc w:val="both"/>
        <w:rPr>
          <w:b/>
          <w:szCs w:val="20"/>
        </w:rPr>
      </w:pPr>
      <w:r>
        <w:rPr>
          <w:b/>
          <w:szCs w:val="20"/>
        </w:rPr>
        <w:lastRenderedPageBreak/>
        <w:t>8</w:t>
      </w:r>
      <w:r w:rsidR="004B557E" w:rsidRPr="00D26A5D">
        <w:rPr>
          <w:b/>
          <w:szCs w:val="20"/>
        </w:rPr>
        <w:t>. PROPOSED METHODOLOGY</w:t>
      </w:r>
      <w:r w:rsidR="00867532" w:rsidRPr="00D26A5D">
        <w:rPr>
          <w:b/>
          <w:szCs w:val="20"/>
        </w:rPr>
        <w:t xml:space="preserve"> </w:t>
      </w:r>
    </w:p>
    <w:p w:rsidR="00011F88" w:rsidRDefault="00011F88" w:rsidP="002D7B1E">
      <w:pPr>
        <w:spacing w:after="120" w:line="360" w:lineRule="auto"/>
        <w:jc w:val="both"/>
        <w:rPr>
          <w:szCs w:val="20"/>
          <w:lang w:val="en-IN"/>
        </w:rPr>
      </w:pPr>
    </w:p>
    <w:p w:rsidR="000E4377" w:rsidRPr="00664588" w:rsidRDefault="00664588" w:rsidP="002D7B1E">
      <w:pPr>
        <w:spacing w:after="120" w:line="360" w:lineRule="auto"/>
        <w:jc w:val="both"/>
        <w:rPr>
          <w:lang w:val="en-IN"/>
        </w:rPr>
      </w:pPr>
      <w:r w:rsidRPr="00664588">
        <w:rPr>
          <w:lang w:val="en-IN"/>
        </w:rPr>
        <w:t>The proposed framework is to plan a compact gadget dependent on the Buck-Boost converter are utilized. As a principle source is gotten from the environmentally friendly power. This framework is particularly free of charge from contamination and over comes the inconveniences of existing framework. The sustainable power supply is consistently adaptable because of its climate reliance. For sun oriented based energy age, as per the sun powered illumination, the result voltage shifts. As the converter is taking contribution from the sustainable power source straightforwardly, the voltage level are further developed converter without anyone else. For medium power EV charging applications, the DC–DC converter circuit ought to enhance the information voltage to a higher worth.</w:t>
      </w:r>
    </w:p>
    <w:p w:rsidR="00664588" w:rsidRDefault="00664588" w:rsidP="002D7B1E">
      <w:pPr>
        <w:spacing w:after="120" w:line="360" w:lineRule="auto"/>
        <w:jc w:val="both"/>
        <w:rPr>
          <w:b/>
          <w:bCs/>
          <w:sz w:val="24"/>
          <w:lang w:val="en-IN"/>
        </w:rPr>
      </w:pPr>
    </w:p>
    <w:p w:rsidR="002D7B1E" w:rsidRPr="002171D3" w:rsidRDefault="002D7B1E" w:rsidP="002D7B1E">
      <w:pPr>
        <w:spacing w:after="120" w:line="360" w:lineRule="auto"/>
        <w:jc w:val="both"/>
        <w:rPr>
          <w:b/>
          <w:bCs/>
          <w:szCs w:val="20"/>
          <w:lang w:val="en-IN"/>
        </w:rPr>
      </w:pPr>
      <w:r w:rsidRPr="002171D3">
        <w:rPr>
          <w:b/>
          <w:bCs/>
          <w:szCs w:val="20"/>
          <w:lang w:val="en-IN"/>
        </w:rPr>
        <w:t>ADVANTAGE:</w:t>
      </w:r>
    </w:p>
    <w:p w:rsidR="00664588" w:rsidRDefault="00664588" w:rsidP="00011F88">
      <w:pPr>
        <w:autoSpaceDE w:val="0"/>
        <w:autoSpaceDN w:val="0"/>
        <w:adjustRightInd w:val="0"/>
        <w:spacing w:line="360" w:lineRule="auto"/>
        <w:jc w:val="both"/>
        <w:rPr>
          <w:rFonts w:eastAsia="Calibri"/>
        </w:rPr>
      </w:pPr>
    </w:p>
    <w:p w:rsidR="00011F88" w:rsidRPr="002171D3" w:rsidRDefault="002171D3" w:rsidP="002171D3">
      <w:pPr>
        <w:autoSpaceDE w:val="0"/>
        <w:autoSpaceDN w:val="0"/>
        <w:adjustRightInd w:val="0"/>
        <w:spacing w:line="360" w:lineRule="auto"/>
        <w:jc w:val="both"/>
        <w:rPr>
          <w:rFonts w:eastAsia="Calibri"/>
        </w:rPr>
      </w:pPr>
      <w:r w:rsidRPr="002171D3">
        <w:rPr>
          <w:rFonts w:eastAsia="Calibri"/>
        </w:rPr>
        <w:t>The upsides of the lift converter are the effortlessness of the circuit, high proficiency with low or medium obligation cycle and so forth The fundamental benefit of the forward converter is that the increases above and beneath solidarity can be accomplished simply by changing obligation and turns ratio. The benefits of the two converters united to get an exact and precise result. Later the testing of the proposed converter, different benefits can be formed over customary converters. While incorporating one converter with another, there ought not be a presentation struggle between the converters.</w:t>
      </w:r>
    </w:p>
    <w:p w:rsidR="002171D3" w:rsidRDefault="002171D3"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Pr="00EA1865" w:rsidRDefault="00152DE5" w:rsidP="00EA1865">
      <w:pPr>
        <w:autoSpaceDE w:val="0"/>
        <w:autoSpaceDN w:val="0"/>
        <w:adjustRightInd w:val="0"/>
        <w:spacing w:line="360" w:lineRule="auto"/>
        <w:jc w:val="both"/>
        <w:rPr>
          <w:rFonts w:eastAsia="Calibri"/>
        </w:rPr>
      </w:pPr>
      <w:r w:rsidRPr="00EA1865">
        <w:rPr>
          <w:rFonts w:eastAsia="Calibri"/>
        </w:rPr>
        <w:t>Lattice associated charging stations for electric vehicles are being supplanted by independent environmentally friendly power fueled charging stations because of network power quality impacts and the plentiful inventory of environmentally friendly power. In independent charging stations, the excess energy should be put away into a battery for inexhaustible source insufficient conditions. Since inexhaustible sources are profoundly powerful because of nature reliance, the plan of the battery charging circuit is a puzzle for specialists. As the information voltage is changing for a wide reach, the utilization of ordinary converters will bring about higher voltage worry about switches and decreased exchange effectiveness. To moderate the question, a plenty of converter plans were advanced, yet the change range – converter gain predicament supported well. As a key to the journey, this paper presents a straightforward lift forward half breed converter for an info voltage scope of 30–50 V. Utilizing the forward converter rule in low info esteems and lift converter guideline in higher information esteems, the information variety range issue is handled. The greatest in general productivity of 95.4% is accomplished in this reach for a 148 W cross breed converter model.</w:t>
      </w:r>
    </w:p>
    <w:p w:rsidR="002171D3" w:rsidRPr="00D26A5D" w:rsidRDefault="002171D3"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000000" w:rsidRPr="00AE781D" w:rsidRDefault="00D96E17" w:rsidP="00AE781D">
      <w:pPr>
        <w:spacing w:line="360" w:lineRule="auto"/>
        <w:jc w:val="both"/>
        <w:rPr>
          <w:lang w:val="en-IN"/>
        </w:rPr>
      </w:pPr>
      <w:r w:rsidRPr="00AE781D">
        <w:rPr>
          <w:lang w:val="en-IN"/>
        </w:rPr>
        <w:t>1.Leithon J., Lim T.J., and Sun S.: ‘ Cost-aware renewable energy management with application in cellular networks’, </w:t>
      </w:r>
      <w:r w:rsidRPr="00AE781D">
        <w:rPr>
          <w:lang w:val="en-IN"/>
        </w:rPr>
        <w:t>IEEE Trans. Green Commun. Ne</w:t>
      </w:r>
      <w:r w:rsidRPr="00AE781D">
        <w:rPr>
          <w:lang w:val="en-IN"/>
        </w:rPr>
        <w:t>tw.</w:t>
      </w:r>
      <w:r w:rsidRPr="00AE781D">
        <w:rPr>
          <w:lang w:val="en-IN"/>
        </w:rPr>
        <w:t>, 2018, 2, (1), pp. 316– 326.</w:t>
      </w:r>
    </w:p>
    <w:p w:rsidR="00AE781D" w:rsidRDefault="00AE781D" w:rsidP="00AE781D">
      <w:pPr>
        <w:spacing w:line="360" w:lineRule="auto"/>
        <w:jc w:val="both"/>
        <w:rPr>
          <w:lang w:val="en-IN"/>
        </w:rPr>
      </w:pPr>
    </w:p>
    <w:p w:rsidR="00000000" w:rsidRPr="00AE781D" w:rsidRDefault="00D96E17" w:rsidP="00AE781D">
      <w:pPr>
        <w:spacing w:line="360" w:lineRule="auto"/>
        <w:jc w:val="both"/>
        <w:rPr>
          <w:lang w:val="en-IN"/>
        </w:rPr>
      </w:pPr>
      <w:r w:rsidRPr="00AE781D">
        <w:rPr>
          <w:lang w:val="en-IN"/>
        </w:rPr>
        <w:t>2.Sun J., Li M., and Zhang Z. </w:t>
      </w:r>
      <w:r w:rsidRPr="00AE781D">
        <w:rPr>
          <w:lang w:val="en-IN"/>
        </w:rPr>
        <w:t>et al.</w:t>
      </w:r>
      <w:r w:rsidRPr="00AE781D">
        <w:rPr>
          <w:lang w:val="en-IN"/>
        </w:rPr>
        <w:t>: ‘ Renewable energy transmission by HVDC across the continent: system challenges and opportunities’, </w:t>
      </w:r>
      <w:r w:rsidRPr="00AE781D">
        <w:rPr>
          <w:lang w:val="en-IN"/>
        </w:rPr>
        <w:t>CSEE J. Power Energy Syst.</w:t>
      </w:r>
      <w:r w:rsidRPr="00AE781D">
        <w:rPr>
          <w:lang w:val="en-IN"/>
        </w:rPr>
        <w:t>, 2017, 3, (4), pp. 353– 364.</w:t>
      </w:r>
    </w:p>
    <w:p w:rsidR="00AE781D" w:rsidRDefault="00AE781D" w:rsidP="00AE781D">
      <w:pPr>
        <w:spacing w:line="360" w:lineRule="auto"/>
        <w:jc w:val="both"/>
        <w:rPr>
          <w:lang w:val="en-IN"/>
        </w:rPr>
      </w:pPr>
    </w:p>
    <w:p w:rsidR="00000000" w:rsidRPr="00AE781D" w:rsidRDefault="00D96E17" w:rsidP="00AE781D">
      <w:pPr>
        <w:spacing w:line="360" w:lineRule="auto"/>
        <w:jc w:val="both"/>
        <w:rPr>
          <w:lang w:val="en-IN"/>
        </w:rPr>
      </w:pPr>
      <w:r w:rsidRPr="00AE781D">
        <w:rPr>
          <w:lang w:val="en-IN"/>
        </w:rPr>
        <w:t>3.Luo C., Huang Y.F., and </w:t>
      </w:r>
      <w:r w:rsidRPr="00AE781D">
        <w:rPr>
          <w:lang w:val="en-IN"/>
        </w:rPr>
        <w:t>Gupta V.: ‘ Stochastic dynamic pricing for EV charging stations with renewable integration and energy storage’, </w:t>
      </w:r>
      <w:r w:rsidRPr="00AE781D">
        <w:rPr>
          <w:lang w:val="en-IN"/>
        </w:rPr>
        <w:t>IEEE Trans. Smart Grid</w:t>
      </w:r>
      <w:r w:rsidRPr="00AE781D">
        <w:rPr>
          <w:lang w:val="en-IN"/>
        </w:rPr>
        <w:t>, 2018, 9, (2), pp. 1494– 1505.</w:t>
      </w:r>
    </w:p>
    <w:p w:rsidR="00AE781D" w:rsidRDefault="00AE781D" w:rsidP="00AE781D">
      <w:pPr>
        <w:spacing w:line="360" w:lineRule="auto"/>
        <w:jc w:val="both"/>
        <w:rPr>
          <w:lang w:val="en-IN"/>
        </w:rPr>
      </w:pPr>
    </w:p>
    <w:p w:rsidR="00000000" w:rsidRPr="00AE781D" w:rsidRDefault="00D96E17" w:rsidP="00AE781D">
      <w:pPr>
        <w:spacing w:line="360" w:lineRule="auto"/>
        <w:jc w:val="both"/>
        <w:rPr>
          <w:lang w:val="en-IN"/>
        </w:rPr>
      </w:pPr>
      <w:r w:rsidRPr="00AE781D">
        <w:rPr>
          <w:lang w:val="en-IN"/>
        </w:rPr>
        <w:t>4.Mohan V., Singh J.G., and Ongsakul W.: ‘ Sortino ratio based portfolio optimization con</w:t>
      </w:r>
      <w:r w:rsidRPr="00AE781D">
        <w:rPr>
          <w:lang w:val="en-IN"/>
        </w:rPr>
        <w:t>sidering EVs and renewable energy in microgrid power market’, </w:t>
      </w:r>
      <w:r w:rsidRPr="00AE781D">
        <w:rPr>
          <w:lang w:val="en-IN"/>
        </w:rPr>
        <w:t>IEEE Trans. Sustain. Energy</w:t>
      </w:r>
      <w:r w:rsidRPr="00AE781D">
        <w:rPr>
          <w:lang w:val="en-IN"/>
        </w:rPr>
        <w:t>, 2017, 8, (1), pp. 219– 229.</w:t>
      </w:r>
    </w:p>
    <w:p w:rsidR="00AE781D" w:rsidRDefault="00AE781D" w:rsidP="00AE781D">
      <w:pPr>
        <w:spacing w:line="360" w:lineRule="auto"/>
        <w:jc w:val="both"/>
        <w:rPr>
          <w:lang w:val="en-IN"/>
        </w:rPr>
      </w:pPr>
    </w:p>
    <w:p w:rsidR="00000000" w:rsidRPr="00AE781D" w:rsidRDefault="00D96E17" w:rsidP="00AE781D">
      <w:pPr>
        <w:spacing w:line="360" w:lineRule="auto"/>
        <w:jc w:val="both"/>
        <w:rPr>
          <w:lang w:val="en-IN"/>
        </w:rPr>
      </w:pPr>
      <w:r w:rsidRPr="00AE781D">
        <w:rPr>
          <w:lang w:val="en-IN"/>
        </w:rPr>
        <w:t>5.Chen Q., Wang F., and Hodge B.M. </w:t>
      </w:r>
      <w:r w:rsidRPr="00AE781D">
        <w:rPr>
          <w:lang w:val="en-IN"/>
        </w:rPr>
        <w:t>et al.</w:t>
      </w:r>
      <w:r w:rsidRPr="00AE781D">
        <w:rPr>
          <w:lang w:val="en-IN"/>
        </w:rPr>
        <w:t>: ‘ Dynamic price vector formation model-based automatic demand response strategy for PV-assist</w:t>
      </w:r>
      <w:r w:rsidRPr="00AE781D">
        <w:rPr>
          <w:lang w:val="en-IN"/>
        </w:rPr>
        <w:t>ed EV charging stations’, </w:t>
      </w:r>
      <w:r w:rsidRPr="00AE781D">
        <w:rPr>
          <w:lang w:val="en-IN"/>
        </w:rPr>
        <w:t>IEEE Trans. Smart Grid</w:t>
      </w:r>
      <w:r w:rsidRPr="00AE781D">
        <w:rPr>
          <w:lang w:val="en-IN"/>
        </w:rPr>
        <w:t>, 2017, 8, (6), pp. 2903– 2915.</w:t>
      </w:r>
    </w:p>
    <w:p w:rsidR="00AE781D" w:rsidRDefault="00AE781D" w:rsidP="00AE781D">
      <w:pPr>
        <w:spacing w:line="360" w:lineRule="auto"/>
        <w:jc w:val="both"/>
        <w:rPr>
          <w:lang w:val="en-IN"/>
        </w:rPr>
      </w:pPr>
    </w:p>
    <w:p w:rsidR="00000000" w:rsidRPr="00AE781D" w:rsidRDefault="00D96E17" w:rsidP="00AE781D">
      <w:pPr>
        <w:spacing w:line="360" w:lineRule="auto"/>
        <w:jc w:val="both"/>
        <w:rPr>
          <w:lang w:val="en-IN"/>
        </w:rPr>
      </w:pPr>
      <w:r w:rsidRPr="00AE781D">
        <w:rPr>
          <w:lang w:val="en-IN"/>
        </w:rPr>
        <w:t>6.Chaudhari K., Ukil A., and Kumar K.N. et al.: ‘ Hybrid optimization for economic deployment of ESS in PV-integrated EV charging stations’, IEEE Trans. Ind. Inf., 2018, 14, (</w:t>
      </w:r>
      <w:r w:rsidRPr="00AE781D">
        <w:rPr>
          <w:lang w:val="en-IN"/>
        </w:rPr>
        <w:t>1), pp. 106– 116.</w:t>
      </w:r>
    </w:p>
    <w:p w:rsidR="00AE781D" w:rsidRDefault="00AE781D" w:rsidP="00AE781D">
      <w:pPr>
        <w:spacing w:line="360" w:lineRule="auto"/>
        <w:jc w:val="both"/>
        <w:rPr>
          <w:lang w:val="en-IN"/>
        </w:rPr>
      </w:pPr>
    </w:p>
    <w:p w:rsidR="00000000" w:rsidRPr="00AE781D" w:rsidRDefault="00D96E17" w:rsidP="00AE781D">
      <w:pPr>
        <w:spacing w:line="360" w:lineRule="auto"/>
        <w:jc w:val="both"/>
        <w:rPr>
          <w:lang w:val="en-IN"/>
        </w:rPr>
      </w:pPr>
      <w:r w:rsidRPr="00AE781D">
        <w:rPr>
          <w:lang w:val="en-IN"/>
        </w:rPr>
        <w:t>7.Pareek A., Singh P., and Rao P.N.: ‘ Analysis and comparison of charging time between battery and supercapacitor for 300 W stand-alone PV system’. Int. Conf. on Current Trends Towards Converging Technologies (ICCTCT), Tamilnadu, India,</w:t>
      </w:r>
      <w:r w:rsidRPr="00AE781D">
        <w:rPr>
          <w:lang w:val="en-IN"/>
        </w:rPr>
        <w:t> 2018, pp. 1– 6.</w:t>
      </w:r>
    </w:p>
    <w:p w:rsidR="00AE781D" w:rsidRDefault="00AE781D" w:rsidP="00AE781D">
      <w:pPr>
        <w:spacing w:line="360" w:lineRule="auto"/>
        <w:jc w:val="both"/>
        <w:rPr>
          <w:lang w:val="en-IN"/>
        </w:rPr>
      </w:pPr>
    </w:p>
    <w:p w:rsidR="00AE781D" w:rsidRDefault="00AE781D" w:rsidP="00AE781D">
      <w:pPr>
        <w:spacing w:line="360" w:lineRule="auto"/>
        <w:jc w:val="both"/>
        <w:rPr>
          <w:lang w:val="en-IN"/>
        </w:rPr>
      </w:pPr>
    </w:p>
    <w:p w:rsidR="00000000" w:rsidRPr="00AE781D" w:rsidRDefault="00D96E17" w:rsidP="00AE781D">
      <w:pPr>
        <w:spacing w:line="360" w:lineRule="auto"/>
        <w:jc w:val="both"/>
        <w:rPr>
          <w:lang w:val="en-IN"/>
        </w:rPr>
      </w:pPr>
      <w:r w:rsidRPr="00AE781D">
        <w:rPr>
          <w:lang w:val="en-IN"/>
        </w:rPr>
        <w:t>8.Feng R., Xu J., and Wu G.: ‘ Research on joint coordination control of stand-alone wind-solar systems with battery storage’. China Int. Conf. on Electricity Distribution (CICED), Tianjin, People's Republic of China, 2016, pp. 1– 6.</w:t>
      </w:r>
    </w:p>
    <w:p w:rsidR="00AE781D" w:rsidRDefault="00AE781D" w:rsidP="00AE781D">
      <w:pPr>
        <w:spacing w:line="360" w:lineRule="auto"/>
        <w:jc w:val="both"/>
        <w:rPr>
          <w:lang w:val="en-IN"/>
        </w:rPr>
      </w:pPr>
    </w:p>
    <w:p w:rsidR="00000000" w:rsidRPr="00AE781D" w:rsidRDefault="00D96E17" w:rsidP="00AE781D">
      <w:pPr>
        <w:spacing w:line="360" w:lineRule="auto"/>
        <w:jc w:val="both"/>
        <w:rPr>
          <w:lang w:val="en-IN"/>
        </w:rPr>
      </w:pPr>
      <w:r w:rsidRPr="00AE781D">
        <w:rPr>
          <w:lang w:val="en-IN"/>
        </w:rPr>
        <w:t>9.A</w:t>
      </w:r>
      <w:r w:rsidRPr="00AE781D">
        <w:rPr>
          <w:lang w:val="en-IN"/>
        </w:rPr>
        <w:t>manor-Boadu J., Sanchez-Sinencio E., and Asmah M.W.: ‘ A universal fast battery charging and management solution for stand-alone solar photovoltaic home systems in sub-saharan Africa’. IEEE PES PowerAfrica, Accra, Ghana, 2017, pp. 174– 179.</w:t>
      </w:r>
    </w:p>
    <w:p w:rsidR="00AE781D" w:rsidRDefault="00AE781D" w:rsidP="00AE781D">
      <w:pPr>
        <w:spacing w:line="360" w:lineRule="auto"/>
        <w:jc w:val="both"/>
        <w:rPr>
          <w:lang w:val="en-IN"/>
        </w:rPr>
      </w:pPr>
    </w:p>
    <w:p w:rsidR="00000000" w:rsidRPr="00AE781D" w:rsidRDefault="00D96E17" w:rsidP="00AE781D">
      <w:pPr>
        <w:spacing w:line="360" w:lineRule="auto"/>
        <w:jc w:val="both"/>
        <w:rPr>
          <w:lang w:val="en-IN"/>
        </w:rPr>
      </w:pPr>
      <w:r w:rsidRPr="00AE781D">
        <w:rPr>
          <w:lang w:val="en-IN"/>
        </w:rPr>
        <w:t>10.Zhou B., Xu</w:t>
      </w:r>
      <w:r w:rsidRPr="00AE781D">
        <w:rPr>
          <w:lang w:val="en-IN"/>
        </w:rPr>
        <w:t xml:space="preserve"> D., and Li C. et al.: ‘ Optimal scheduling of biogas-solar-wind renewable portfolio for multicarrier energy supplies’, IEEE Trans. Power Syst., 2018, 33, (6), pp. 6229– 6239.</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6E17" w:rsidRDefault="00D96E17" w:rsidP="00D57631">
      <w:r>
        <w:separator/>
      </w:r>
    </w:p>
  </w:endnote>
  <w:endnote w:type="continuationSeparator" w:id="1">
    <w:p w:rsidR="00D96E17" w:rsidRDefault="00D96E17"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A026F4">
        <w:pPr>
          <w:pStyle w:val="Footer"/>
          <w:jc w:val="center"/>
        </w:pPr>
        <w:fldSimple w:instr=" PAGE   \* MERGEFORMAT ">
          <w:r w:rsidR="00AE781D">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6E17" w:rsidRDefault="00D96E17" w:rsidP="00D57631">
      <w:r>
        <w:separator/>
      </w:r>
    </w:p>
  </w:footnote>
  <w:footnote w:type="continuationSeparator" w:id="1">
    <w:p w:rsidR="00D96E17" w:rsidRDefault="00D96E17"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2C54285"/>
    <w:multiLevelType w:val="hybridMultilevel"/>
    <w:tmpl w:val="673AA7B2"/>
    <w:lvl w:ilvl="0" w:tplc="F12A7A38">
      <w:start w:val="1"/>
      <w:numFmt w:val="bullet"/>
      <w:lvlText w:val=""/>
      <w:lvlJc w:val="left"/>
      <w:pPr>
        <w:tabs>
          <w:tab w:val="num" w:pos="720"/>
        </w:tabs>
        <w:ind w:left="720" w:hanging="360"/>
      </w:pPr>
      <w:rPr>
        <w:rFonts w:ascii="Wingdings 2" w:hAnsi="Wingdings 2" w:hint="default"/>
      </w:rPr>
    </w:lvl>
    <w:lvl w:ilvl="1" w:tplc="5D7272DA" w:tentative="1">
      <w:start w:val="1"/>
      <w:numFmt w:val="bullet"/>
      <w:lvlText w:val=""/>
      <w:lvlJc w:val="left"/>
      <w:pPr>
        <w:tabs>
          <w:tab w:val="num" w:pos="1440"/>
        </w:tabs>
        <w:ind w:left="1440" w:hanging="360"/>
      </w:pPr>
      <w:rPr>
        <w:rFonts w:ascii="Wingdings 2" w:hAnsi="Wingdings 2" w:hint="default"/>
      </w:rPr>
    </w:lvl>
    <w:lvl w:ilvl="2" w:tplc="BA1A0212" w:tentative="1">
      <w:start w:val="1"/>
      <w:numFmt w:val="bullet"/>
      <w:lvlText w:val=""/>
      <w:lvlJc w:val="left"/>
      <w:pPr>
        <w:tabs>
          <w:tab w:val="num" w:pos="2160"/>
        </w:tabs>
        <w:ind w:left="2160" w:hanging="360"/>
      </w:pPr>
      <w:rPr>
        <w:rFonts w:ascii="Wingdings 2" w:hAnsi="Wingdings 2" w:hint="default"/>
      </w:rPr>
    </w:lvl>
    <w:lvl w:ilvl="3" w:tplc="C2D87F58" w:tentative="1">
      <w:start w:val="1"/>
      <w:numFmt w:val="bullet"/>
      <w:lvlText w:val=""/>
      <w:lvlJc w:val="left"/>
      <w:pPr>
        <w:tabs>
          <w:tab w:val="num" w:pos="2880"/>
        </w:tabs>
        <w:ind w:left="2880" w:hanging="360"/>
      </w:pPr>
      <w:rPr>
        <w:rFonts w:ascii="Wingdings 2" w:hAnsi="Wingdings 2" w:hint="default"/>
      </w:rPr>
    </w:lvl>
    <w:lvl w:ilvl="4" w:tplc="C4628964" w:tentative="1">
      <w:start w:val="1"/>
      <w:numFmt w:val="bullet"/>
      <w:lvlText w:val=""/>
      <w:lvlJc w:val="left"/>
      <w:pPr>
        <w:tabs>
          <w:tab w:val="num" w:pos="3600"/>
        </w:tabs>
        <w:ind w:left="3600" w:hanging="360"/>
      </w:pPr>
      <w:rPr>
        <w:rFonts w:ascii="Wingdings 2" w:hAnsi="Wingdings 2" w:hint="default"/>
      </w:rPr>
    </w:lvl>
    <w:lvl w:ilvl="5" w:tplc="54F0E578" w:tentative="1">
      <w:start w:val="1"/>
      <w:numFmt w:val="bullet"/>
      <w:lvlText w:val=""/>
      <w:lvlJc w:val="left"/>
      <w:pPr>
        <w:tabs>
          <w:tab w:val="num" w:pos="4320"/>
        </w:tabs>
        <w:ind w:left="4320" w:hanging="360"/>
      </w:pPr>
      <w:rPr>
        <w:rFonts w:ascii="Wingdings 2" w:hAnsi="Wingdings 2" w:hint="default"/>
      </w:rPr>
    </w:lvl>
    <w:lvl w:ilvl="6" w:tplc="DF6E326C" w:tentative="1">
      <w:start w:val="1"/>
      <w:numFmt w:val="bullet"/>
      <w:lvlText w:val=""/>
      <w:lvlJc w:val="left"/>
      <w:pPr>
        <w:tabs>
          <w:tab w:val="num" w:pos="5040"/>
        </w:tabs>
        <w:ind w:left="5040" w:hanging="360"/>
      </w:pPr>
      <w:rPr>
        <w:rFonts w:ascii="Wingdings 2" w:hAnsi="Wingdings 2" w:hint="default"/>
      </w:rPr>
    </w:lvl>
    <w:lvl w:ilvl="7" w:tplc="D66A3228" w:tentative="1">
      <w:start w:val="1"/>
      <w:numFmt w:val="bullet"/>
      <w:lvlText w:val=""/>
      <w:lvlJc w:val="left"/>
      <w:pPr>
        <w:tabs>
          <w:tab w:val="num" w:pos="5760"/>
        </w:tabs>
        <w:ind w:left="5760" w:hanging="360"/>
      </w:pPr>
      <w:rPr>
        <w:rFonts w:ascii="Wingdings 2" w:hAnsi="Wingdings 2" w:hint="default"/>
      </w:rPr>
    </w:lvl>
    <w:lvl w:ilvl="8" w:tplc="8100732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7445AE"/>
    <w:multiLevelType w:val="hybridMultilevel"/>
    <w:tmpl w:val="D034F57A"/>
    <w:lvl w:ilvl="0" w:tplc="EE5E5158">
      <w:start w:val="1"/>
      <w:numFmt w:val="bullet"/>
      <w:lvlText w:val=""/>
      <w:lvlJc w:val="left"/>
      <w:pPr>
        <w:tabs>
          <w:tab w:val="num" w:pos="720"/>
        </w:tabs>
        <w:ind w:left="720" w:hanging="360"/>
      </w:pPr>
      <w:rPr>
        <w:rFonts w:ascii="Wingdings 2" w:hAnsi="Wingdings 2" w:hint="default"/>
      </w:rPr>
    </w:lvl>
    <w:lvl w:ilvl="1" w:tplc="05B40B88" w:tentative="1">
      <w:start w:val="1"/>
      <w:numFmt w:val="bullet"/>
      <w:lvlText w:val=""/>
      <w:lvlJc w:val="left"/>
      <w:pPr>
        <w:tabs>
          <w:tab w:val="num" w:pos="1440"/>
        </w:tabs>
        <w:ind w:left="1440" w:hanging="360"/>
      </w:pPr>
      <w:rPr>
        <w:rFonts w:ascii="Wingdings 2" w:hAnsi="Wingdings 2" w:hint="default"/>
      </w:rPr>
    </w:lvl>
    <w:lvl w:ilvl="2" w:tplc="CB58A8DA" w:tentative="1">
      <w:start w:val="1"/>
      <w:numFmt w:val="bullet"/>
      <w:lvlText w:val=""/>
      <w:lvlJc w:val="left"/>
      <w:pPr>
        <w:tabs>
          <w:tab w:val="num" w:pos="2160"/>
        </w:tabs>
        <w:ind w:left="2160" w:hanging="360"/>
      </w:pPr>
      <w:rPr>
        <w:rFonts w:ascii="Wingdings 2" w:hAnsi="Wingdings 2" w:hint="default"/>
      </w:rPr>
    </w:lvl>
    <w:lvl w:ilvl="3" w:tplc="3C4A5628" w:tentative="1">
      <w:start w:val="1"/>
      <w:numFmt w:val="bullet"/>
      <w:lvlText w:val=""/>
      <w:lvlJc w:val="left"/>
      <w:pPr>
        <w:tabs>
          <w:tab w:val="num" w:pos="2880"/>
        </w:tabs>
        <w:ind w:left="2880" w:hanging="360"/>
      </w:pPr>
      <w:rPr>
        <w:rFonts w:ascii="Wingdings 2" w:hAnsi="Wingdings 2" w:hint="default"/>
      </w:rPr>
    </w:lvl>
    <w:lvl w:ilvl="4" w:tplc="A1B29A20" w:tentative="1">
      <w:start w:val="1"/>
      <w:numFmt w:val="bullet"/>
      <w:lvlText w:val=""/>
      <w:lvlJc w:val="left"/>
      <w:pPr>
        <w:tabs>
          <w:tab w:val="num" w:pos="3600"/>
        </w:tabs>
        <w:ind w:left="3600" w:hanging="360"/>
      </w:pPr>
      <w:rPr>
        <w:rFonts w:ascii="Wingdings 2" w:hAnsi="Wingdings 2" w:hint="default"/>
      </w:rPr>
    </w:lvl>
    <w:lvl w:ilvl="5" w:tplc="55DC4646" w:tentative="1">
      <w:start w:val="1"/>
      <w:numFmt w:val="bullet"/>
      <w:lvlText w:val=""/>
      <w:lvlJc w:val="left"/>
      <w:pPr>
        <w:tabs>
          <w:tab w:val="num" w:pos="4320"/>
        </w:tabs>
        <w:ind w:left="4320" w:hanging="360"/>
      </w:pPr>
      <w:rPr>
        <w:rFonts w:ascii="Wingdings 2" w:hAnsi="Wingdings 2" w:hint="default"/>
      </w:rPr>
    </w:lvl>
    <w:lvl w:ilvl="6" w:tplc="82C8D6EE" w:tentative="1">
      <w:start w:val="1"/>
      <w:numFmt w:val="bullet"/>
      <w:lvlText w:val=""/>
      <w:lvlJc w:val="left"/>
      <w:pPr>
        <w:tabs>
          <w:tab w:val="num" w:pos="5040"/>
        </w:tabs>
        <w:ind w:left="5040" w:hanging="360"/>
      </w:pPr>
      <w:rPr>
        <w:rFonts w:ascii="Wingdings 2" w:hAnsi="Wingdings 2" w:hint="default"/>
      </w:rPr>
    </w:lvl>
    <w:lvl w:ilvl="7" w:tplc="2A2AE8AC" w:tentative="1">
      <w:start w:val="1"/>
      <w:numFmt w:val="bullet"/>
      <w:lvlText w:val=""/>
      <w:lvlJc w:val="left"/>
      <w:pPr>
        <w:tabs>
          <w:tab w:val="num" w:pos="5760"/>
        </w:tabs>
        <w:ind w:left="5760" w:hanging="360"/>
      </w:pPr>
      <w:rPr>
        <w:rFonts w:ascii="Wingdings 2" w:hAnsi="Wingdings 2" w:hint="default"/>
      </w:rPr>
    </w:lvl>
    <w:lvl w:ilvl="8" w:tplc="BE763908" w:tentative="1">
      <w:start w:val="1"/>
      <w:numFmt w:val="bullet"/>
      <w:lvlText w:val=""/>
      <w:lvlJc w:val="left"/>
      <w:pPr>
        <w:tabs>
          <w:tab w:val="num" w:pos="6480"/>
        </w:tabs>
        <w:ind w:left="6480" w:hanging="360"/>
      </w:pPr>
      <w:rPr>
        <w:rFonts w:ascii="Wingdings 2" w:hAnsi="Wingdings 2" w:hint="default"/>
      </w:rPr>
    </w:lvl>
  </w:abstractNum>
  <w:abstractNum w:abstractNumId="19">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1">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4">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5">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5"/>
  </w:num>
  <w:num w:numId="8">
    <w:abstractNumId w:val="10"/>
  </w:num>
  <w:num w:numId="9">
    <w:abstractNumId w:val="21"/>
  </w:num>
  <w:num w:numId="10">
    <w:abstractNumId w:val="22"/>
  </w:num>
  <w:num w:numId="11">
    <w:abstractNumId w:val="17"/>
  </w:num>
  <w:num w:numId="12">
    <w:abstractNumId w:val="16"/>
  </w:num>
  <w:num w:numId="13">
    <w:abstractNumId w:val="7"/>
  </w:num>
  <w:num w:numId="14">
    <w:abstractNumId w:val="19"/>
  </w:num>
  <w:num w:numId="15">
    <w:abstractNumId w:val="12"/>
  </w:num>
  <w:num w:numId="16">
    <w:abstractNumId w:val="24"/>
  </w:num>
  <w:num w:numId="17">
    <w:abstractNumId w:val="13"/>
  </w:num>
  <w:num w:numId="18">
    <w:abstractNumId w:val="6"/>
  </w:num>
  <w:num w:numId="19">
    <w:abstractNumId w:val="23"/>
  </w:num>
  <w:num w:numId="20">
    <w:abstractNumId w:val="25"/>
  </w:num>
  <w:num w:numId="21">
    <w:abstractNumId w:val="11"/>
  </w:num>
  <w:num w:numId="22">
    <w:abstractNumId w:val="9"/>
  </w:num>
  <w:num w:numId="23">
    <w:abstractNumId w:val="20"/>
  </w:num>
  <w:num w:numId="24">
    <w:abstractNumId w:val="5"/>
  </w:num>
  <w:num w:numId="25">
    <w:abstractNumId w:val="14"/>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13489"/>
    <w:rsid w:val="00026CE5"/>
    <w:rsid w:val="000444EA"/>
    <w:rsid w:val="000515F5"/>
    <w:rsid w:val="00054858"/>
    <w:rsid w:val="0005620C"/>
    <w:rsid w:val="00065A0B"/>
    <w:rsid w:val="00070B1E"/>
    <w:rsid w:val="00076A22"/>
    <w:rsid w:val="00094DAD"/>
    <w:rsid w:val="000A0BFD"/>
    <w:rsid w:val="000A3858"/>
    <w:rsid w:val="000B25E4"/>
    <w:rsid w:val="000B3011"/>
    <w:rsid w:val="000D7EDC"/>
    <w:rsid w:val="000E4377"/>
    <w:rsid w:val="000E43CA"/>
    <w:rsid w:val="00100420"/>
    <w:rsid w:val="0010738E"/>
    <w:rsid w:val="00120718"/>
    <w:rsid w:val="00123347"/>
    <w:rsid w:val="00126A34"/>
    <w:rsid w:val="00127CB7"/>
    <w:rsid w:val="00134CE3"/>
    <w:rsid w:val="00152DE5"/>
    <w:rsid w:val="00173B6E"/>
    <w:rsid w:val="001C3B54"/>
    <w:rsid w:val="001D67F4"/>
    <w:rsid w:val="001F3C11"/>
    <w:rsid w:val="001F6F30"/>
    <w:rsid w:val="001F7AEF"/>
    <w:rsid w:val="00205856"/>
    <w:rsid w:val="002171D3"/>
    <w:rsid w:val="00251117"/>
    <w:rsid w:val="00264D6E"/>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417DC"/>
    <w:rsid w:val="004523CE"/>
    <w:rsid w:val="00455FE3"/>
    <w:rsid w:val="0047329A"/>
    <w:rsid w:val="00492C1F"/>
    <w:rsid w:val="004A66F3"/>
    <w:rsid w:val="004B557E"/>
    <w:rsid w:val="004B752D"/>
    <w:rsid w:val="0050504C"/>
    <w:rsid w:val="005078A8"/>
    <w:rsid w:val="005079FD"/>
    <w:rsid w:val="00513A4B"/>
    <w:rsid w:val="005218E3"/>
    <w:rsid w:val="00522C71"/>
    <w:rsid w:val="00547F62"/>
    <w:rsid w:val="005660B8"/>
    <w:rsid w:val="005850F5"/>
    <w:rsid w:val="00591146"/>
    <w:rsid w:val="00597B41"/>
    <w:rsid w:val="005D1361"/>
    <w:rsid w:val="005D303E"/>
    <w:rsid w:val="006122C4"/>
    <w:rsid w:val="00626889"/>
    <w:rsid w:val="00627B93"/>
    <w:rsid w:val="006308D1"/>
    <w:rsid w:val="00635A5D"/>
    <w:rsid w:val="00640D21"/>
    <w:rsid w:val="00641CDD"/>
    <w:rsid w:val="00656C23"/>
    <w:rsid w:val="00664588"/>
    <w:rsid w:val="006647FD"/>
    <w:rsid w:val="00675AF5"/>
    <w:rsid w:val="006A2FBE"/>
    <w:rsid w:val="006B52E4"/>
    <w:rsid w:val="006C13D3"/>
    <w:rsid w:val="006C4540"/>
    <w:rsid w:val="006E0D63"/>
    <w:rsid w:val="006E5EE2"/>
    <w:rsid w:val="006F0229"/>
    <w:rsid w:val="006F1E5D"/>
    <w:rsid w:val="0071355D"/>
    <w:rsid w:val="0077084E"/>
    <w:rsid w:val="007859EB"/>
    <w:rsid w:val="0079463B"/>
    <w:rsid w:val="007D4C87"/>
    <w:rsid w:val="007E7D56"/>
    <w:rsid w:val="007F16F2"/>
    <w:rsid w:val="008077AA"/>
    <w:rsid w:val="00826757"/>
    <w:rsid w:val="00831639"/>
    <w:rsid w:val="00835F4E"/>
    <w:rsid w:val="00837638"/>
    <w:rsid w:val="008430BC"/>
    <w:rsid w:val="00853A86"/>
    <w:rsid w:val="00855123"/>
    <w:rsid w:val="00867532"/>
    <w:rsid w:val="008727F7"/>
    <w:rsid w:val="00890E88"/>
    <w:rsid w:val="008D06DD"/>
    <w:rsid w:val="008E3998"/>
    <w:rsid w:val="008E6626"/>
    <w:rsid w:val="008F3A01"/>
    <w:rsid w:val="008F753B"/>
    <w:rsid w:val="00902509"/>
    <w:rsid w:val="00920160"/>
    <w:rsid w:val="00923626"/>
    <w:rsid w:val="00923913"/>
    <w:rsid w:val="0092721B"/>
    <w:rsid w:val="009346F5"/>
    <w:rsid w:val="00950A8C"/>
    <w:rsid w:val="00960283"/>
    <w:rsid w:val="009634DE"/>
    <w:rsid w:val="00971B3A"/>
    <w:rsid w:val="00971D50"/>
    <w:rsid w:val="00975110"/>
    <w:rsid w:val="009D5A27"/>
    <w:rsid w:val="009D5A4D"/>
    <w:rsid w:val="009F73D0"/>
    <w:rsid w:val="00A026F4"/>
    <w:rsid w:val="00A0617D"/>
    <w:rsid w:val="00A06BDE"/>
    <w:rsid w:val="00A1174B"/>
    <w:rsid w:val="00A11874"/>
    <w:rsid w:val="00A2476E"/>
    <w:rsid w:val="00A269F8"/>
    <w:rsid w:val="00A45621"/>
    <w:rsid w:val="00A50C8B"/>
    <w:rsid w:val="00A62DBC"/>
    <w:rsid w:val="00A73A46"/>
    <w:rsid w:val="00AC49FB"/>
    <w:rsid w:val="00AC7573"/>
    <w:rsid w:val="00AC7F62"/>
    <w:rsid w:val="00AD3B42"/>
    <w:rsid w:val="00AD5E6C"/>
    <w:rsid w:val="00AE2058"/>
    <w:rsid w:val="00AE21EE"/>
    <w:rsid w:val="00AE29DA"/>
    <w:rsid w:val="00AE781D"/>
    <w:rsid w:val="00B04CB3"/>
    <w:rsid w:val="00B55012"/>
    <w:rsid w:val="00B608E9"/>
    <w:rsid w:val="00B67DCE"/>
    <w:rsid w:val="00BB1627"/>
    <w:rsid w:val="00BC7A95"/>
    <w:rsid w:val="00BD266A"/>
    <w:rsid w:val="00C00248"/>
    <w:rsid w:val="00C0750F"/>
    <w:rsid w:val="00C16E79"/>
    <w:rsid w:val="00C2352C"/>
    <w:rsid w:val="00C328EC"/>
    <w:rsid w:val="00C36E04"/>
    <w:rsid w:val="00C579FA"/>
    <w:rsid w:val="00C71CF2"/>
    <w:rsid w:val="00C7689C"/>
    <w:rsid w:val="00CA2999"/>
    <w:rsid w:val="00CB2C83"/>
    <w:rsid w:val="00CC128C"/>
    <w:rsid w:val="00CE0DF3"/>
    <w:rsid w:val="00CE270D"/>
    <w:rsid w:val="00CE47AC"/>
    <w:rsid w:val="00CF5C56"/>
    <w:rsid w:val="00D26A5D"/>
    <w:rsid w:val="00D3113F"/>
    <w:rsid w:val="00D36F8D"/>
    <w:rsid w:val="00D43869"/>
    <w:rsid w:val="00D537AE"/>
    <w:rsid w:val="00D57631"/>
    <w:rsid w:val="00D63F69"/>
    <w:rsid w:val="00D67A72"/>
    <w:rsid w:val="00D70B3A"/>
    <w:rsid w:val="00D96E17"/>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87577"/>
    <w:rsid w:val="00EA1865"/>
    <w:rsid w:val="00EA41FD"/>
    <w:rsid w:val="00EA4AD0"/>
    <w:rsid w:val="00ED531F"/>
    <w:rsid w:val="00ED5A9F"/>
    <w:rsid w:val="00F24D98"/>
    <w:rsid w:val="00F62CD8"/>
    <w:rsid w:val="00F75B7B"/>
    <w:rsid w:val="00F84BAD"/>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92828719">
      <w:bodyDiv w:val="1"/>
      <w:marLeft w:val="0"/>
      <w:marRight w:val="0"/>
      <w:marTop w:val="0"/>
      <w:marBottom w:val="0"/>
      <w:divBdr>
        <w:top w:val="none" w:sz="0" w:space="0" w:color="auto"/>
        <w:left w:val="none" w:sz="0" w:space="0" w:color="auto"/>
        <w:bottom w:val="none" w:sz="0" w:space="0" w:color="auto"/>
        <w:right w:val="none" w:sz="0" w:space="0" w:color="auto"/>
      </w:divBdr>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439766874">
      <w:bodyDiv w:val="1"/>
      <w:marLeft w:val="0"/>
      <w:marRight w:val="0"/>
      <w:marTop w:val="0"/>
      <w:marBottom w:val="0"/>
      <w:divBdr>
        <w:top w:val="none" w:sz="0" w:space="0" w:color="auto"/>
        <w:left w:val="none" w:sz="0" w:space="0" w:color="auto"/>
        <w:bottom w:val="none" w:sz="0" w:space="0" w:color="auto"/>
        <w:right w:val="none" w:sz="0" w:space="0" w:color="auto"/>
      </w:divBdr>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682708050">
      <w:bodyDiv w:val="1"/>
      <w:marLeft w:val="0"/>
      <w:marRight w:val="0"/>
      <w:marTop w:val="0"/>
      <w:marBottom w:val="0"/>
      <w:divBdr>
        <w:top w:val="none" w:sz="0" w:space="0" w:color="auto"/>
        <w:left w:val="none" w:sz="0" w:space="0" w:color="auto"/>
        <w:bottom w:val="none" w:sz="0" w:space="0" w:color="auto"/>
        <w:right w:val="none" w:sz="0" w:space="0" w:color="auto"/>
      </w:divBdr>
      <w:divsChild>
        <w:div w:id="799104328">
          <w:marLeft w:val="576"/>
          <w:marRight w:val="0"/>
          <w:marTop w:val="120"/>
          <w:marBottom w:val="0"/>
          <w:divBdr>
            <w:top w:val="none" w:sz="0" w:space="0" w:color="auto"/>
            <w:left w:val="none" w:sz="0" w:space="0" w:color="auto"/>
            <w:bottom w:val="none" w:sz="0" w:space="0" w:color="auto"/>
            <w:right w:val="none" w:sz="0" w:space="0" w:color="auto"/>
          </w:divBdr>
        </w:div>
        <w:div w:id="972949671">
          <w:marLeft w:val="576"/>
          <w:marRight w:val="0"/>
          <w:marTop w:val="120"/>
          <w:marBottom w:val="0"/>
          <w:divBdr>
            <w:top w:val="none" w:sz="0" w:space="0" w:color="auto"/>
            <w:left w:val="none" w:sz="0" w:space="0" w:color="auto"/>
            <w:bottom w:val="none" w:sz="0" w:space="0" w:color="auto"/>
            <w:right w:val="none" w:sz="0" w:space="0" w:color="auto"/>
          </w:divBdr>
        </w:div>
        <w:div w:id="1969847713">
          <w:marLeft w:val="576"/>
          <w:marRight w:val="0"/>
          <w:marTop w:val="120"/>
          <w:marBottom w:val="0"/>
          <w:divBdr>
            <w:top w:val="none" w:sz="0" w:space="0" w:color="auto"/>
            <w:left w:val="none" w:sz="0" w:space="0" w:color="auto"/>
            <w:bottom w:val="none" w:sz="0" w:space="0" w:color="auto"/>
            <w:right w:val="none" w:sz="0" w:space="0" w:color="auto"/>
          </w:divBdr>
        </w:div>
        <w:div w:id="695616548">
          <w:marLeft w:val="576"/>
          <w:marRight w:val="0"/>
          <w:marTop w:val="120"/>
          <w:marBottom w:val="0"/>
          <w:divBdr>
            <w:top w:val="none" w:sz="0" w:space="0" w:color="auto"/>
            <w:left w:val="none" w:sz="0" w:space="0" w:color="auto"/>
            <w:bottom w:val="none" w:sz="0" w:space="0" w:color="auto"/>
            <w:right w:val="none" w:sz="0" w:space="0" w:color="auto"/>
          </w:divBdr>
        </w:div>
        <w:div w:id="1134710594">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986012365">
      <w:bodyDiv w:val="1"/>
      <w:marLeft w:val="0"/>
      <w:marRight w:val="0"/>
      <w:marTop w:val="0"/>
      <w:marBottom w:val="0"/>
      <w:divBdr>
        <w:top w:val="none" w:sz="0" w:space="0" w:color="auto"/>
        <w:left w:val="none" w:sz="0" w:space="0" w:color="auto"/>
        <w:bottom w:val="none" w:sz="0" w:space="0" w:color="auto"/>
        <w:right w:val="none" w:sz="0" w:space="0" w:color="auto"/>
      </w:divBdr>
    </w:div>
    <w:div w:id="1042824381">
      <w:bodyDiv w:val="1"/>
      <w:marLeft w:val="0"/>
      <w:marRight w:val="0"/>
      <w:marTop w:val="0"/>
      <w:marBottom w:val="0"/>
      <w:divBdr>
        <w:top w:val="none" w:sz="0" w:space="0" w:color="auto"/>
        <w:left w:val="none" w:sz="0" w:space="0" w:color="auto"/>
        <w:bottom w:val="none" w:sz="0" w:space="0" w:color="auto"/>
        <w:right w:val="none" w:sz="0" w:space="0" w:color="auto"/>
      </w:divBdr>
      <w:divsChild>
        <w:div w:id="1096437323">
          <w:marLeft w:val="576"/>
          <w:marRight w:val="0"/>
          <w:marTop w:val="120"/>
          <w:marBottom w:val="0"/>
          <w:divBdr>
            <w:top w:val="none" w:sz="0" w:space="0" w:color="auto"/>
            <w:left w:val="none" w:sz="0" w:space="0" w:color="auto"/>
            <w:bottom w:val="none" w:sz="0" w:space="0" w:color="auto"/>
            <w:right w:val="none" w:sz="0" w:space="0" w:color="auto"/>
          </w:divBdr>
        </w:div>
        <w:div w:id="839471252">
          <w:marLeft w:val="576"/>
          <w:marRight w:val="0"/>
          <w:marTop w:val="120"/>
          <w:marBottom w:val="0"/>
          <w:divBdr>
            <w:top w:val="none" w:sz="0" w:space="0" w:color="auto"/>
            <w:left w:val="none" w:sz="0" w:space="0" w:color="auto"/>
            <w:bottom w:val="none" w:sz="0" w:space="0" w:color="auto"/>
            <w:right w:val="none" w:sz="0" w:space="0" w:color="auto"/>
          </w:divBdr>
        </w:div>
        <w:div w:id="1859542998">
          <w:marLeft w:val="576"/>
          <w:marRight w:val="0"/>
          <w:marTop w:val="120"/>
          <w:marBottom w:val="0"/>
          <w:divBdr>
            <w:top w:val="none" w:sz="0" w:space="0" w:color="auto"/>
            <w:left w:val="none" w:sz="0" w:space="0" w:color="auto"/>
            <w:bottom w:val="none" w:sz="0" w:space="0" w:color="auto"/>
            <w:right w:val="none" w:sz="0" w:space="0" w:color="auto"/>
          </w:divBdr>
        </w:div>
        <w:div w:id="918246391">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364551128">
      <w:bodyDiv w:val="1"/>
      <w:marLeft w:val="0"/>
      <w:marRight w:val="0"/>
      <w:marTop w:val="0"/>
      <w:marBottom w:val="0"/>
      <w:divBdr>
        <w:top w:val="none" w:sz="0" w:space="0" w:color="auto"/>
        <w:left w:val="none" w:sz="0" w:space="0" w:color="auto"/>
        <w:bottom w:val="none" w:sz="0" w:space="0" w:color="auto"/>
        <w:right w:val="none" w:sz="0" w:space="0" w:color="auto"/>
      </w:divBdr>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653866893">
      <w:bodyDiv w:val="1"/>
      <w:marLeft w:val="0"/>
      <w:marRight w:val="0"/>
      <w:marTop w:val="0"/>
      <w:marBottom w:val="0"/>
      <w:divBdr>
        <w:top w:val="none" w:sz="0" w:space="0" w:color="auto"/>
        <w:left w:val="none" w:sz="0" w:space="0" w:color="auto"/>
        <w:bottom w:val="none" w:sz="0" w:space="0" w:color="auto"/>
        <w:right w:val="none" w:sz="0" w:space="0" w:color="auto"/>
      </w:divBdr>
    </w:div>
    <w:div w:id="1690326122">
      <w:bodyDiv w:val="1"/>
      <w:marLeft w:val="0"/>
      <w:marRight w:val="0"/>
      <w:marTop w:val="0"/>
      <w:marBottom w:val="0"/>
      <w:divBdr>
        <w:top w:val="none" w:sz="0" w:space="0" w:color="auto"/>
        <w:left w:val="none" w:sz="0" w:space="0" w:color="auto"/>
        <w:bottom w:val="none" w:sz="0" w:space="0" w:color="auto"/>
        <w:right w:val="none" w:sz="0" w:space="0" w:color="auto"/>
      </w:divBdr>
    </w:div>
    <w:div w:id="1690639719">
      <w:bodyDiv w:val="1"/>
      <w:marLeft w:val="0"/>
      <w:marRight w:val="0"/>
      <w:marTop w:val="0"/>
      <w:marBottom w:val="0"/>
      <w:divBdr>
        <w:top w:val="none" w:sz="0" w:space="0" w:color="auto"/>
        <w:left w:val="none" w:sz="0" w:space="0" w:color="auto"/>
        <w:bottom w:val="none" w:sz="0" w:space="0" w:color="auto"/>
        <w:right w:val="none" w:sz="0" w:space="0" w:color="auto"/>
      </w:divBdr>
    </w:div>
    <w:div w:id="170590659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30767949">
      <w:bodyDiv w:val="1"/>
      <w:marLeft w:val="0"/>
      <w:marRight w:val="0"/>
      <w:marTop w:val="0"/>
      <w:marBottom w:val="0"/>
      <w:divBdr>
        <w:top w:val="none" w:sz="0" w:space="0" w:color="auto"/>
        <w:left w:val="none" w:sz="0" w:space="0" w:color="auto"/>
        <w:bottom w:val="none" w:sz="0" w:space="0" w:color="auto"/>
        <w:right w:val="none" w:sz="0" w:space="0" w:color="auto"/>
      </w:divBdr>
      <w:divsChild>
        <w:div w:id="544831272">
          <w:marLeft w:val="576"/>
          <w:marRight w:val="0"/>
          <w:marTop w:val="120"/>
          <w:marBottom w:val="0"/>
          <w:divBdr>
            <w:top w:val="none" w:sz="0" w:space="0" w:color="auto"/>
            <w:left w:val="none" w:sz="0" w:space="0" w:color="auto"/>
            <w:bottom w:val="none" w:sz="0" w:space="0" w:color="auto"/>
            <w:right w:val="none" w:sz="0" w:space="0" w:color="auto"/>
          </w:divBdr>
        </w:div>
        <w:div w:id="1683118372">
          <w:marLeft w:val="576"/>
          <w:marRight w:val="0"/>
          <w:marTop w:val="120"/>
          <w:marBottom w:val="0"/>
          <w:divBdr>
            <w:top w:val="none" w:sz="0" w:space="0" w:color="auto"/>
            <w:left w:val="none" w:sz="0" w:space="0" w:color="auto"/>
            <w:bottom w:val="none" w:sz="0" w:space="0" w:color="auto"/>
            <w:right w:val="none" w:sz="0" w:space="0" w:color="auto"/>
          </w:divBdr>
        </w:div>
        <w:div w:id="1749645763">
          <w:marLeft w:val="576"/>
          <w:marRight w:val="0"/>
          <w:marTop w:val="120"/>
          <w:marBottom w:val="0"/>
          <w:divBdr>
            <w:top w:val="none" w:sz="0" w:space="0" w:color="auto"/>
            <w:left w:val="none" w:sz="0" w:space="0" w:color="auto"/>
            <w:bottom w:val="none" w:sz="0" w:space="0" w:color="auto"/>
            <w:right w:val="none" w:sz="0" w:space="0" w:color="auto"/>
          </w:divBdr>
        </w:div>
        <w:div w:id="1698120911">
          <w:marLeft w:val="576"/>
          <w:marRight w:val="0"/>
          <w:marTop w:val="120"/>
          <w:marBottom w:val="0"/>
          <w:divBdr>
            <w:top w:val="none" w:sz="0" w:space="0" w:color="auto"/>
            <w:left w:val="none" w:sz="0" w:space="0" w:color="auto"/>
            <w:bottom w:val="none" w:sz="0" w:space="0" w:color="auto"/>
            <w:right w:val="none" w:sz="0" w:space="0" w:color="auto"/>
          </w:divBdr>
        </w:div>
        <w:div w:id="1189103370">
          <w:marLeft w:val="576"/>
          <w:marRight w:val="0"/>
          <w:marTop w:val="120"/>
          <w:marBottom w:val="0"/>
          <w:divBdr>
            <w:top w:val="none" w:sz="0" w:space="0" w:color="auto"/>
            <w:left w:val="none" w:sz="0" w:space="0" w:color="auto"/>
            <w:bottom w:val="none" w:sz="0" w:space="0" w:color="auto"/>
            <w:right w:val="none" w:sz="0" w:space="0" w:color="auto"/>
          </w:divBdr>
        </w:div>
      </w:divsChild>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5</Pages>
  <Words>1860</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151</cp:revision>
  <cp:lastPrinted>2019-10-22T13:18:00Z</cp:lastPrinted>
  <dcterms:created xsi:type="dcterms:W3CDTF">2019-10-19T01:55:00Z</dcterms:created>
  <dcterms:modified xsi:type="dcterms:W3CDTF">2021-12-18T08:39:00Z</dcterms:modified>
</cp:coreProperties>
</file>