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27F2" w:rsidRDefault="00EE27F2" w:rsidP="00E53AA4">
      <w:pPr>
        <w:spacing w:line="360" w:lineRule="auto"/>
        <w:jc w:val="both"/>
        <w:rPr>
          <w:rFonts w:ascii="Times New Roman" w:hAnsi="Times New Roman" w:cs="Times New Roman"/>
          <w:b/>
          <w:sz w:val="28"/>
          <w:szCs w:val="28"/>
        </w:rPr>
      </w:pPr>
    </w:p>
    <w:p w:rsidR="00EF7967" w:rsidRDefault="00EF7967"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EF7967" w:rsidRDefault="00EF7967" w:rsidP="00E53AA4">
      <w:pPr>
        <w:spacing w:line="360" w:lineRule="auto"/>
        <w:jc w:val="both"/>
        <w:rPr>
          <w:rFonts w:ascii="Times New Roman" w:hAnsi="Times New Roman" w:cs="Times New Roman"/>
          <w:b/>
          <w:sz w:val="40"/>
          <w:szCs w:val="40"/>
        </w:rPr>
      </w:pPr>
    </w:p>
    <w:p w:rsidR="00CF3C1B" w:rsidRPr="00EF7967" w:rsidRDefault="00EF7967" w:rsidP="00DC0EDF">
      <w:pPr>
        <w:spacing w:line="360" w:lineRule="auto"/>
        <w:jc w:val="center"/>
        <w:rPr>
          <w:rFonts w:ascii="Times New Roman" w:hAnsi="Times New Roman" w:cs="Times New Roman"/>
          <w:b/>
          <w:bCs/>
          <w:sz w:val="52"/>
          <w:szCs w:val="52"/>
        </w:rPr>
      </w:pPr>
      <w:r w:rsidRPr="00EF7967">
        <w:rPr>
          <w:rFonts w:ascii="Times New Roman" w:hAnsi="Times New Roman" w:cs="Times New Roman"/>
          <w:b/>
          <w:bCs/>
          <w:sz w:val="52"/>
          <w:szCs w:val="52"/>
        </w:rPr>
        <w:t>Design of hybrid forward boost converter for renewable energy powered electric vehicle charging applications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F7967" w:rsidRDefault="00EF7967" w:rsidP="00E53AA4">
      <w:pPr>
        <w:spacing w:line="360" w:lineRule="auto"/>
        <w:jc w:val="both"/>
        <w:rPr>
          <w:rFonts w:ascii="Times New Roman" w:hAnsi="Times New Roman" w:cs="Times New Roman"/>
          <w:b/>
          <w:sz w:val="44"/>
          <w:szCs w:val="44"/>
        </w:rPr>
      </w:pPr>
    </w:p>
    <w:p w:rsidR="00EF7967" w:rsidRDefault="00EF796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AF420D" w:rsidRPr="00AF420D" w:rsidRDefault="00AF420D" w:rsidP="00AF420D">
      <w:pPr>
        <w:spacing w:line="360" w:lineRule="auto"/>
        <w:jc w:val="both"/>
        <w:rPr>
          <w:rFonts w:ascii="Times New Roman" w:hAnsi="Times New Roman" w:cs="Times New Roman"/>
          <w:bCs/>
          <w:sz w:val="32"/>
          <w:szCs w:val="32"/>
          <w:lang w:val="en-IN"/>
        </w:rPr>
      </w:pPr>
      <w:r w:rsidRPr="00AF420D">
        <w:rPr>
          <w:rFonts w:ascii="Times New Roman" w:hAnsi="Times New Roman" w:cs="Times New Roman"/>
          <w:bCs/>
          <w:sz w:val="32"/>
          <w:szCs w:val="32"/>
          <w:lang w:val="en-IN"/>
        </w:rPr>
        <w:t xml:space="preserve">   The grid-connected electric vehicle charging stations are being integrated into renewable energy for preserving the conventional energy resources as well as to ensure sustainable development of the society. In addition to the effortless charging, the sudden demand variations in the grid can be met by the renewable energy storage system in the charging stations. The main challenge in this concept is the unstable nature of renewable energy. As the energy storage system of charging station is directly connected to the renewable energy source like a solar panel, according to the variable and deficient input power condition, the converter should supply a regulated output at the required magnitude. If a conventional converter is used for this purpose, the charging efficiency will be poor for higher gain conditions. This article presents a hybrid forward-boost converter to overcome this challenge. By maintaining the power transfer efficiency higher, the gain can be varied to supply a regulated voltage, even for very low input conditions in this proposed topology. The maximum overall efficiency of 95% is achieved for a variable input condition of 30–50 V to provide an output voltage of 170 V. The concept is validated by implementing a 150 W hybrid converter.</w:t>
      </w:r>
      <w:r w:rsidRPr="00AF420D">
        <w:rPr>
          <w:rFonts w:ascii="Times New Roman" w:hAnsi="Times New Roman" w:cs="Times New Roman"/>
          <w:bCs/>
          <w:sz w:val="32"/>
          <w:szCs w:val="32"/>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AF420D" w:rsidRDefault="00AF420D" w:rsidP="00E53AA4">
      <w:pPr>
        <w:spacing w:line="360" w:lineRule="auto"/>
        <w:jc w:val="both"/>
        <w:rPr>
          <w:rFonts w:ascii="Times New Roman" w:hAnsi="Times New Roman" w:cs="Times New Roman"/>
          <w:sz w:val="40"/>
          <w:szCs w:val="40"/>
        </w:rPr>
      </w:pPr>
    </w:p>
    <w:p w:rsidR="006A300A" w:rsidRPr="003D03F4" w:rsidRDefault="006A300A" w:rsidP="00AF420D">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56047" w:rsidRDefault="00F30EB4" w:rsidP="00056047">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056047">
        <w:rPr>
          <w:rFonts w:ascii="Times New Roman" w:hAnsi="Times New Roman" w:cs="Times New Roman"/>
          <w:sz w:val="32"/>
          <w:szCs w:val="32"/>
          <w:lang w:val="en-IN"/>
        </w:rPr>
        <w:t xml:space="preserve">The E-Vehicles are mainly used the DC-DC converter. The existing system, Evehicles are charging by using the renewable energy and 12V input to give the electric vehicles. </w:t>
      </w:r>
    </w:p>
    <w:p w:rsidR="00000000" w:rsidRPr="00056047" w:rsidRDefault="00F30EB4" w:rsidP="00056047">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056047">
        <w:rPr>
          <w:rFonts w:ascii="Times New Roman" w:hAnsi="Times New Roman" w:cs="Times New Roman"/>
          <w:sz w:val="32"/>
          <w:szCs w:val="32"/>
          <w:lang w:val="en-IN"/>
        </w:rPr>
        <w:t>Solar energy obtained fr</w:t>
      </w:r>
      <w:r w:rsidRPr="00056047">
        <w:rPr>
          <w:rFonts w:ascii="Times New Roman" w:hAnsi="Times New Roman" w:cs="Times New Roman"/>
          <w:sz w:val="32"/>
          <w:szCs w:val="32"/>
          <w:lang w:val="en-IN"/>
        </w:rPr>
        <w:t xml:space="preserve">om the sunlight and wind energy is generating from the speed of wind. DC-DC converter (Boost converter) is mainly uses in the electric vehicles which is used to improve the voltage level. </w:t>
      </w:r>
    </w:p>
    <w:p w:rsidR="00000000" w:rsidRPr="00056047" w:rsidRDefault="00F30EB4" w:rsidP="00056047">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056047">
        <w:rPr>
          <w:rFonts w:ascii="Times New Roman" w:hAnsi="Times New Roman" w:cs="Times New Roman"/>
          <w:sz w:val="32"/>
          <w:szCs w:val="32"/>
          <w:lang w:val="en-IN"/>
        </w:rPr>
        <w:t>Battery is used to store the energy from the converter. Li-ion bat</w:t>
      </w:r>
      <w:r w:rsidRPr="00056047">
        <w:rPr>
          <w:rFonts w:ascii="Times New Roman" w:hAnsi="Times New Roman" w:cs="Times New Roman"/>
          <w:sz w:val="32"/>
          <w:szCs w:val="32"/>
          <w:lang w:val="en-IN"/>
        </w:rPr>
        <w:t xml:space="preserve">tery is used these vehicles which is one of the rechargeable battery and efficiently. </w:t>
      </w:r>
    </w:p>
    <w:p w:rsidR="00000000" w:rsidRPr="00056047" w:rsidRDefault="00F30EB4" w:rsidP="00056047">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056047">
        <w:rPr>
          <w:rFonts w:ascii="Times New Roman" w:hAnsi="Times New Roman" w:cs="Times New Roman"/>
          <w:sz w:val="32"/>
          <w:szCs w:val="32"/>
          <w:lang w:val="en-IN"/>
        </w:rPr>
        <w:t>This paper overcome these problems and improved the efficiency of the E-vehicles.</w:t>
      </w:r>
      <w:r w:rsidRPr="00056047">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C1751" w:rsidRDefault="00F30EB4" w:rsidP="00DC1751">
      <w:pPr>
        <w:numPr>
          <w:ilvl w:val="0"/>
          <w:numId w:val="43"/>
        </w:numPr>
        <w:spacing w:line="360" w:lineRule="auto"/>
        <w:jc w:val="both"/>
        <w:rPr>
          <w:rFonts w:ascii="Times New Roman" w:hAnsi="Times New Roman" w:cs="Times New Roman"/>
          <w:bCs/>
          <w:sz w:val="32"/>
          <w:szCs w:val="32"/>
          <w:lang w:val="en-IN"/>
        </w:rPr>
      </w:pPr>
      <w:r w:rsidRPr="00DC1751">
        <w:rPr>
          <w:rFonts w:ascii="Times New Roman" w:hAnsi="Times New Roman" w:cs="Times New Roman"/>
          <w:bCs/>
          <w:sz w:val="32"/>
          <w:szCs w:val="32"/>
          <w:lang w:val="en-IN"/>
        </w:rPr>
        <w:t>A disadvantage of the boost converter is the possibility of a short circuit at a hig</w:t>
      </w:r>
      <w:r w:rsidRPr="00DC1751">
        <w:rPr>
          <w:rFonts w:ascii="Times New Roman" w:hAnsi="Times New Roman" w:cs="Times New Roman"/>
          <w:bCs/>
          <w:sz w:val="32"/>
          <w:szCs w:val="32"/>
          <w:lang w:val="en-IN"/>
        </w:rPr>
        <w:t>her duty cycle. </w:t>
      </w:r>
    </w:p>
    <w:p w:rsidR="00000000" w:rsidRPr="00DC1751" w:rsidRDefault="00F30EB4" w:rsidP="00DC1751">
      <w:pPr>
        <w:numPr>
          <w:ilvl w:val="0"/>
          <w:numId w:val="43"/>
        </w:numPr>
        <w:spacing w:line="360" w:lineRule="auto"/>
        <w:jc w:val="both"/>
        <w:rPr>
          <w:rFonts w:ascii="Times New Roman" w:hAnsi="Times New Roman" w:cs="Times New Roman"/>
          <w:bCs/>
          <w:sz w:val="32"/>
          <w:szCs w:val="32"/>
          <w:lang w:val="en-IN"/>
        </w:rPr>
      </w:pPr>
      <w:r w:rsidRPr="00DC1751">
        <w:rPr>
          <w:rFonts w:ascii="Times New Roman" w:hAnsi="Times New Roman" w:cs="Times New Roman"/>
          <w:bCs/>
          <w:sz w:val="32"/>
          <w:szCs w:val="32"/>
          <w:lang w:val="en-IN"/>
        </w:rPr>
        <w:t>Both of the mentioned converter techniques having the desired advantages and considerable disadvantages as per their operating mode, a combination of both may result in an optimised topology.</w:t>
      </w:r>
    </w:p>
    <w:p w:rsidR="00000000" w:rsidRPr="00DC1751" w:rsidRDefault="00F30EB4" w:rsidP="00DC1751">
      <w:pPr>
        <w:numPr>
          <w:ilvl w:val="0"/>
          <w:numId w:val="43"/>
        </w:numPr>
        <w:spacing w:line="360" w:lineRule="auto"/>
        <w:jc w:val="both"/>
        <w:rPr>
          <w:rFonts w:ascii="Times New Roman" w:hAnsi="Times New Roman" w:cs="Times New Roman"/>
          <w:bCs/>
          <w:sz w:val="32"/>
          <w:szCs w:val="32"/>
          <w:lang w:val="en-IN"/>
        </w:rPr>
      </w:pPr>
      <w:r w:rsidRPr="00DC1751">
        <w:rPr>
          <w:rFonts w:ascii="Times New Roman" w:hAnsi="Times New Roman" w:cs="Times New Roman"/>
          <w:bCs/>
          <w:sz w:val="32"/>
          <w:szCs w:val="32"/>
          <w:lang w:val="en-IN"/>
        </w:rPr>
        <w:lastRenderedPageBreak/>
        <w:t xml:space="preserve">Using the forward converter principle in low </w:t>
      </w:r>
      <w:r w:rsidRPr="00DC1751">
        <w:rPr>
          <w:rFonts w:ascii="Times New Roman" w:hAnsi="Times New Roman" w:cs="Times New Roman"/>
          <w:bCs/>
          <w:sz w:val="32"/>
          <w:szCs w:val="32"/>
          <w:lang w:val="en-IN"/>
        </w:rPr>
        <w:t>input values and boost converter principle in higher input values, the input variation range problem is tackled. </w:t>
      </w:r>
    </w:p>
    <w:p w:rsidR="00000000" w:rsidRPr="00DC1751" w:rsidRDefault="00F30EB4" w:rsidP="00DC1751">
      <w:pPr>
        <w:numPr>
          <w:ilvl w:val="0"/>
          <w:numId w:val="43"/>
        </w:numPr>
        <w:spacing w:line="360" w:lineRule="auto"/>
        <w:jc w:val="both"/>
        <w:rPr>
          <w:rFonts w:ascii="Times New Roman" w:hAnsi="Times New Roman" w:cs="Times New Roman"/>
          <w:bCs/>
          <w:sz w:val="32"/>
          <w:szCs w:val="32"/>
          <w:lang w:val="en-IN"/>
        </w:rPr>
      </w:pPr>
      <w:r w:rsidRPr="00DC1751">
        <w:rPr>
          <w:rFonts w:ascii="Times New Roman" w:hAnsi="Times New Roman" w:cs="Times New Roman"/>
          <w:bCs/>
          <w:sz w:val="32"/>
          <w:szCs w:val="32"/>
          <w:lang w:val="en-IN"/>
        </w:rPr>
        <w:t>Few disadvantages are also associated with the proposed converter. </w:t>
      </w:r>
    </w:p>
    <w:p w:rsidR="00F94960" w:rsidRPr="00DC1751" w:rsidRDefault="00F30EB4" w:rsidP="00E53AA4">
      <w:pPr>
        <w:numPr>
          <w:ilvl w:val="0"/>
          <w:numId w:val="43"/>
        </w:numPr>
        <w:spacing w:line="360" w:lineRule="auto"/>
        <w:jc w:val="both"/>
        <w:rPr>
          <w:rFonts w:ascii="Times New Roman" w:hAnsi="Times New Roman" w:cs="Times New Roman"/>
          <w:bCs/>
          <w:sz w:val="32"/>
          <w:szCs w:val="32"/>
          <w:lang w:val="en-IN"/>
        </w:rPr>
      </w:pPr>
      <w:r w:rsidRPr="00DC1751">
        <w:rPr>
          <w:rFonts w:ascii="Times New Roman" w:hAnsi="Times New Roman" w:cs="Times New Roman"/>
          <w:bCs/>
          <w:sz w:val="32"/>
          <w:szCs w:val="32"/>
          <w:lang w:val="en-IN"/>
        </w:rPr>
        <w:t>To get the required output voltage, conventional converters are having l</w:t>
      </w:r>
      <w:r w:rsidRPr="00DC1751">
        <w:rPr>
          <w:rFonts w:ascii="Times New Roman" w:hAnsi="Times New Roman" w:cs="Times New Roman"/>
          <w:bCs/>
          <w:sz w:val="32"/>
          <w:szCs w:val="32"/>
          <w:lang w:val="en-IN"/>
        </w:rPr>
        <w:t>imitation due to voltage stress over switches for a higher duty. The issue is solved up to an extent in this topology.</w:t>
      </w:r>
      <w:r w:rsidRPr="00DC1751">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2922B2" w:rsidRPr="002922B2" w:rsidRDefault="002922B2" w:rsidP="002922B2">
      <w:pPr>
        <w:pStyle w:val="NormalWeb"/>
        <w:numPr>
          <w:ilvl w:val="0"/>
          <w:numId w:val="44"/>
        </w:numPr>
        <w:spacing w:before="0" w:beforeAutospacing="0" w:after="0" w:afterAutospacing="0" w:line="360" w:lineRule="auto"/>
        <w:ind w:left="426"/>
        <w:jc w:val="both"/>
        <w:rPr>
          <w:sz w:val="32"/>
          <w:szCs w:val="32"/>
        </w:rPr>
      </w:pPr>
      <w:r w:rsidRPr="002922B2">
        <w:rPr>
          <w:sz w:val="32"/>
          <w:szCs w:val="32"/>
        </w:rPr>
        <w:t xml:space="preserve">The proposed system is to design a portable device based on the Buck- Boost converter are used. As a main source is received from the renewable energy. </w:t>
      </w:r>
    </w:p>
    <w:p w:rsidR="002922B2" w:rsidRPr="002922B2" w:rsidRDefault="002922B2" w:rsidP="002922B2">
      <w:pPr>
        <w:pStyle w:val="NormalWeb"/>
        <w:numPr>
          <w:ilvl w:val="0"/>
          <w:numId w:val="44"/>
        </w:numPr>
        <w:spacing w:before="0" w:beforeAutospacing="0" w:after="0" w:afterAutospacing="0" w:line="360" w:lineRule="auto"/>
        <w:ind w:left="426"/>
        <w:jc w:val="both"/>
        <w:rPr>
          <w:sz w:val="32"/>
          <w:szCs w:val="32"/>
        </w:rPr>
      </w:pPr>
      <w:r w:rsidRPr="002922B2">
        <w:rPr>
          <w:sz w:val="32"/>
          <w:szCs w:val="32"/>
        </w:rPr>
        <w:t xml:space="preserve">This system is especially for free from pollution and over comes the disadvantages of existing system. </w:t>
      </w:r>
    </w:p>
    <w:p w:rsidR="002922B2" w:rsidRPr="002922B2" w:rsidRDefault="002922B2" w:rsidP="002922B2">
      <w:pPr>
        <w:pStyle w:val="NormalWeb"/>
        <w:numPr>
          <w:ilvl w:val="0"/>
          <w:numId w:val="44"/>
        </w:numPr>
        <w:spacing w:before="0" w:beforeAutospacing="0" w:after="0" w:afterAutospacing="0" w:line="360" w:lineRule="auto"/>
        <w:ind w:left="426"/>
        <w:jc w:val="both"/>
        <w:rPr>
          <w:sz w:val="32"/>
          <w:szCs w:val="32"/>
        </w:rPr>
      </w:pPr>
      <w:r w:rsidRPr="002922B2">
        <w:rPr>
          <w:sz w:val="32"/>
          <w:szCs w:val="32"/>
        </w:rPr>
        <w:t xml:space="preserve">The renewable energy supply is always flexible due to its weather dependency. For solar-based energy generation, according to the solar irradiation, the output voltage varies. </w:t>
      </w:r>
    </w:p>
    <w:p w:rsidR="002922B2" w:rsidRPr="002922B2" w:rsidRDefault="002922B2" w:rsidP="002922B2">
      <w:pPr>
        <w:pStyle w:val="NormalWeb"/>
        <w:numPr>
          <w:ilvl w:val="0"/>
          <w:numId w:val="44"/>
        </w:numPr>
        <w:spacing w:before="0" w:beforeAutospacing="0" w:after="0" w:afterAutospacing="0" w:line="360" w:lineRule="auto"/>
        <w:ind w:left="426"/>
        <w:jc w:val="both"/>
        <w:rPr>
          <w:sz w:val="32"/>
          <w:szCs w:val="32"/>
        </w:rPr>
      </w:pPr>
      <w:r w:rsidRPr="002922B2">
        <w:rPr>
          <w:sz w:val="32"/>
          <w:szCs w:val="32"/>
        </w:rPr>
        <w:t xml:space="preserve">As the converter is taking input from the renewable energy source directly, the voltage level are improved converter by itself. </w:t>
      </w:r>
    </w:p>
    <w:p w:rsidR="00BB3207" w:rsidRDefault="002922B2" w:rsidP="002922B2">
      <w:pPr>
        <w:pStyle w:val="NormalWeb"/>
        <w:numPr>
          <w:ilvl w:val="0"/>
          <w:numId w:val="44"/>
        </w:numPr>
        <w:spacing w:before="0" w:beforeAutospacing="0" w:after="0" w:afterAutospacing="0" w:line="360" w:lineRule="auto"/>
        <w:ind w:left="426"/>
        <w:jc w:val="both"/>
        <w:rPr>
          <w:sz w:val="32"/>
          <w:szCs w:val="32"/>
        </w:rPr>
      </w:pPr>
      <w:r w:rsidRPr="002922B2">
        <w:rPr>
          <w:sz w:val="32"/>
          <w:szCs w:val="32"/>
        </w:rPr>
        <w:t>For medium power EV charging applications, the DC–DC converter circuit should amplify the input voltage to a higher value.</w:t>
      </w:r>
    </w:p>
    <w:p w:rsidR="003A5D44" w:rsidRDefault="003A5D44" w:rsidP="00E53AA4">
      <w:pPr>
        <w:pStyle w:val="NormalWeb"/>
        <w:spacing w:before="0" w:beforeAutospacing="0" w:after="0" w:afterAutospacing="0" w:line="360" w:lineRule="auto"/>
        <w:jc w:val="both"/>
        <w:rPr>
          <w:b/>
          <w:sz w:val="40"/>
          <w:szCs w:val="40"/>
        </w:rPr>
      </w:pPr>
    </w:p>
    <w:p w:rsidR="002922B2" w:rsidRDefault="002922B2"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521ECB" w:rsidRDefault="00F30EB4" w:rsidP="00521ECB">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21ECB">
        <w:rPr>
          <w:rFonts w:ascii="Times New Roman" w:eastAsia="AdvGulliv-R" w:hAnsi="Times New Roman" w:cs="Times New Roman"/>
          <w:bCs/>
          <w:sz w:val="32"/>
          <w:szCs w:val="32"/>
          <w:lang w:val="en-IN"/>
        </w:rPr>
        <w:t>The advantages of the boost converte</w:t>
      </w:r>
      <w:r w:rsidRPr="00521ECB">
        <w:rPr>
          <w:rFonts w:ascii="Times New Roman" w:eastAsia="AdvGulliv-R" w:hAnsi="Times New Roman" w:cs="Times New Roman"/>
          <w:bCs/>
          <w:sz w:val="32"/>
          <w:szCs w:val="32"/>
          <w:lang w:val="en-IN"/>
        </w:rPr>
        <w:t>r are the simplicity of the circuit, high efficiency with low or medium duty cycle etc.</w:t>
      </w:r>
    </w:p>
    <w:p w:rsidR="00000000" w:rsidRPr="00521ECB" w:rsidRDefault="00F30EB4" w:rsidP="00521ECB">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21ECB">
        <w:rPr>
          <w:rFonts w:ascii="Times New Roman" w:eastAsia="AdvGulliv-R" w:hAnsi="Times New Roman" w:cs="Times New Roman"/>
          <w:bCs/>
          <w:sz w:val="32"/>
          <w:szCs w:val="32"/>
          <w:lang w:val="en-IN"/>
        </w:rPr>
        <w:t>The main advantage of the forward converter is that the gains above and below unity can be achieved by just varying duty and turns ratio. </w:t>
      </w:r>
    </w:p>
    <w:p w:rsidR="00000000" w:rsidRPr="00521ECB" w:rsidRDefault="00F30EB4" w:rsidP="00521ECB">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21ECB">
        <w:rPr>
          <w:rFonts w:ascii="Times New Roman" w:eastAsia="AdvGulliv-R" w:hAnsi="Times New Roman" w:cs="Times New Roman"/>
          <w:bCs/>
          <w:sz w:val="32"/>
          <w:szCs w:val="32"/>
          <w:lang w:val="en-IN"/>
        </w:rPr>
        <w:t>The advantages of both conv</w:t>
      </w:r>
      <w:r w:rsidRPr="00521ECB">
        <w:rPr>
          <w:rFonts w:ascii="Times New Roman" w:eastAsia="AdvGulliv-R" w:hAnsi="Times New Roman" w:cs="Times New Roman"/>
          <w:bCs/>
          <w:sz w:val="32"/>
          <w:szCs w:val="32"/>
          <w:lang w:val="en-IN"/>
        </w:rPr>
        <w:t>erters brought together to obtain a precise and accurate output.</w:t>
      </w:r>
    </w:p>
    <w:p w:rsidR="00000000" w:rsidRPr="00521ECB" w:rsidRDefault="00F30EB4" w:rsidP="00521ECB">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21ECB">
        <w:rPr>
          <w:rFonts w:ascii="Times New Roman" w:eastAsia="AdvGulliv-R" w:hAnsi="Times New Roman" w:cs="Times New Roman"/>
          <w:bCs/>
          <w:sz w:val="32"/>
          <w:szCs w:val="32"/>
          <w:lang w:val="en-IN"/>
        </w:rPr>
        <w:t>After the testing of the proposed converter, various advantages can be formulated over conventional converters.</w:t>
      </w:r>
    </w:p>
    <w:p w:rsidR="00000000" w:rsidRPr="00521ECB" w:rsidRDefault="00F30EB4" w:rsidP="00521ECB">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21ECB">
        <w:rPr>
          <w:rFonts w:ascii="Times New Roman" w:eastAsia="AdvGulliv-R" w:hAnsi="Times New Roman" w:cs="Times New Roman"/>
          <w:bCs/>
          <w:sz w:val="32"/>
          <w:szCs w:val="32"/>
          <w:lang w:val="en-IN"/>
        </w:rPr>
        <w:t>While integrating one converter with another, there should not be a performan</w:t>
      </w:r>
      <w:r w:rsidRPr="00521ECB">
        <w:rPr>
          <w:rFonts w:ascii="Times New Roman" w:eastAsia="AdvGulliv-R" w:hAnsi="Times New Roman" w:cs="Times New Roman"/>
          <w:bCs/>
          <w:sz w:val="32"/>
          <w:szCs w:val="32"/>
          <w:lang w:val="en-IN"/>
        </w:rPr>
        <w:t>ce conflict between the converters.</w:t>
      </w:r>
      <w:r w:rsidRPr="00521ECB">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747237" w:rsidRPr="00747237" w:rsidRDefault="00747237" w:rsidP="00747237">
            <w:pPr>
              <w:tabs>
                <w:tab w:val="left" w:pos="720"/>
              </w:tabs>
              <w:spacing w:after="100" w:line="360" w:lineRule="auto"/>
              <w:jc w:val="both"/>
              <w:rPr>
                <w:rFonts w:ascii="Times New Roman" w:hAnsi="Times New Roman" w:cs="Times New Roman"/>
                <w:sz w:val="26"/>
                <w:szCs w:val="26"/>
                <w:lang w:val="en-IN"/>
              </w:rPr>
            </w:pPr>
            <w:r w:rsidRPr="00747237">
              <w:rPr>
                <w:rFonts w:ascii="Times New Roman" w:hAnsi="Times New Roman" w:cs="Times New Roman"/>
                <w:sz w:val="26"/>
                <w:szCs w:val="26"/>
                <w:lang w:val="en-IN"/>
              </w:rPr>
              <w:t xml:space="preserve">Cost-aware renewable energy management with application in cellular networks </w:t>
            </w:r>
          </w:p>
          <w:p w:rsidR="000C407B" w:rsidRPr="00747237" w:rsidRDefault="000C407B" w:rsidP="00E53AA4">
            <w:pPr>
              <w:tabs>
                <w:tab w:val="left" w:pos="720"/>
              </w:tabs>
              <w:spacing w:after="100" w:line="360" w:lineRule="auto"/>
              <w:jc w:val="both"/>
              <w:rPr>
                <w:rFonts w:ascii="Times New Roman" w:hAnsi="Times New Roman" w:cs="Times New Roman"/>
                <w:sz w:val="26"/>
                <w:szCs w:val="26"/>
              </w:rPr>
            </w:pPr>
          </w:p>
        </w:tc>
        <w:tc>
          <w:tcPr>
            <w:tcW w:w="3192" w:type="dxa"/>
          </w:tcPr>
          <w:p w:rsidR="00747237" w:rsidRPr="00747237" w:rsidRDefault="00747237" w:rsidP="00747237">
            <w:pPr>
              <w:tabs>
                <w:tab w:val="left" w:pos="720"/>
              </w:tabs>
              <w:spacing w:after="100" w:line="360" w:lineRule="auto"/>
              <w:jc w:val="both"/>
              <w:rPr>
                <w:rFonts w:ascii="Times New Roman" w:hAnsi="Times New Roman" w:cs="Times New Roman"/>
                <w:sz w:val="26"/>
                <w:szCs w:val="26"/>
                <w:lang w:val="en-IN"/>
              </w:rPr>
            </w:pPr>
            <w:r w:rsidRPr="00747237">
              <w:rPr>
                <w:rFonts w:ascii="Times New Roman" w:hAnsi="Times New Roman" w:cs="Times New Roman"/>
                <w:sz w:val="26"/>
                <w:szCs w:val="26"/>
                <w:lang w:val="en-IN"/>
              </w:rPr>
              <w:t xml:space="preserve">Leithon J., Lim T.J., and Sun S. </w:t>
            </w:r>
          </w:p>
          <w:p w:rsidR="000C407B" w:rsidRPr="00747237" w:rsidRDefault="000C407B" w:rsidP="00E53AA4">
            <w:pPr>
              <w:tabs>
                <w:tab w:val="left" w:pos="720"/>
              </w:tabs>
              <w:spacing w:after="100" w:line="360" w:lineRule="auto"/>
              <w:jc w:val="both"/>
              <w:rPr>
                <w:rFonts w:ascii="Times New Roman" w:hAnsi="Times New Roman" w:cs="Times New Roman"/>
                <w:sz w:val="26"/>
                <w:szCs w:val="26"/>
              </w:rPr>
            </w:pPr>
          </w:p>
        </w:tc>
        <w:tc>
          <w:tcPr>
            <w:tcW w:w="3192" w:type="dxa"/>
          </w:tcPr>
          <w:p w:rsidR="000C407B" w:rsidRPr="00747237" w:rsidRDefault="00747237" w:rsidP="00E53AA4">
            <w:pPr>
              <w:tabs>
                <w:tab w:val="left" w:pos="720"/>
              </w:tabs>
              <w:spacing w:after="100" w:line="360" w:lineRule="auto"/>
              <w:jc w:val="both"/>
              <w:rPr>
                <w:rFonts w:ascii="Times New Roman" w:hAnsi="Times New Roman" w:cs="Times New Roman"/>
                <w:sz w:val="26"/>
                <w:szCs w:val="26"/>
                <w:lang w:val="en-IN"/>
              </w:rPr>
            </w:pPr>
            <w:r w:rsidRPr="00747237">
              <w:rPr>
                <w:rFonts w:ascii="Times New Roman" w:hAnsi="Times New Roman" w:cs="Times New Roman"/>
                <w:sz w:val="26"/>
                <w:szCs w:val="26"/>
                <w:lang w:val="en-IN"/>
              </w:rPr>
              <w:t xml:space="preserve">In this paper, we propose a cost minimization strategy for facilities with shared access to a renewable energy farm. </w:t>
            </w:r>
          </w:p>
        </w:tc>
      </w:tr>
      <w:tr w:rsidR="000C407B" w:rsidTr="000C407B">
        <w:trPr>
          <w:trHeight w:val="2942"/>
        </w:trPr>
        <w:tc>
          <w:tcPr>
            <w:tcW w:w="3192" w:type="dxa"/>
          </w:tcPr>
          <w:p w:rsidR="000C407B" w:rsidRPr="00747237" w:rsidRDefault="00747237" w:rsidP="00E53AA4">
            <w:pPr>
              <w:tabs>
                <w:tab w:val="left" w:pos="720"/>
              </w:tabs>
              <w:spacing w:after="100" w:line="360" w:lineRule="auto"/>
              <w:jc w:val="both"/>
              <w:rPr>
                <w:rFonts w:ascii="Times New Roman" w:hAnsi="Times New Roman" w:cs="Times New Roman"/>
                <w:sz w:val="26"/>
                <w:szCs w:val="26"/>
                <w:lang w:val="en-IN"/>
              </w:rPr>
            </w:pPr>
            <w:r w:rsidRPr="00747237">
              <w:rPr>
                <w:rFonts w:ascii="Times New Roman" w:hAnsi="Times New Roman" w:cs="Times New Roman"/>
                <w:sz w:val="26"/>
                <w:szCs w:val="26"/>
                <w:lang w:val="en-IN"/>
              </w:rPr>
              <w:t>Renewable energy transmission by HVDC across the continent: system challenges and opportunities</w:t>
            </w:r>
          </w:p>
        </w:tc>
        <w:tc>
          <w:tcPr>
            <w:tcW w:w="3192" w:type="dxa"/>
          </w:tcPr>
          <w:p w:rsidR="00747237" w:rsidRPr="00747237" w:rsidRDefault="00747237" w:rsidP="00747237">
            <w:pPr>
              <w:tabs>
                <w:tab w:val="left" w:pos="720"/>
              </w:tabs>
              <w:spacing w:after="100" w:line="360" w:lineRule="auto"/>
              <w:jc w:val="both"/>
              <w:rPr>
                <w:rFonts w:ascii="Times New Roman" w:hAnsi="Times New Roman" w:cs="Times New Roman"/>
                <w:sz w:val="26"/>
                <w:szCs w:val="26"/>
                <w:lang w:val="en-IN"/>
              </w:rPr>
            </w:pPr>
            <w:r w:rsidRPr="00747237">
              <w:rPr>
                <w:rFonts w:ascii="Times New Roman" w:hAnsi="Times New Roman" w:cs="Times New Roman"/>
                <w:sz w:val="26"/>
                <w:szCs w:val="26"/>
                <w:lang w:val="en-IN"/>
              </w:rPr>
              <w:t xml:space="preserve">Sun J., Li M., and Zhang Z. et al. </w:t>
            </w:r>
          </w:p>
          <w:p w:rsidR="000C407B" w:rsidRPr="00747237" w:rsidRDefault="000C407B" w:rsidP="00E53AA4">
            <w:pPr>
              <w:tabs>
                <w:tab w:val="left" w:pos="720"/>
              </w:tabs>
              <w:spacing w:after="100" w:line="360" w:lineRule="auto"/>
              <w:jc w:val="both"/>
              <w:rPr>
                <w:rFonts w:ascii="Times New Roman" w:hAnsi="Times New Roman" w:cs="Times New Roman"/>
                <w:sz w:val="26"/>
                <w:szCs w:val="26"/>
              </w:rPr>
            </w:pPr>
          </w:p>
        </w:tc>
        <w:tc>
          <w:tcPr>
            <w:tcW w:w="3192" w:type="dxa"/>
          </w:tcPr>
          <w:p w:rsidR="000C407B" w:rsidRPr="00747237" w:rsidRDefault="00747237" w:rsidP="00E53AA4">
            <w:pPr>
              <w:tabs>
                <w:tab w:val="left" w:pos="720"/>
              </w:tabs>
              <w:spacing w:after="100" w:line="360" w:lineRule="auto"/>
              <w:jc w:val="both"/>
              <w:rPr>
                <w:rFonts w:ascii="Times New Roman" w:hAnsi="Times New Roman" w:cs="Times New Roman"/>
                <w:sz w:val="26"/>
                <w:szCs w:val="26"/>
                <w:lang w:val="en-IN"/>
              </w:rPr>
            </w:pPr>
            <w:r w:rsidRPr="00747237">
              <w:rPr>
                <w:rFonts w:ascii="Times New Roman" w:hAnsi="Times New Roman" w:cs="Times New Roman"/>
                <w:sz w:val="26"/>
                <w:szCs w:val="26"/>
                <w:lang w:val="en-IN"/>
              </w:rPr>
              <w:t xml:space="preserve">New system theories and technologies are required to support the development and operation of a future grid that relies more and more on power electronics. </w:t>
            </w:r>
          </w:p>
        </w:tc>
      </w:tr>
      <w:tr w:rsidR="000C407B" w:rsidTr="000C407B">
        <w:tc>
          <w:tcPr>
            <w:tcW w:w="3192" w:type="dxa"/>
          </w:tcPr>
          <w:p w:rsidR="00747237" w:rsidRPr="00747237" w:rsidRDefault="00747237" w:rsidP="00747237">
            <w:pPr>
              <w:tabs>
                <w:tab w:val="left" w:pos="720"/>
              </w:tabs>
              <w:spacing w:after="100" w:line="360" w:lineRule="auto"/>
              <w:jc w:val="both"/>
              <w:rPr>
                <w:rFonts w:ascii="Times New Roman" w:hAnsi="Times New Roman" w:cs="Times New Roman"/>
                <w:sz w:val="26"/>
                <w:szCs w:val="26"/>
                <w:lang w:val="en-IN"/>
              </w:rPr>
            </w:pPr>
            <w:r w:rsidRPr="00747237">
              <w:rPr>
                <w:rFonts w:ascii="Times New Roman" w:hAnsi="Times New Roman" w:cs="Times New Roman"/>
                <w:sz w:val="26"/>
                <w:szCs w:val="26"/>
                <w:lang w:val="en-IN"/>
              </w:rPr>
              <w:lastRenderedPageBreak/>
              <w:t xml:space="preserve">Stochastic dynamic pricing for EV charging stations with renewable integration and energy storage </w:t>
            </w:r>
          </w:p>
          <w:p w:rsidR="000C407B" w:rsidRPr="00747237" w:rsidRDefault="000C407B" w:rsidP="00E53AA4">
            <w:pPr>
              <w:tabs>
                <w:tab w:val="left" w:pos="720"/>
              </w:tabs>
              <w:spacing w:after="100" w:line="360" w:lineRule="auto"/>
              <w:jc w:val="both"/>
              <w:rPr>
                <w:rFonts w:ascii="Times New Roman" w:hAnsi="Times New Roman" w:cs="Times New Roman"/>
                <w:sz w:val="26"/>
                <w:szCs w:val="26"/>
              </w:rPr>
            </w:pPr>
          </w:p>
        </w:tc>
        <w:tc>
          <w:tcPr>
            <w:tcW w:w="3192" w:type="dxa"/>
          </w:tcPr>
          <w:p w:rsidR="00747237" w:rsidRPr="00747237" w:rsidRDefault="00747237" w:rsidP="00747237">
            <w:pPr>
              <w:tabs>
                <w:tab w:val="left" w:pos="720"/>
              </w:tabs>
              <w:spacing w:after="100" w:line="360" w:lineRule="auto"/>
              <w:jc w:val="both"/>
              <w:rPr>
                <w:rFonts w:ascii="Times New Roman" w:hAnsi="Times New Roman" w:cs="Times New Roman"/>
                <w:sz w:val="26"/>
                <w:szCs w:val="26"/>
                <w:lang w:val="en-IN"/>
              </w:rPr>
            </w:pPr>
            <w:r w:rsidRPr="00747237">
              <w:rPr>
                <w:rFonts w:ascii="Times New Roman" w:hAnsi="Times New Roman" w:cs="Times New Roman"/>
                <w:sz w:val="26"/>
                <w:szCs w:val="26"/>
                <w:lang w:val="en-IN"/>
              </w:rPr>
              <w:t xml:space="preserve">Luo C., Huang Y.F., and Gupta V. </w:t>
            </w:r>
          </w:p>
          <w:p w:rsidR="000C407B" w:rsidRPr="00747237" w:rsidRDefault="000C407B" w:rsidP="00E53AA4">
            <w:pPr>
              <w:tabs>
                <w:tab w:val="left" w:pos="720"/>
              </w:tabs>
              <w:spacing w:after="100" w:line="360" w:lineRule="auto"/>
              <w:jc w:val="both"/>
              <w:rPr>
                <w:rFonts w:ascii="Times New Roman" w:hAnsi="Times New Roman" w:cs="Times New Roman"/>
                <w:sz w:val="26"/>
                <w:szCs w:val="26"/>
              </w:rPr>
            </w:pPr>
          </w:p>
        </w:tc>
        <w:tc>
          <w:tcPr>
            <w:tcW w:w="3192" w:type="dxa"/>
          </w:tcPr>
          <w:p w:rsidR="000C407B" w:rsidRPr="00747237" w:rsidRDefault="00747237" w:rsidP="00E53AA4">
            <w:pPr>
              <w:tabs>
                <w:tab w:val="left" w:pos="720"/>
              </w:tabs>
              <w:spacing w:after="100" w:line="360" w:lineRule="auto"/>
              <w:jc w:val="both"/>
              <w:rPr>
                <w:rFonts w:ascii="Times New Roman" w:hAnsi="Times New Roman" w:cs="Times New Roman"/>
                <w:sz w:val="26"/>
                <w:szCs w:val="26"/>
                <w:lang w:val="en-IN"/>
              </w:rPr>
            </w:pPr>
            <w:r w:rsidRPr="00747237">
              <w:rPr>
                <w:rFonts w:ascii="Times New Roman" w:hAnsi="Times New Roman" w:cs="Times New Roman"/>
                <w:sz w:val="26"/>
                <w:szCs w:val="26"/>
                <w:lang w:val="en-IN"/>
              </w:rPr>
              <w:t xml:space="preserve">This paper studies the problem of stochastic dynamic pricing and energy management policy for electric vehicle (EV) charging service providers. </w:t>
            </w:r>
          </w:p>
        </w:tc>
      </w:tr>
      <w:tr w:rsidR="000C407B" w:rsidTr="000C407B">
        <w:tc>
          <w:tcPr>
            <w:tcW w:w="3192" w:type="dxa"/>
          </w:tcPr>
          <w:p w:rsidR="00747237" w:rsidRPr="00747237" w:rsidRDefault="00747237" w:rsidP="00747237">
            <w:pPr>
              <w:tabs>
                <w:tab w:val="left" w:pos="720"/>
              </w:tabs>
              <w:spacing w:after="100" w:line="360" w:lineRule="auto"/>
              <w:jc w:val="both"/>
              <w:rPr>
                <w:rFonts w:ascii="Times New Roman" w:hAnsi="Times New Roman" w:cs="Times New Roman"/>
                <w:sz w:val="26"/>
                <w:szCs w:val="26"/>
                <w:lang w:val="en-IN"/>
              </w:rPr>
            </w:pPr>
            <w:r w:rsidRPr="00747237">
              <w:rPr>
                <w:rFonts w:ascii="Times New Roman" w:hAnsi="Times New Roman" w:cs="Times New Roman"/>
                <w:sz w:val="26"/>
                <w:szCs w:val="26"/>
                <w:lang w:val="en-IN"/>
              </w:rPr>
              <w:t xml:space="preserve">Sortino ratio based portfolio optimization considering EVs and renewable energy in microgrid power market </w:t>
            </w:r>
          </w:p>
          <w:p w:rsidR="000C407B" w:rsidRPr="00747237" w:rsidRDefault="000C407B" w:rsidP="00E53AA4">
            <w:pPr>
              <w:tabs>
                <w:tab w:val="left" w:pos="720"/>
              </w:tabs>
              <w:spacing w:after="100" w:line="360" w:lineRule="auto"/>
              <w:jc w:val="both"/>
              <w:rPr>
                <w:rFonts w:ascii="Times New Roman" w:hAnsi="Times New Roman" w:cs="Times New Roman"/>
                <w:sz w:val="26"/>
                <w:szCs w:val="26"/>
              </w:rPr>
            </w:pPr>
          </w:p>
        </w:tc>
        <w:tc>
          <w:tcPr>
            <w:tcW w:w="3192" w:type="dxa"/>
          </w:tcPr>
          <w:p w:rsidR="00747237" w:rsidRPr="00747237" w:rsidRDefault="00747237" w:rsidP="00747237">
            <w:pPr>
              <w:tabs>
                <w:tab w:val="left" w:pos="720"/>
              </w:tabs>
              <w:spacing w:after="100" w:line="360" w:lineRule="auto"/>
              <w:jc w:val="both"/>
              <w:rPr>
                <w:rFonts w:ascii="Times New Roman" w:hAnsi="Times New Roman" w:cs="Times New Roman"/>
                <w:sz w:val="26"/>
                <w:szCs w:val="26"/>
                <w:lang w:val="en-IN"/>
              </w:rPr>
            </w:pPr>
            <w:r w:rsidRPr="00747237">
              <w:rPr>
                <w:rFonts w:ascii="Times New Roman" w:hAnsi="Times New Roman" w:cs="Times New Roman"/>
                <w:sz w:val="26"/>
                <w:szCs w:val="26"/>
                <w:lang w:val="en-IN"/>
              </w:rPr>
              <w:t xml:space="preserve">Mohan V., Singh J.G., and Ongsakul W. </w:t>
            </w:r>
          </w:p>
          <w:p w:rsidR="000C407B" w:rsidRPr="00747237" w:rsidRDefault="000C407B" w:rsidP="00E53AA4">
            <w:pPr>
              <w:tabs>
                <w:tab w:val="left" w:pos="720"/>
              </w:tabs>
              <w:spacing w:after="100" w:line="360" w:lineRule="auto"/>
              <w:jc w:val="both"/>
              <w:rPr>
                <w:rFonts w:ascii="Times New Roman" w:hAnsi="Times New Roman" w:cs="Times New Roman"/>
                <w:sz w:val="26"/>
                <w:szCs w:val="26"/>
              </w:rPr>
            </w:pPr>
          </w:p>
        </w:tc>
        <w:tc>
          <w:tcPr>
            <w:tcW w:w="3192" w:type="dxa"/>
          </w:tcPr>
          <w:p w:rsidR="000C407B" w:rsidRPr="00747237" w:rsidRDefault="00747237" w:rsidP="00E53AA4">
            <w:pPr>
              <w:tabs>
                <w:tab w:val="left" w:pos="720"/>
              </w:tabs>
              <w:spacing w:after="100" w:line="360" w:lineRule="auto"/>
              <w:jc w:val="both"/>
              <w:rPr>
                <w:rFonts w:ascii="Times New Roman" w:hAnsi="Times New Roman" w:cs="Times New Roman"/>
                <w:sz w:val="26"/>
                <w:szCs w:val="26"/>
                <w:lang w:val="en-IN"/>
              </w:rPr>
            </w:pPr>
            <w:r w:rsidRPr="00747237">
              <w:rPr>
                <w:rFonts w:ascii="Times New Roman" w:hAnsi="Times New Roman" w:cs="Times New Roman"/>
                <w:sz w:val="26"/>
                <w:szCs w:val="26"/>
                <w:lang w:val="en-IN"/>
              </w:rPr>
              <w:t xml:space="preserve">The profit relating to deterministic forecasted data of renewable energy and pre-dispatch information from the EV parking lots is considered as the risk free target profit.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747237" w:rsidRDefault="00747237"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747237" w:rsidRDefault="00747237" w:rsidP="00E53AA4">
      <w:pPr>
        <w:spacing w:line="360" w:lineRule="auto"/>
        <w:jc w:val="both"/>
        <w:rPr>
          <w:rFonts w:ascii="Times New Roman" w:hAnsi="Times New Roman" w:cs="Times New Roman"/>
          <w:b/>
          <w:sz w:val="28"/>
          <w:szCs w:val="28"/>
        </w:rPr>
      </w:pPr>
    </w:p>
    <w:p w:rsidR="00747237" w:rsidRDefault="00747237" w:rsidP="00E53AA4">
      <w:pPr>
        <w:spacing w:line="360" w:lineRule="auto"/>
        <w:jc w:val="both"/>
        <w:rPr>
          <w:rFonts w:ascii="Times New Roman" w:hAnsi="Times New Roman" w:cs="Times New Roman"/>
          <w:b/>
          <w:sz w:val="28"/>
          <w:szCs w:val="28"/>
        </w:rPr>
      </w:pPr>
    </w:p>
    <w:p w:rsidR="00747237" w:rsidRDefault="00747237"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47237" w:rsidP="00E53AA4">
      <w:pPr>
        <w:spacing w:after="0" w:line="360" w:lineRule="auto"/>
        <w:jc w:val="both"/>
        <w:rPr>
          <w:rFonts w:ascii="Times New Roman" w:hAnsi="Times New Roman" w:cs="Times New Roman"/>
        </w:rPr>
      </w:pPr>
      <w:r w:rsidRPr="00747237">
        <w:rPr>
          <w:rFonts w:ascii="Times New Roman" w:hAnsi="Times New Roman" w:cs="Times New Roman"/>
        </w:rPr>
        <w:drawing>
          <wp:inline distT="0" distB="0" distL="0" distR="0">
            <wp:extent cx="5943600" cy="398462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39846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747237" w:rsidRDefault="00747237"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7048F" w:rsidRPr="0067048F" w:rsidRDefault="0067048F" w:rsidP="0067048F">
      <w:pPr>
        <w:pStyle w:val="BodyText"/>
        <w:rPr>
          <w:bCs/>
          <w:iCs/>
          <w:sz w:val="32"/>
          <w:szCs w:val="32"/>
          <w:lang w:val="en-IN"/>
        </w:rPr>
      </w:pPr>
      <w:r w:rsidRPr="0067048F">
        <w:rPr>
          <w:b/>
          <w:iCs/>
          <w:sz w:val="28"/>
          <w:szCs w:val="28"/>
          <w:lang w:val="en-IN"/>
        </w:rPr>
        <w:t xml:space="preserve">    </w:t>
      </w:r>
      <w:r w:rsidRPr="0067048F">
        <w:rPr>
          <w:bCs/>
          <w:iCs/>
          <w:sz w:val="32"/>
          <w:szCs w:val="32"/>
          <w:lang w:val="en-IN"/>
        </w:rPr>
        <w:t xml:space="preserve">Grid-connected charging stations for electric vehicles are being replaced by stand-alone renewable energy powered charging stations due to grid power quality effects and the abundant supply of renewable energy. In stand-alone charging stations, the surplus energy needs to be stored into a battery for renewable source deficient conditions. Since renewable sources are highly dynamic due to nature dependency, the design of the battery charging circuit is a riddle for researchers. As the input voltage is varying for a wide range, the use of conventional converters will result in higher voltage stress over switches and reduced transfer efficiency. To mitigate the dispute, a plethora of converter designs were evolved, yet the conversion range – converter gain dilemma sustained well. As a key to the quest, this paper presents a simple boost-forward hybrid converter for an input voltage range of 30–50 V. Using the forward converter principle in low input values and boost converter principle in higher input values, the input variation range problem is tackled. The maximum overall efficiency of 95.4% is achieved in this range for a 148 W hybrid converter model. </w:t>
      </w:r>
    </w:p>
    <w:p w:rsidR="001F1E5A" w:rsidRPr="0067048F" w:rsidRDefault="001F1E5A" w:rsidP="00E53AA4">
      <w:pPr>
        <w:pStyle w:val="BodyText"/>
        <w:rPr>
          <w:bCs/>
          <w:iCs/>
          <w:sz w:val="32"/>
          <w:szCs w:val="32"/>
        </w:rPr>
      </w:pPr>
    </w:p>
    <w:p w:rsidR="003C0F6F" w:rsidRDefault="003C0F6F" w:rsidP="00E53AA4">
      <w:pPr>
        <w:pStyle w:val="BodyText"/>
        <w:rPr>
          <w:b/>
          <w:iCs/>
          <w:sz w:val="28"/>
          <w:szCs w:val="28"/>
        </w:rPr>
      </w:pPr>
    </w:p>
    <w:p w:rsidR="0067048F" w:rsidRDefault="0067048F" w:rsidP="00E53AA4">
      <w:pPr>
        <w:pStyle w:val="BodyText"/>
        <w:rPr>
          <w:b/>
          <w:iCs/>
          <w:sz w:val="28"/>
          <w:szCs w:val="28"/>
        </w:rPr>
      </w:pPr>
    </w:p>
    <w:p w:rsidR="0067048F" w:rsidRDefault="0067048F" w:rsidP="00E53AA4">
      <w:pPr>
        <w:pStyle w:val="BodyText"/>
        <w:rPr>
          <w:b/>
          <w:iCs/>
          <w:sz w:val="28"/>
          <w:szCs w:val="28"/>
        </w:rPr>
      </w:pPr>
    </w:p>
    <w:p w:rsidR="0067048F" w:rsidRDefault="0067048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96DCD" w:rsidRDefault="00F30EB4" w:rsidP="00596DCD">
      <w:pPr>
        <w:pStyle w:val="BodyText"/>
        <w:numPr>
          <w:ilvl w:val="0"/>
          <w:numId w:val="46"/>
        </w:numPr>
        <w:rPr>
          <w:sz w:val="32"/>
          <w:szCs w:val="32"/>
          <w:lang w:val="en-IN"/>
        </w:rPr>
      </w:pPr>
      <w:r w:rsidRPr="00596DCD">
        <w:rPr>
          <w:sz w:val="32"/>
          <w:szCs w:val="32"/>
          <w:lang w:val="en-IN"/>
        </w:rPr>
        <w:t>1.Leithon J., Lim T.J., and Sun S.: ‘ Cost-aware renewable energy management with application in cellular networks’, </w:t>
      </w:r>
      <w:r w:rsidRPr="00596DCD">
        <w:rPr>
          <w:i/>
          <w:iCs/>
          <w:sz w:val="32"/>
          <w:szCs w:val="32"/>
          <w:lang w:val="en-IN"/>
        </w:rPr>
        <w:t>IEEE Trans</w:t>
      </w:r>
      <w:r w:rsidRPr="00596DCD">
        <w:rPr>
          <w:i/>
          <w:iCs/>
          <w:sz w:val="32"/>
          <w:szCs w:val="32"/>
          <w:lang w:val="en-IN"/>
        </w:rPr>
        <w:t>. Green Commun. Netw.</w:t>
      </w:r>
      <w:r w:rsidRPr="00596DCD">
        <w:rPr>
          <w:sz w:val="32"/>
          <w:szCs w:val="32"/>
          <w:lang w:val="en-IN"/>
        </w:rPr>
        <w:t>, 2018, 2, (1), pp. 316– 326.</w:t>
      </w:r>
    </w:p>
    <w:p w:rsidR="00000000" w:rsidRPr="00596DCD" w:rsidRDefault="00F30EB4" w:rsidP="00596DCD">
      <w:pPr>
        <w:pStyle w:val="BodyText"/>
        <w:numPr>
          <w:ilvl w:val="0"/>
          <w:numId w:val="46"/>
        </w:numPr>
        <w:rPr>
          <w:sz w:val="32"/>
          <w:szCs w:val="32"/>
          <w:lang w:val="en-IN"/>
        </w:rPr>
      </w:pPr>
      <w:r w:rsidRPr="00596DCD">
        <w:rPr>
          <w:sz w:val="32"/>
          <w:szCs w:val="32"/>
          <w:lang w:val="en-IN"/>
        </w:rPr>
        <w:t>2.Sun J., Li M., and Zhang Z. </w:t>
      </w:r>
      <w:r w:rsidRPr="00596DCD">
        <w:rPr>
          <w:i/>
          <w:iCs/>
          <w:sz w:val="32"/>
          <w:szCs w:val="32"/>
          <w:lang w:val="en-IN"/>
        </w:rPr>
        <w:t>et al.</w:t>
      </w:r>
      <w:r w:rsidRPr="00596DCD">
        <w:rPr>
          <w:sz w:val="32"/>
          <w:szCs w:val="32"/>
          <w:lang w:val="en-IN"/>
        </w:rPr>
        <w:t>: ‘ Renewable energy transmission by HVDC across the continent: system challenges and opportunities’, </w:t>
      </w:r>
      <w:r w:rsidRPr="00596DCD">
        <w:rPr>
          <w:i/>
          <w:iCs/>
          <w:sz w:val="32"/>
          <w:szCs w:val="32"/>
          <w:lang w:val="en-IN"/>
        </w:rPr>
        <w:t>CSEE J. Power Energy Syst.</w:t>
      </w:r>
      <w:r w:rsidRPr="00596DCD">
        <w:rPr>
          <w:sz w:val="32"/>
          <w:szCs w:val="32"/>
          <w:lang w:val="en-IN"/>
        </w:rPr>
        <w:t>, 2017, 3, (4), pp. 353– 364.</w:t>
      </w:r>
    </w:p>
    <w:p w:rsidR="00000000" w:rsidRPr="00596DCD" w:rsidRDefault="00F30EB4" w:rsidP="00596DCD">
      <w:pPr>
        <w:pStyle w:val="BodyText"/>
        <w:numPr>
          <w:ilvl w:val="0"/>
          <w:numId w:val="46"/>
        </w:numPr>
        <w:rPr>
          <w:sz w:val="32"/>
          <w:szCs w:val="32"/>
          <w:lang w:val="en-IN"/>
        </w:rPr>
      </w:pPr>
      <w:r w:rsidRPr="00596DCD">
        <w:rPr>
          <w:sz w:val="32"/>
          <w:szCs w:val="32"/>
          <w:lang w:val="en-IN"/>
        </w:rPr>
        <w:t>3.Luo C.,</w:t>
      </w:r>
      <w:r w:rsidRPr="00596DCD">
        <w:rPr>
          <w:sz w:val="32"/>
          <w:szCs w:val="32"/>
          <w:lang w:val="en-IN"/>
        </w:rPr>
        <w:t> Huang Y.F., and Gupta V.: ‘ Stochastic dynamic pricing for EV charging stations with renewable integration and energy storage’, </w:t>
      </w:r>
      <w:r w:rsidRPr="00596DCD">
        <w:rPr>
          <w:i/>
          <w:iCs/>
          <w:sz w:val="32"/>
          <w:szCs w:val="32"/>
          <w:lang w:val="en-IN"/>
        </w:rPr>
        <w:t>IEEE Trans. Smart Grid</w:t>
      </w:r>
      <w:r w:rsidRPr="00596DCD">
        <w:rPr>
          <w:sz w:val="32"/>
          <w:szCs w:val="32"/>
          <w:lang w:val="en-IN"/>
        </w:rPr>
        <w:t>, 2018, 9, (2), pp. 1494– 1505.</w:t>
      </w:r>
    </w:p>
    <w:p w:rsidR="00000000" w:rsidRPr="00596DCD" w:rsidRDefault="00F30EB4" w:rsidP="00596DCD">
      <w:pPr>
        <w:pStyle w:val="BodyText"/>
        <w:numPr>
          <w:ilvl w:val="0"/>
          <w:numId w:val="46"/>
        </w:numPr>
        <w:rPr>
          <w:sz w:val="32"/>
          <w:szCs w:val="32"/>
          <w:lang w:val="en-IN"/>
        </w:rPr>
      </w:pPr>
      <w:r w:rsidRPr="00596DCD">
        <w:rPr>
          <w:sz w:val="32"/>
          <w:szCs w:val="32"/>
          <w:lang w:val="en-IN"/>
        </w:rPr>
        <w:t>4.Mohan V., Singh J.G., and Ongsakul W.: ‘ Sortino ratio based portfolio</w:t>
      </w:r>
      <w:r w:rsidRPr="00596DCD">
        <w:rPr>
          <w:sz w:val="32"/>
          <w:szCs w:val="32"/>
          <w:lang w:val="en-IN"/>
        </w:rPr>
        <w:t xml:space="preserve"> optimization considering EVs and renewable energy in microgrid power market’, </w:t>
      </w:r>
      <w:r w:rsidRPr="00596DCD">
        <w:rPr>
          <w:i/>
          <w:iCs/>
          <w:sz w:val="32"/>
          <w:szCs w:val="32"/>
          <w:lang w:val="en-IN"/>
        </w:rPr>
        <w:t>IEEE Trans. Sustain. Energy</w:t>
      </w:r>
      <w:r w:rsidRPr="00596DCD">
        <w:rPr>
          <w:sz w:val="32"/>
          <w:szCs w:val="32"/>
          <w:lang w:val="en-IN"/>
        </w:rPr>
        <w:t>, 2017, 8, (1), pp. 219– 229.</w:t>
      </w:r>
    </w:p>
    <w:p w:rsidR="00000000" w:rsidRPr="00596DCD" w:rsidRDefault="00F30EB4" w:rsidP="00596DCD">
      <w:pPr>
        <w:pStyle w:val="BodyText"/>
        <w:numPr>
          <w:ilvl w:val="0"/>
          <w:numId w:val="46"/>
        </w:numPr>
        <w:rPr>
          <w:sz w:val="32"/>
          <w:szCs w:val="32"/>
          <w:lang w:val="en-IN"/>
        </w:rPr>
      </w:pPr>
      <w:r w:rsidRPr="00596DCD">
        <w:rPr>
          <w:sz w:val="32"/>
          <w:szCs w:val="32"/>
          <w:lang w:val="en-IN"/>
        </w:rPr>
        <w:t>5.Chen Q., Wang F., and Hodge B.M. </w:t>
      </w:r>
      <w:r w:rsidRPr="00596DCD">
        <w:rPr>
          <w:i/>
          <w:iCs/>
          <w:sz w:val="32"/>
          <w:szCs w:val="32"/>
          <w:lang w:val="en-IN"/>
        </w:rPr>
        <w:t>et al.</w:t>
      </w:r>
      <w:r w:rsidRPr="00596DCD">
        <w:rPr>
          <w:sz w:val="32"/>
          <w:szCs w:val="32"/>
          <w:lang w:val="en-IN"/>
        </w:rPr>
        <w:t>: ‘ Dynamic price vector formation model-based automatic demand response strat</w:t>
      </w:r>
      <w:r w:rsidRPr="00596DCD">
        <w:rPr>
          <w:sz w:val="32"/>
          <w:szCs w:val="32"/>
          <w:lang w:val="en-IN"/>
        </w:rPr>
        <w:t>egy for PV-assisted EV charging stations’, </w:t>
      </w:r>
      <w:r w:rsidRPr="00596DCD">
        <w:rPr>
          <w:i/>
          <w:iCs/>
          <w:sz w:val="32"/>
          <w:szCs w:val="32"/>
          <w:lang w:val="en-IN"/>
        </w:rPr>
        <w:t>IEEE Trans. Smart Grid</w:t>
      </w:r>
      <w:r w:rsidRPr="00596DCD">
        <w:rPr>
          <w:sz w:val="32"/>
          <w:szCs w:val="32"/>
          <w:lang w:val="en-IN"/>
        </w:rPr>
        <w:t>, 2017, 8, (6), pp. 2903– 2915.</w:t>
      </w:r>
    </w:p>
    <w:p w:rsidR="00000000" w:rsidRPr="00596DCD" w:rsidRDefault="00F30EB4" w:rsidP="00596DCD">
      <w:pPr>
        <w:pStyle w:val="BodyText"/>
        <w:numPr>
          <w:ilvl w:val="0"/>
          <w:numId w:val="46"/>
        </w:numPr>
        <w:rPr>
          <w:sz w:val="32"/>
          <w:szCs w:val="32"/>
          <w:lang w:val="en-IN"/>
        </w:rPr>
      </w:pPr>
      <w:r w:rsidRPr="00596DCD">
        <w:rPr>
          <w:sz w:val="32"/>
          <w:szCs w:val="32"/>
          <w:lang w:val="en-IN"/>
        </w:rPr>
        <w:t xml:space="preserve">6.Chaudhari K., Ukil A., and Kumar K.N. et al.: ‘ Hybrid optimization for economic deployment of ESS in PV-integrated EV charging stations’, IEEE Trans. Ind. </w:t>
      </w:r>
      <w:r w:rsidRPr="00596DCD">
        <w:rPr>
          <w:sz w:val="32"/>
          <w:szCs w:val="32"/>
          <w:lang w:val="en-IN"/>
        </w:rPr>
        <w:t>Inf., 2018, 14, (1), pp. 106– 116.</w:t>
      </w:r>
    </w:p>
    <w:p w:rsidR="00000000" w:rsidRPr="00596DCD" w:rsidRDefault="00F30EB4" w:rsidP="00596DCD">
      <w:pPr>
        <w:pStyle w:val="BodyText"/>
        <w:numPr>
          <w:ilvl w:val="0"/>
          <w:numId w:val="46"/>
        </w:numPr>
        <w:rPr>
          <w:sz w:val="32"/>
          <w:szCs w:val="32"/>
          <w:lang w:val="en-IN"/>
        </w:rPr>
      </w:pPr>
      <w:r w:rsidRPr="00596DCD">
        <w:rPr>
          <w:sz w:val="32"/>
          <w:szCs w:val="32"/>
          <w:lang w:val="en-IN"/>
        </w:rPr>
        <w:lastRenderedPageBreak/>
        <w:t>7.Pareek A., Singh P., and Rao P.N.: ‘ Analysis and comparison of charging time between battery and supercapacitor for 300 W stand-alone PV system’. Int. Conf. on Current Trends Towards Converging Technologies (ICCTCT), </w:t>
      </w:r>
      <w:r w:rsidRPr="00596DCD">
        <w:rPr>
          <w:sz w:val="32"/>
          <w:szCs w:val="32"/>
          <w:lang w:val="en-IN"/>
        </w:rPr>
        <w:t>Tamilnadu, India, 2018, pp. 1– 6.</w:t>
      </w:r>
    </w:p>
    <w:p w:rsidR="00000000" w:rsidRPr="00596DCD" w:rsidRDefault="00F30EB4" w:rsidP="00596DCD">
      <w:pPr>
        <w:pStyle w:val="BodyText"/>
        <w:numPr>
          <w:ilvl w:val="0"/>
          <w:numId w:val="46"/>
        </w:numPr>
        <w:rPr>
          <w:sz w:val="32"/>
          <w:szCs w:val="32"/>
          <w:lang w:val="en-IN"/>
        </w:rPr>
      </w:pPr>
      <w:r w:rsidRPr="00596DCD">
        <w:rPr>
          <w:sz w:val="32"/>
          <w:szCs w:val="32"/>
          <w:lang w:val="en-IN"/>
        </w:rPr>
        <w:t>8.Feng R., Xu J., and Wu G.: ‘ Research on joint coordination control of stand-alone wind-solar systems with battery storage’. China Int. Conf. on Electricity Distribution (CICED), Tianjin, People's Republic of China, 201</w:t>
      </w:r>
      <w:r w:rsidRPr="00596DCD">
        <w:rPr>
          <w:sz w:val="32"/>
          <w:szCs w:val="32"/>
          <w:lang w:val="en-IN"/>
        </w:rPr>
        <w:t>6, pp. 1– 6.</w:t>
      </w:r>
    </w:p>
    <w:p w:rsidR="00000000" w:rsidRPr="00596DCD" w:rsidRDefault="00F30EB4" w:rsidP="00596DCD">
      <w:pPr>
        <w:pStyle w:val="BodyText"/>
        <w:numPr>
          <w:ilvl w:val="0"/>
          <w:numId w:val="46"/>
        </w:numPr>
        <w:rPr>
          <w:sz w:val="32"/>
          <w:szCs w:val="32"/>
          <w:lang w:val="en-IN"/>
        </w:rPr>
      </w:pPr>
      <w:r w:rsidRPr="00596DCD">
        <w:rPr>
          <w:sz w:val="32"/>
          <w:szCs w:val="32"/>
          <w:lang w:val="en-IN"/>
        </w:rPr>
        <w:t>9.Amanor-Boadu J., Sanchez-Sinencio E., and Asmah M.W.: ‘ A universal fast battery charging and management solution for stand-alone solar photovoltaic home systems in sub-saharan Africa’. IEEE PES PowerAfrica, Accra, Ghana, 2017, pp. 174– </w:t>
      </w:r>
      <w:r w:rsidRPr="00596DCD">
        <w:rPr>
          <w:sz w:val="32"/>
          <w:szCs w:val="32"/>
          <w:lang w:val="en-IN"/>
        </w:rPr>
        <w:t>179.</w:t>
      </w:r>
    </w:p>
    <w:p w:rsidR="00000000" w:rsidRPr="00596DCD" w:rsidRDefault="00F30EB4" w:rsidP="00596DCD">
      <w:pPr>
        <w:pStyle w:val="BodyText"/>
        <w:numPr>
          <w:ilvl w:val="0"/>
          <w:numId w:val="46"/>
        </w:numPr>
        <w:rPr>
          <w:sz w:val="32"/>
          <w:szCs w:val="32"/>
          <w:lang w:val="en-IN"/>
        </w:rPr>
      </w:pPr>
      <w:r w:rsidRPr="00596DCD">
        <w:rPr>
          <w:sz w:val="32"/>
          <w:szCs w:val="32"/>
          <w:lang w:val="en-IN"/>
        </w:rPr>
        <w:t>10.Zhou B., Xu D., and Li C. et al.: ‘ Optimal scheduling of biogas-solar-wind renewable portfolio for multicarrier energy supplies’, IEEE Trans. Power Syst., 2018, 33, (6), pp. 6229– 6239.</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0EB4" w:rsidRDefault="00F30EB4" w:rsidP="003654DF">
      <w:pPr>
        <w:spacing w:after="0" w:line="240" w:lineRule="auto"/>
      </w:pPr>
      <w:r>
        <w:separator/>
      </w:r>
    </w:p>
  </w:endnote>
  <w:endnote w:type="continuationSeparator" w:id="1">
    <w:p w:rsidR="00F30EB4" w:rsidRDefault="00F30EB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0EB4" w:rsidRDefault="00F30EB4" w:rsidP="003654DF">
      <w:pPr>
        <w:spacing w:after="0" w:line="240" w:lineRule="auto"/>
      </w:pPr>
      <w:r>
        <w:separator/>
      </w:r>
    </w:p>
  </w:footnote>
  <w:footnote w:type="continuationSeparator" w:id="1">
    <w:p w:rsidR="00F30EB4" w:rsidRDefault="00F30EB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97D28">
        <w:pPr>
          <w:pStyle w:val="Header"/>
          <w:jc w:val="right"/>
        </w:pPr>
        <w:fldSimple w:instr=" PAGE   \* MERGEFORMAT ">
          <w:r w:rsidR="00596DCD">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CF1498"/>
    <w:multiLevelType w:val="hybridMultilevel"/>
    <w:tmpl w:val="71F68B8E"/>
    <w:lvl w:ilvl="0" w:tplc="6ADE5FD2">
      <w:start w:val="1"/>
      <w:numFmt w:val="bullet"/>
      <w:lvlText w:val=""/>
      <w:lvlJc w:val="left"/>
      <w:pPr>
        <w:tabs>
          <w:tab w:val="num" w:pos="720"/>
        </w:tabs>
        <w:ind w:left="720" w:hanging="360"/>
      </w:pPr>
      <w:rPr>
        <w:rFonts w:ascii="Wingdings 2" w:hAnsi="Wingdings 2" w:hint="default"/>
      </w:rPr>
    </w:lvl>
    <w:lvl w:ilvl="1" w:tplc="8B501B24" w:tentative="1">
      <w:start w:val="1"/>
      <w:numFmt w:val="bullet"/>
      <w:lvlText w:val=""/>
      <w:lvlJc w:val="left"/>
      <w:pPr>
        <w:tabs>
          <w:tab w:val="num" w:pos="1440"/>
        </w:tabs>
        <w:ind w:left="1440" w:hanging="360"/>
      </w:pPr>
      <w:rPr>
        <w:rFonts w:ascii="Wingdings 2" w:hAnsi="Wingdings 2" w:hint="default"/>
      </w:rPr>
    </w:lvl>
    <w:lvl w:ilvl="2" w:tplc="80D4B6E4" w:tentative="1">
      <w:start w:val="1"/>
      <w:numFmt w:val="bullet"/>
      <w:lvlText w:val=""/>
      <w:lvlJc w:val="left"/>
      <w:pPr>
        <w:tabs>
          <w:tab w:val="num" w:pos="2160"/>
        </w:tabs>
        <w:ind w:left="2160" w:hanging="360"/>
      </w:pPr>
      <w:rPr>
        <w:rFonts w:ascii="Wingdings 2" w:hAnsi="Wingdings 2" w:hint="default"/>
      </w:rPr>
    </w:lvl>
    <w:lvl w:ilvl="3" w:tplc="FA427BCA" w:tentative="1">
      <w:start w:val="1"/>
      <w:numFmt w:val="bullet"/>
      <w:lvlText w:val=""/>
      <w:lvlJc w:val="left"/>
      <w:pPr>
        <w:tabs>
          <w:tab w:val="num" w:pos="2880"/>
        </w:tabs>
        <w:ind w:left="2880" w:hanging="360"/>
      </w:pPr>
      <w:rPr>
        <w:rFonts w:ascii="Wingdings 2" w:hAnsi="Wingdings 2" w:hint="default"/>
      </w:rPr>
    </w:lvl>
    <w:lvl w:ilvl="4" w:tplc="560CA608" w:tentative="1">
      <w:start w:val="1"/>
      <w:numFmt w:val="bullet"/>
      <w:lvlText w:val=""/>
      <w:lvlJc w:val="left"/>
      <w:pPr>
        <w:tabs>
          <w:tab w:val="num" w:pos="3600"/>
        </w:tabs>
        <w:ind w:left="3600" w:hanging="360"/>
      </w:pPr>
      <w:rPr>
        <w:rFonts w:ascii="Wingdings 2" w:hAnsi="Wingdings 2" w:hint="default"/>
      </w:rPr>
    </w:lvl>
    <w:lvl w:ilvl="5" w:tplc="EB04C084" w:tentative="1">
      <w:start w:val="1"/>
      <w:numFmt w:val="bullet"/>
      <w:lvlText w:val=""/>
      <w:lvlJc w:val="left"/>
      <w:pPr>
        <w:tabs>
          <w:tab w:val="num" w:pos="4320"/>
        </w:tabs>
        <w:ind w:left="4320" w:hanging="360"/>
      </w:pPr>
      <w:rPr>
        <w:rFonts w:ascii="Wingdings 2" w:hAnsi="Wingdings 2" w:hint="default"/>
      </w:rPr>
    </w:lvl>
    <w:lvl w:ilvl="6" w:tplc="3AFC513A" w:tentative="1">
      <w:start w:val="1"/>
      <w:numFmt w:val="bullet"/>
      <w:lvlText w:val=""/>
      <w:lvlJc w:val="left"/>
      <w:pPr>
        <w:tabs>
          <w:tab w:val="num" w:pos="5040"/>
        </w:tabs>
        <w:ind w:left="5040" w:hanging="360"/>
      </w:pPr>
      <w:rPr>
        <w:rFonts w:ascii="Wingdings 2" w:hAnsi="Wingdings 2" w:hint="default"/>
      </w:rPr>
    </w:lvl>
    <w:lvl w:ilvl="7" w:tplc="8688B030" w:tentative="1">
      <w:start w:val="1"/>
      <w:numFmt w:val="bullet"/>
      <w:lvlText w:val=""/>
      <w:lvlJc w:val="left"/>
      <w:pPr>
        <w:tabs>
          <w:tab w:val="num" w:pos="5760"/>
        </w:tabs>
        <w:ind w:left="5760" w:hanging="360"/>
      </w:pPr>
      <w:rPr>
        <w:rFonts w:ascii="Wingdings 2" w:hAnsi="Wingdings 2" w:hint="default"/>
      </w:rPr>
    </w:lvl>
    <w:lvl w:ilvl="8" w:tplc="B3600FAA"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94013D4"/>
    <w:multiLevelType w:val="hybridMultilevel"/>
    <w:tmpl w:val="AFFE548A"/>
    <w:lvl w:ilvl="0" w:tplc="ABA094B4">
      <w:start w:val="1"/>
      <w:numFmt w:val="bullet"/>
      <w:lvlText w:val=""/>
      <w:lvlJc w:val="left"/>
      <w:pPr>
        <w:tabs>
          <w:tab w:val="num" w:pos="720"/>
        </w:tabs>
        <w:ind w:left="720" w:hanging="360"/>
      </w:pPr>
      <w:rPr>
        <w:rFonts w:ascii="Wingdings 2" w:hAnsi="Wingdings 2" w:hint="default"/>
      </w:rPr>
    </w:lvl>
    <w:lvl w:ilvl="1" w:tplc="35CC4070" w:tentative="1">
      <w:start w:val="1"/>
      <w:numFmt w:val="bullet"/>
      <w:lvlText w:val=""/>
      <w:lvlJc w:val="left"/>
      <w:pPr>
        <w:tabs>
          <w:tab w:val="num" w:pos="1440"/>
        </w:tabs>
        <w:ind w:left="1440" w:hanging="360"/>
      </w:pPr>
      <w:rPr>
        <w:rFonts w:ascii="Wingdings 2" w:hAnsi="Wingdings 2" w:hint="default"/>
      </w:rPr>
    </w:lvl>
    <w:lvl w:ilvl="2" w:tplc="7FDC87BA" w:tentative="1">
      <w:start w:val="1"/>
      <w:numFmt w:val="bullet"/>
      <w:lvlText w:val=""/>
      <w:lvlJc w:val="left"/>
      <w:pPr>
        <w:tabs>
          <w:tab w:val="num" w:pos="2160"/>
        </w:tabs>
        <w:ind w:left="2160" w:hanging="360"/>
      </w:pPr>
      <w:rPr>
        <w:rFonts w:ascii="Wingdings 2" w:hAnsi="Wingdings 2" w:hint="default"/>
      </w:rPr>
    </w:lvl>
    <w:lvl w:ilvl="3" w:tplc="85B87D54" w:tentative="1">
      <w:start w:val="1"/>
      <w:numFmt w:val="bullet"/>
      <w:lvlText w:val=""/>
      <w:lvlJc w:val="left"/>
      <w:pPr>
        <w:tabs>
          <w:tab w:val="num" w:pos="2880"/>
        </w:tabs>
        <w:ind w:left="2880" w:hanging="360"/>
      </w:pPr>
      <w:rPr>
        <w:rFonts w:ascii="Wingdings 2" w:hAnsi="Wingdings 2" w:hint="default"/>
      </w:rPr>
    </w:lvl>
    <w:lvl w:ilvl="4" w:tplc="771CE6A2" w:tentative="1">
      <w:start w:val="1"/>
      <w:numFmt w:val="bullet"/>
      <w:lvlText w:val=""/>
      <w:lvlJc w:val="left"/>
      <w:pPr>
        <w:tabs>
          <w:tab w:val="num" w:pos="3600"/>
        </w:tabs>
        <w:ind w:left="3600" w:hanging="360"/>
      </w:pPr>
      <w:rPr>
        <w:rFonts w:ascii="Wingdings 2" w:hAnsi="Wingdings 2" w:hint="default"/>
      </w:rPr>
    </w:lvl>
    <w:lvl w:ilvl="5" w:tplc="70E443CC" w:tentative="1">
      <w:start w:val="1"/>
      <w:numFmt w:val="bullet"/>
      <w:lvlText w:val=""/>
      <w:lvlJc w:val="left"/>
      <w:pPr>
        <w:tabs>
          <w:tab w:val="num" w:pos="4320"/>
        </w:tabs>
        <w:ind w:left="4320" w:hanging="360"/>
      </w:pPr>
      <w:rPr>
        <w:rFonts w:ascii="Wingdings 2" w:hAnsi="Wingdings 2" w:hint="default"/>
      </w:rPr>
    </w:lvl>
    <w:lvl w:ilvl="6" w:tplc="5386BD00" w:tentative="1">
      <w:start w:val="1"/>
      <w:numFmt w:val="bullet"/>
      <w:lvlText w:val=""/>
      <w:lvlJc w:val="left"/>
      <w:pPr>
        <w:tabs>
          <w:tab w:val="num" w:pos="5040"/>
        </w:tabs>
        <w:ind w:left="5040" w:hanging="360"/>
      </w:pPr>
      <w:rPr>
        <w:rFonts w:ascii="Wingdings 2" w:hAnsi="Wingdings 2" w:hint="default"/>
      </w:rPr>
    </w:lvl>
    <w:lvl w:ilvl="7" w:tplc="1B061BC2" w:tentative="1">
      <w:start w:val="1"/>
      <w:numFmt w:val="bullet"/>
      <w:lvlText w:val=""/>
      <w:lvlJc w:val="left"/>
      <w:pPr>
        <w:tabs>
          <w:tab w:val="num" w:pos="5760"/>
        </w:tabs>
        <w:ind w:left="5760" w:hanging="360"/>
      </w:pPr>
      <w:rPr>
        <w:rFonts w:ascii="Wingdings 2" w:hAnsi="Wingdings 2" w:hint="default"/>
      </w:rPr>
    </w:lvl>
    <w:lvl w:ilvl="8" w:tplc="654EE902"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04739C"/>
    <w:multiLevelType w:val="hybridMultilevel"/>
    <w:tmpl w:val="1316ABEC"/>
    <w:lvl w:ilvl="0" w:tplc="2ADE095E">
      <w:start w:val="1"/>
      <w:numFmt w:val="bullet"/>
      <w:lvlText w:val=""/>
      <w:lvlJc w:val="left"/>
      <w:pPr>
        <w:tabs>
          <w:tab w:val="num" w:pos="720"/>
        </w:tabs>
        <w:ind w:left="720" w:hanging="360"/>
      </w:pPr>
      <w:rPr>
        <w:rFonts w:ascii="Wingdings 2" w:hAnsi="Wingdings 2" w:hint="default"/>
      </w:rPr>
    </w:lvl>
    <w:lvl w:ilvl="1" w:tplc="BD26CD72" w:tentative="1">
      <w:start w:val="1"/>
      <w:numFmt w:val="bullet"/>
      <w:lvlText w:val=""/>
      <w:lvlJc w:val="left"/>
      <w:pPr>
        <w:tabs>
          <w:tab w:val="num" w:pos="1440"/>
        </w:tabs>
        <w:ind w:left="1440" w:hanging="360"/>
      </w:pPr>
      <w:rPr>
        <w:rFonts w:ascii="Wingdings 2" w:hAnsi="Wingdings 2" w:hint="default"/>
      </w:rPr>
    </w:lvl>
    <w:lvl w:ilvl="2" w:tplc="383840DE" w:tentative="1">
      <w:start w:val="1"/>
      <w:numFmt w:val="bullet"/>
      <w:lvlText w:val=""/>
      <w:lvlJc w:val="left"/>
      <w:pPr>
        <w:tabs>
          <w:tab w:val="num" w:pos="2160"/>
        </w:tabs>
        <w:ind w:left="2160" w:hanging="360"/>
      </w:pPr>
      <w:rPr>
        <w:rFonts w:ascii="Wingdings 2" w:hAnsi="Wingdings 2" w:hint="default"/>
      </w:rPr>
    </w:lvl>
    <w:lvl w:ilvl="3" w:tplc="19589D20" w:tentative="1">
      <w:start w:val="1"/>
      <w:numFmt w:val="bullet"/>
      <w:lvlText w:val=""/>
      <w:lvlJc w:val="left"/>
      <w:pPr>
        <w:tabs>
          <w:tab w:val="num" w:pos="2880"/>
        </w:tabs>
        <w:ind w:left="2880" w:hanging="360"/>
      </w:pPr>
      <w:rPr>
        <w:rFonts w:ascii="Wingdings 2" w:hAnsi="Wingdings 2" w:hint="default"/>
      </w:rPr>
    </w:lvl>
    <w:lvl w:ilvl="4" w:tplc="3A52EC4C" w:tentative="1">
      <w:start w:val="1"/>
      <w:numFmt w:val="bullet"/>
      <w:lvlText w:val=""/>
      <w:lvlJc w:val="left"/>
      <w:pPr>
        <w:tabs>
          <w:tab w:val="num" w:pos="3600"/>
        </w:tabs>
        <w:ind w:left="3600" w:hanging="360"/>
      </w:pPr>
      <w:rPr>
        <w:rFonts w:ascii="Wingdings 2" w:hAnsi="Wingdings 2" w:hint="default"/>
      </w:rPr>
    </w:lvl>
    <w:lvl w:ilvl="5" w:tplc="D7660B84" w:tentative="1">
      <w:start w:val="1"/>
      <w:numFmt w:val="bullet"/>
      <w:lvlText w:val=""/>
      <w:lvlJc w:val="left"/>
      <w:pPr>
        <w:tabs>
          <w:tab w:val="num" w:pos="4320"/>
        </w:tabs>
        <w:ind w:left="4320" w:hanging="360"/>
      </w:pPr>
      <w:rPr>
        <w:rFonts w:ascii="Wingdings 2" w:hAnsi="Wingdings 2" w:hint="default"/>
      </w:rPr>
    </w:lvl>
    <w:lvl w:ilvl="6" w:tplc="09CC3DE2" w:tentative="1">
      <w:start w:val="1"/>
      <w:numFmt w:val="bullet"/>
      <w:lvlText w:val=""/>
      <w:lvlJc w:val="left"/>
      <w:pPr>
        <w:tabs>
          <w:tab w:val="num" w:pos="5040"/>
        </w:tabs>
        <w:ind w:left="5040" w:hanging="360"/>
      </w:pPr>
      <w:rPr>
        <w:rFonts w:ascii="Wingdings 2" w:hAnsi="Wingdings 2" w:hint="default"/>
      </w:rPr>
    </w:lvl>
    <w:lvl w:ilvl="7" w:tplc="5D64269E" w:tentative="1">
      <w:start w:val="1"/>
      <w:numFmt w:val="bullet"/>
      <w:lvlText w:val=""/>
      <w:lvlJc w:val="left"/>
      <w:pPr>
        <w:tabs>
          <w:tab w:val="num" w:pos="5760"/>
        </w:tabs>
        <w:ind w:left="5760" w:hanging="360"/>
      </w:pPr>
      <w:rPr>
        <w:rFonts w:ascii="Wingdings 2" w:hAnsi="Wingdings 2" w:hint="default"/>
      </w:rPr>
    </w:lvl>
    <w:lvl w:ilvl="8" w:tplc="C7CA2156"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E80292"/>
    <w:multiLevelType w:val="hybridMultilevel"/>
    <w:tmpl w:val="B02629F4"/>
    <w:lvl w:ilvl="0" w:tplc="C7325060">
      <w:start w:val="1"/>
      <w:numFmt w:val="bullet"/>
      <w:lvlText w:val=""/>
      <w:lvlJc w:val="left"/>
      <w:pPr>
        <w:tabs>
          <w:tab w:val="num" w:pos="720"/>
        </w:tabs>
        <w:ind w:left="720" w:hanging="360"/>
      </w:pPr>
      <w:rPr>
        <w:rFonts w:ascii="Wingdings 2" w:hAnsi="Wingdings 2" w:hint="default"/>
      </w:rPr>
    </w:lvl>
    <w:lvl w:ilvl="1" w:tplc="E3B653BC" w:tentative="1">
      <w:start w:val="1"/>
      <w:numFmt w:val="bullet"/>
      <w:lvlText w:val=""/>
      <w:lvlJc w:val="left"/>
      <w:pPr>
        <w:tabs>
          <w:tab w:val="num" w:pos="1440"/>
        </w:tabs>
        <w:ind w:left="1440" w:hanging="360"/>
      </w:pPr>
      <w:rPr>
        <w:rFonts w:ascii="Wingdings 2" w:hAnsi="Wingdings 2" w:hint="default"/>
      </w:rPr>
    </w:lvl>
    <w:lvl w:ilvl="2" w:tplc="EBE2E28C" w:tentative="1">
      <w:start w:val="1"/>
      <w:numFmt w:val="bullet"/>
      <w:lvlText w:val=""/>
      <w:lvlJc w:val="left"/>
      <w:pPr>
        <w:tabs>
          <w:tab w:val="num" w:pos="2160"/>
        </w:tabs>
        <w:ind w:left="2160" w:hanging="360"/>
      </w:pPr>
      <w:rPr>
        <w:rFonts w:ascii="Wingdings 2" w:hAnsi="Wingdings 2" w:hint="default"/>
      </w:rPr>
    </w:lvl>
    <w:lvl w:ilvl="3" w:tplc="CE3A023C" w:tentative="1">
      <w:start w:val="1"/>
      <w:numFmt w:val="bullet"/>
      <w:lvlText w:val=""/>
      <w:lvlJc w:val="left"/>
      <w:pPr>
        <w:tabs>
          <w:tab w:val="num" w:pos="2880"/>
        </w:tabs>
        <w:ind w:left="2880" w:hanging="360"/>
      </w:pPr>
      <w:rPr>
        <w:rFonts w:ascii="Wingdings 2" w:hAnsi="Wingdings 2" w:hint="default"/>
      </w:rPr>
    </w:lvl>
    <w:lvl w:ilvl="4" w:tplc="31E21D6A" w:tentative="1">
      <w:start w:val="1"/>
      <w:numFmt w:val="bullet"/>
      <w:lvlText w:val=""/>
      <w:lvlJc w:val="left"/>
      <w:pPr>
        <w:tabs>
          <w:tab w:val="num" w:pos="3600"/>
        </w:tabs>
        <w:ind w:left="3600" w:hanging="360"/>
      </w:pPr>
      <w:rPr>
        <w:rFonts w:ascii="Wingdings 2" w:hAnsi="Wingdings 2" w:hint="default"/>
      </w:rPr>
    </w:lvl>
    <w:lvl w:ilvl="5" w:tplc="DCD699D6" w:tentative="1">
      <w:start w:val="1"/>
      <w:numFmt w:val="bullet"/>
      <w:lvlText w:val=""/>
      <w:lvlJc w:val="left"/>
      <w:pPr>
        <w:tabs>
          <w:tab w:val="num" w:pos="4320"/>
        </w:tabs>
        <w:ind w:left="4320" w:hanging="360"/>
      </w:pPr>
      <w:rPr>
        <w:rFonts w:ascii="Wingdings 2" w:hAnsi="Wingdings 2" w:hint="default"/>
      </w:rPr>
    </w:lvl>
    <w:lvl w:ilvl="6" w:tplc="1544310E" w:tentative="1">
      <w:start w:val="1"/>
      <w:numFmt w:val="bullet"/>
      <w:lvlText w:val=""/>
      <w:lvlJc w:val="left"/>
      <w:pPr>
        <w:tabs>
          <w:tab w:val="num" w:pos="5040"/>
        </w:tabs>
        <w:ind w:left="5040" w:hanging="360"/>
      </w:pPr>
      <w:rPr>
        <w:rFonts w:ascii="Wingdings 2" w:hAnsi="Wingdings 2" w:hint="default"/>
      </w:rPr>
    </w:lvl>
    <w:lvl w:ilvl="7" w:tplc="32F401A8" w:tentative="1">
      <w:start w:val="1"/>
      <w:numFmt w:val="bullet"/>
      <w:lvlText w:val=""/>
      <w:lvlJc w:val="left"/>
      <w:pPr>
        <w:tabs>
          <w:tab w:val="num" w:pos="5760"/>
        </w:tabs>
        <w:ind w:left="5760" w:hanging="360"/>
      </w:pPr>
      <w:rPr>
        <w:rFonts w:ascii="Wingdings 2" w:hAnsi="Wingdings 2" w:hint="default"/>
      </w:rPr>
    </w:lvl>
    <w:lvl w:ilvl="8" w:tplc="CE16D636"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C3E4B59"/>
    <w:multiLevelType w:val="hybridMultilevel"/>
    <w:tmpl w:val="B644BFE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BF2EE0"/>
    <w:multiLevelType w:val="hybridMultilevel"/>
    <w:tmpl w:val="0130E810"/>
    <w:lvl w:ilvl="0" w:tplc="2CF04F38">
      <w:start w:val="1"/>
      <w:numFmt w:val="bullet"/>
      <w:lvlText w:val=""/>
      <w:lvlJc w:val="left"/>
      <w:pPr>
        <w:tabs>
          <w:tab w:val="num" w:pos="720"/>
        </w:tabs>
        <w:ind w:left="720" w:hanging="360"/>
      </w:pPr>
      <w:rPr>
        <w:rFonts w:ascii="Wingdings 2" w:hAnsi="Wingdings 2" w:hint="default"/>
      </w:rPr>
    </w:lvl>
    <w:lvl w:ilvl="1" w:tplc="815C151E" w:tentative="1">
      <w:start w:val="1"/>
      <w:numFmt w:val="bullet"/>
      <w:lvlText w:val=""/>
      <w:lvlJc w:val="left"/>
      <w:pPr>
        <w:tabs>
          <w:tab w:val="num" w:pos="1440"/>
        </w:tabs>
        <w:ind w:left="1440" w:hanging="360"/>
      </w:pPr>
      <w:rPr>
        <w:rFonts w:ascii="Wingdings 2" w:hAnsi="Wingdings 2" w:hint="default"/>
      </w:rPr>
    </w:lvl>
    <w:lvl w:ilvl="2" w:tplc="8DAECF0A" w:tentative="1">
      <w:start w:val="1"/>
      <w:numFmt w:val="bullet"/>
      <w:lvlText w:val=""/>
      <w:lvlJc w:val="left"/>
      <w:pPr>
        <w:tabs>
          <w:tab w:val="num" w:pos="2160"/>
        </w:tabs>
        <w:ind w:left="2160" w:hanging="360"/>
      </w:pPr>
      <w:rPr>
        <w:rFonts w:ascii="Wingdings 2" w:hAnsi="Wingdings 2" w:hint="default"/>
      </w:rPr>
    </w:lvl>
    <w:lvl w:ilvl="3" w:tplc="3C982766" w:tentative="1">
      <w:start w:val="1"/>
      <w:numFmt w:val="bullet"/>
      <w:lvlText w:val=""/>
      <w:lvlJc w:val="left"/>
      <w:pPr>
        <w:tabs>
          <w:tab w:val="num" w:pos="2880"/>
        </w:tabs>
        <w:ind w:left="2880" w:hanging="360"/>
      </w:pPr>
      <w:rPr>
        <w:rFonts w:ascii="Wingdings 2" w:hAnsi="Wingdings 2" w:hint="default"/>
      </w:rPr>
    </w:lvl>
    <w:lvl w:ilvl="4" w:tplc="E6969082" w:tentative="1">
      <w:start w:val="1"/>
      <w:numFmt w:val="bullet"/>
      <w:lvlText w:val=""/>
      <w:lvlJc w:val="left"/>
      <w:pPr>
        <w:tabs>
          <w:tab w:val="num" w:pos="3600"/>
        </w:tabs>
        <w:ind w:left="3600" w:hanging="360"/>
      </w:pPr>
      <w:rPr>
        <w:rFonts w:ascii="Wingdings 2" w:hAnsi="Wingdings 2" w:hint="default"/>
      </w:rPr>
    </w:lvl>
    <w:lvl w:ilvl="5" w:tplc="53845B04" w:tentative="1">
      <w:start w:val="1"/>
      <w:numFmt w:val="bullet"/>
      <w:lvlText w:val=""/>
      <w:lvlJc w:val="left"/>
      <w:pPr>
        <w:tabs>
          <w:tab w:val="num" w:pos="4320"/>
        </w:tabs>
        <w:ind w:left="4320" w:hanging="360"/>
      </w:pPr>
      <w:rPr>
        <w:rFonts w:ascii="Wingdings 2" w:hAnsi="Wingdings 2" w:hint="default"/>
      </w:rPr>
    </w:lvl>
    <w:lvl w:ilvl="6" w:tplc="FF669902" w:tentative="1">
      <w:start w:val="1"/>
      <w:numFmt w:val="bullet"/>
      <w:lvlText w:val=""/>
      <w:lvlJc w:val="left"/>
      <w:pPr>
        <w:tabs>
          <w:tab w:val="num" w:pos="5040"/>
        </w:tabs>
        <w:ind w:left="5040" w:hanging="360"/>
      </w:pPr>
      <w:rPr>
        <w:rFonts w:ascii="Wingdings 2" w:hAnsi="Wingdings 2" w:hint="default"/>
      </w:rPr>
    </w:lvl>
    <w:lvl w:ilvl="7" w:tplc="6C963A6A" w:tentative="1">
      <w:start w:val="1"/>
      <w:numFmt w:val="bullet"/>
      <w:lvlText w:val=""/>
      <w:lvlJc w:val="left"/>
      <w:pPr>
        <w:tabs>
          <w:tab w:val="num" w:pos="5760"/>
        </w:tabs>
        <w:ind w:left="5760" w:hanging="360"/>
      </w:pPr>
      <w:rPr>
        <w:rFonts w:ascii="Wingdings 2" w:hAnsi="Wingdings 2" w:hint="default"/>
      </w:rPr>
    </w:lvl>
    <w:lvl w:ilvl="8" w:tplc="53F66DBC"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10"/>
  </w:num>
  <w:num w:numId="12">
    <w:abstractNumId w:val="33"/>
  </w:num>
  <w:num w:numId="13">
    <w:abstractNumId w:val="40"/>
  </w:num>
  <w:num w:numId="14">
    <w:abstractNumId w:val="45"/>
  </w:num>
  <w:num w:numId="15">
    <w:abstractNumId w:val="35"/>
  </w:num>
  <w:num w:numId="16">
    <w:abstractNumId w:val="32"/>
  </w:num>
  <w:num w:numId="17">
    <w:abstractNumId w:val="8"/>
  </w:num>
  <w:num w:numId="18">
    <w:abstractNumId w:val="34"/>
  </w:num>
  <w:num w:numId="19">
    <w:abstractNumId w:val="24"/>
  </w:num>
  <w:num w:numId="20">
    <w:abstractNumId w:val="6"/>
  </w:num>
  <w:num w:numId="21">
    <w:abstractNumId w:val="46"/>
  </w:num>
  <w:num w:numId="22">
    <w:abstractNumId w:val="18"/>
  </w:num>
  <w:num w:numId="23">
    <w:abstractNumId w:val="42"/>
  </w:num>
  <w:num w:numId="24">
    <w:abstractNumId w:val="43"/>
  </w:num>
  <w:num w:numId="25">
    <w:abstractNumId w:val="30"/>
  </w:num>
  <w:num w:numId="26">
    <w:abstractNumId w:val="17"/>
  </w:num>
  <w:num w:numId="27">
    <w:abstractNumId w:val="3"/>
  </w:num>
  <w:num w:numId="28">
    <w:abstractNumId w:val="11"/>
  </w:num>
  <w:num w:numId="29">
    <w:abstractNumId w:val="31"/>
  </w:num>
  <w:num w:numId="30">
    <w:abstractNumId w:val="38"/>
  </w:num>
  <w:num w:numId="31">
    <w:abstractNumId w:val="28"/>
  </w:num>
  <w:num w:numId="32">
    <w:abstractNumId w:val="2"/>
  </w:num>
  <w:num w:numId="33">
    <w:abstractNumId w:val="26"/>
  </w:num>
  <w:num w:numId="34">
    <w:abstractNumId w:val="21"/>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3"/>
  </w:num>
  <w:num w:numId="42">
    <w:abstractNumId w:val="27"/>
  </w:num>
  <w:num w:numId="43">
    <w:abstractNumId w:val="22"/>
  </w:num>
  <w:num w:numId="44">
    <w:abstractNumId w:val="41"/>
  </w:num>
  <w:num w:numId="45">
    <w:abstractNumId w:val="36"/>
  </w:num>
  <w:num w:numId="46">
    <w:abstractNumId w:val="7"/>
  </w:num>
  <w:num w:numId="47">
    <w:abstractNumId w:val="4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653D"/>
    <w:rsid w:val="000474C9"/>
    <w:rsid w:val="000476ED"/>
    <w:rsid w:val="000503A7"/>
    <w:rsid w:val="00051F24"/>
    <w:rsid w:val="00052AF6"/>
    <w:rsid w:val="000531E3"/>
    <w:rsid w:val="0005332C"/>
    <w:rsid w:val="000534D7"/>
    <w:rsid w:val="0005483A"/>
    <w:rsid w:val="00056047"/>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97D28"/>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22B2"/>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1ECB"/>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DCD"/>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048F"/>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2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0D"/>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C1751"/>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EF7967"/>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0EB4"/>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186032">
      <w:bodyDiv w:val="1"/>
      <w:marLeft w:val="0"/>
      <w:marRight w:val="0"/>
      <w:marTop w:val="0"/>
      <w:marBottom w:val="0"/>
      <w:divBdr>
        <w:top w:val="none" w:sz="0" w:space="0" w:color="auto"/>
        <w:left w:val="none" w:sz="0" w:space="0" w:color="auto"/>
        <w:bottom w:val="none" w:sz="0" w:space="0" w:color="auto"/>
        <w:right w:val="none" w:sz="0" w:space="0" w:color="auto"/>
      </w:divBdr>
      <w:divsChild>
        <w:div w:id="1283607836">
          <w:marLeft w:val="576"/>
          <w:marRight w:val="0"/>
          <w:marTop w:val="120"/>
          <w:marBottom w:val="0"/>
          <w:divBdr>
            <w:top w:val="none" w:sz="0" w:space="0" w:color="auto"/>
            <w:left w:val="none" w:sz="0" w:space="0" w:color="auto"/>
            <w:bottom w:val="none" w:sz="0" w:space="0" w:color="auto"/>
            <w:right w:val="none" w:sz="0" w:space="0" w:color="auto"/>
          </w:divBdr>
        </w:div>
        <w:div w:id="1538813476">
          <w:marLeft w:val="576"/>
          <w:marRight w:val="0"/>
          <w:marTop w:val="120"/>
          <w:marBottom w:val="0"/>
          <w:divBdr>
            <w:top w:val="none" w:sz="0" w:space="0" w:color="auto"/>
            <w:left w:val="none" w:sz="0" w:space="0" w:color="auto"/>
            <w:bottom w:val="none" w:sz="0" w:space="0" w:color="auto"/>
            <w:right w:val="none" w:sz="0" w:space="0" w:color="auto"/>
          </w:divBdr>
        </w:div>
        <w:div w:id="72511465">
          <w:marLeft w:val="576"/>
          <w:marRight w:val="0"/>
          <w:marTop w:val="120"/>
          <w:marBottom w:val="0"/>
          <w:divBdr>
            <w:top w:val="none" w:sz="0" w:space="0" w:color="auto"/>
            <w:left w:val="none" w:sz="0" w:space="0" w:color="auto"/>
            <w:bottom w:val="none" w:sz="0" w:space="0" w:color="auto"/>
            <w:right w:val="none" w:sz="0" w:space="0" w:color="auto"/>
          </w:divBdr>
        </w:div>
        <w:div w:id="1429424266">
          <w:marLeft w:val="576"/>
          <w:marRight w:val="0"/>
          <w:marTop w:val="120"/>
          <w:marBottom w:val="0"/>
          <w:divBdr>
            <w:top w:val="none" w:sz="0" w:space="0" w:color="auto"/>
            <w:left w:val="none" w:sz="0" w:space="0" w:color="auto"/>
            <w:bottom w:val="none" w:sz="0" w:space="0" w:color="auto"/>
            <w:right w:val="none" w:sz="0" w:space="0" w:color="auto"/>
          </w:divBdr>
        </w:div>
        <w:div w:id="2031644356">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7070492">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622263">
      <w:bodyDiv w:val="1"/>
      <w:marLeft w:val="0"/>
      <w:marRight w:val="0"/>
      <w:marTop w:val="0"/>
      <w:marBottom w:val="0"/>
      <w:divBdr>
        <w:top w:val="none" w:sz="0" w:space="0" w:color="auto"/>
        <w:left w:val="none" w:sz="0" w:space="0" w:color="auto"/>
        <w:bottom w:val="none" w:sz="0" w:space="0" w:color="auto"/>
        <w:right w:val="none" w:sz="0" w:space="0" w:color="auto"/>
      </w:divBdr>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93617821">
      <w:bodyDiv w:val="1"/>
      <w:marLeft w:val="0"/>
      <w:marRight w:val="0"/>
      <w:marTop w:val="0"/>
      <w:marBottom w:val="0"/>
      <w:divBdr>
        <w:top w:val="none" w:sz="0" w:space="0" w:color="auto"/>
        <w:left w:val="none" w:sz="0" w:space="0" w:color="auto"/>
        <w:bottom w:val="none" w:sz="0" w:space="0" w:color="auto"/>
        <w:right w:val="none" w:sz="0" w:space="0" w:color="auto"/>
      </w:divBdr>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84135734">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564303">
      <w:bodyDiv w:val="1"/>
      <w:marLeft w:val="0"/>
      <w:marRight w:val="0"/>
      <w:marTop w:val="0"/>
      <w:marBottom w:val="0"/>
      <w:divBdr>
        <w:top w:val="none" w:sz="0" w:space="0" w:color="auto"/>
        <w:left w:val="none" w:sz="0" w:space="0" w:color="auto"/>
        <w:bottom w:val="none" w:sz="0" w:space="0" w:color="auto"/>
        <w:right w:val="none" w:sz="0" w:space="0" w:color="auto"/>
      </w:divBdr>
      <w:divsChild>
        <w:div w:id="293685172">
          <w:marLeft w:val="576"/>
          <w:marRight w:val="0"/>
          <w:marTop w:val="120"/>
          <w:marBottom w:val="0"/>
          <w:divBdr>
            <w:top w:val="none" w:sz="0" w:space="0" w:color="auto"/>
            <w:left w:val="none" w:sz="0" w:space="0" w:color="auto"/>
            <w:bottom w:val="none" w:sz="0" w:space="0" w:color="auto"/>
            <w:right w:val="none" w:sz="0" w:space="0" w:color="auto"/>
          </w:divBdr>
        </w:div>
        <w:div w:id="1853107482">
          <w:marLeft w:val="576"/>
          <w:marRight w:val="0"/>
          <w:marTop w:val="120"/>
          <w:marBottom w:val="0"/>
          <w:divBdr>
            <w:top w:val="none" w:sz="0" w:space="0" w:color="auto"/>
            <w:left w:val="none" w:sz="0" w:space="0" w:color="auto"/>
            <w:bottom w:val="none" w:sz="0" w:space="0" w:color="auto"/>
            <w:right w:val="none" w:sz="0" w:space="0" w:color="auto"/>
          </w:divBdr>
        </w:div>
        <w:div w:id="1667126481">
          <w:marLeft w:val="576"/>
          <w:marRight w:val="0"/>
          <w:marTop w:val="120"/>
          <w:marBottom w:val="0"/>
          <w:divBdr>
            <w:top w:val="none" w:sz="0" w:space="0" w:color="auto"/>
            <w:left w:val="none" w:sz="0" w:space="0" w:color="auto"/>
            <w:bottom w:val="none" w:sz="0" w:space="0" w:color="auto"/>
            <w:right w:val="none" w:sz="0" w:space="0" w:color="auto"/>
          </w:divBdr>
        </w:div>
        <w:div w:id="1905286814">
          <w:marLeft w:val="576"/>
          <w:marRight w:val="0"/>
          <w:marTop w:val="120"/>
          <w:marBottom w:val="0"/>
          <w:divBdr>
            <w:top w:val="none" w:sz="0" w:space="0" w:color="auto"/>
            <w:left w:val="none" w:sz="0" w:space="0" w:color="auto"/>
            <w:bottom w:val="none" w:sz="0" w:space="0" w:color="auto"/>
            <w:right w:val="none" w:sz="0" w:space="0" w:color="auto"/>
          </w:divBdr>
        </w:div>
        <w:div w:id="1803107670">
          <w:marLeft w:val="576"/>
          <w:marRight w:val="0"/>
          <w:marTop w:val="120"/>
          <w:marBottom w:val="0"/>
          <w:divBdr>
            <w:top w:val="none" w:sz="0" w:space="0" w:color="auto"/>
            <w:left w:val="none" w:sz="0" w:space="0" w:color="auto"/>
            <w:bottom w:val="none" w:sz="0" w:space="0" w:color="auto"/>
            <w:right w:val="none" w:sz="0" w:space="0" w:color="auto"/>
          </w:divBdr>
        </w:div>
      </w:divsChild>
    </w:div>
    <w:div w:id="544947719">
      <w:bodyDiv w:val="1"/>
      <w:marLeft w:val="0"/>
      <w:marRight w:val="0"/>
      <w:marTop w:val="0"/>
      <w:marBottom w:val="0"/>
      <w:divBdr>
        <w:top w:val="none" w:sz="0" w:space="0" w:color="auto"/>
        <w:left w:val="none" w:sz="0" w:space="0" w:color="auto"/>
        <w:bottom w:val="none" w:sz="0" w:space="0" w:color="auto"/>
        <w:right w:val="none" w:sz="0" w:space="0" w:color="auto"/>
      </w:divBdr>
      <w:divsChild>
        <w:div w:id="874121624">
          <w:marLeft w:val="576"/>
          <w:marRight w:val="0"/>
          <w:marTop w:val="120"/>
          <w:marBottom w:val="0"/>
          <w:divBdr>
            <w:top w:val="none" w:sz="0" w:space="0" w:color="auto"/>
            <w:left w:val="none" w:sz="0" w:space="0" w:color="auto"/>
            <w:bottom w:val="none" w:sz="0" w:space="0" w:color="auto"/>
            <w:right w:val="none" w:sz="0" w:space="0" w:color="auto"/>
          </w:divBdr>
        </w:div>
        <w:div w:id="392852070">
          <w:marLeft w:val="576"/>
          <w:marRight w:val="0"/>
          <w:marTop w:val="120"/>
          <w:marBottom w:val="0"/>
          <w:divBdr>
            <w:top w:val="none" w:sz="0" w:space="0" w:color="auto"/>
            <w:left w:val="none" w:sz="0" w:space="0" w:color="auto"/>
            <w:bottom w:val="none" w:sz="0" w:space="0" w:color="auto"/>
            <w:right w:val="none" w:sz="0" w:space="0" w:color="auto"/>
          </w:divBdr>
        </w:div>
        <w:div w:id="1641957483">
          <w:marLeft w:val="576"/>
          <w:marRight w:val="0"/>
          <w:marTop w:val="120"/>
          <w:marBottom w:val="0"/>
          <w:divBdr>
            <w:top w:val="none" w:sz="0" w:space="0" w:color="auto"/>
            <w:left w:val="none" w:sz="0" w:space="0" w:color="auto"/>
            <w:bottom w:val="none" w:sz="0" w:space="0" w:color="auto"/>
            <w:right w:val="none" w:sz="0" w:space="0" w:color="auto"/>
          </w:divBdr>
        </w:div>
        <w:div w:id="1168133812">
          <w:marLeft w:val="576"/>
          <w:marRight w:val="0"/>
          <w:marTop w:val="120"/>
          <w:marBottom w:val="0"/>
          <w:divBdr>
            <w:top w:val="none" w:sz="0" w:space="0" w:color="auto"/>
            <w:left w:val="none" w:sz="0" w:space="0" w:color="auto"/>
            <w:bottom w:val="none" w:sz="0" w:space="0" w:color="auto"/>
            <w:right w:val="none" w:sz="0" w:space="0" w:color="auto"/>
          </w:divBdr>
        </w:div>
        <w:div w:id="1926645769">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43395524">
      <w:bodyDiv w:val="1"/>
      <w:marLeft w:val="0"/>
      <w:marRight w:val="0"/>
      <w:marTop w:val="0"/>
      <w:marBottom w:val="0"/>
      <w:divBdr>
        <w:top w:val="none" w:sz="0" w:space="0" w:color="auto"/>
        <w:left w:val="none" w:sz="0" w:space="0" w:color="auto"/>
        <w:bottom w:val="none" w:sz="0" w:space="0" w:color="auto"/>
        <w:right w:val="none" w:sz="0" w:space="0" w:color="auto"/>
      </w:divBdr>
    </w:div>
    <w:div w:id="673845201">
      <w:bodyDiv w:val="1"/>
      <w:marLeft w:val="0"/>
      <w:marRight w:val="0"/>
      <w:marTop w:val="0"/>
      <w:marBottom w:val="0"/>
      <w:divBdr>
        <w:top w:val="none" w:sz="0" w:space="0" w:color="auto"/>
        <w:left w:val="none" w:sz="0" w:space="0" w:color="auto"/>
        <w:bottom w:val="none" w:sz="0" w:space="0" w:color="auto"/>
        <w:right w:val="none" w:sz="0" w:space="0" w:color="auto"/>
      </w:divBdr>
      <w:divsChild>
        <w:div w:id="705103454">
          <w:marLeft w:val="576"/>
          <w:marRight w:val="0"/>
          <w:marTop w:val="120"/>
          <w:marBottom w:val="0"/>
          <w:divBdr>
            <w:top w:val="none" w:sz="0" w:space="0" w:color="auto"/>
            <w:left w:val="none" w:sz="0" w:space="0" w:color="auto"/>
            <w:bottom w:val="none" w:sz="0" w:space="0" w:color="auto"/>
            <w:right w:val="none" w:sz="0" w:space="0" w:color="auto"/>
          </w:divBdr>
        </w:div>
        <w:div w:id="1552957144">
          <w:marLeft w:val="576"/>
          <w:marRight w:val="0"/>
          <w:marTop w:val="120"/>
          <w:marBottom w:val="0"/>
          <w:divBdr>
            <w:top w:val="none" w:sz="0" w:space="0" w:color="auto"/>
            <w:left w:val="none" w:sz="0" w:space="0" w:color="auto"/>
            <w:bottom w:val="none" w:sz="0" w:space="0" w:color="auto"/>
            <w:right w:val="none" w:sz="0" w:space="0" w:color="auto"/>
          </w:divBdr>
        </w:div>
        <w:div w:id="32703835">
          <w:marLeft w:val="576"/>
          <w:marRight w:val="0"/>
          <w:marTop w:val="120"/>
          <w:marBottom w:val="0"/>
          <w:divBdr>
            <w:top w:val="none" w:sz="0" w:space="0" w:color="auto"/>
            <w:left w:val="none" w:sz="0" w:space="0" w:color="auto"/>
            <w:bottom w:val="none" w:sz="0" w:space="0" w:color="auto"/>
            <w:right w:val="none" w:sz="0" w:space="0" w:color="auto"/>
          </w:divBdr>
        </w:div>
        <w:div w:id="1897621292">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51837112">
      <w:bodyDiv w:val="1"/>
      <w:marLeft w:val="0"/>
      <w:marRight w:val="0"/>
      <w:marTop w:val="0"/>
      <w:marBottom w:val="0"/>
      <w:divBdr>
        <w:top w:val="none" w:sz="0" w:space="0" w:color="auto"/>
        <w:left w:val="none" w:sz="0" w:space="0" w:color="auto"/>
        <w:bottom w:val="none" w:sz="0" w:space="0" w:color="auto"/>
        <w:right w:val="none" w:sz="0" w:space="0" w:color="auto"/>
      </w:divBdr>
    </w:div>
    <w:div w:id="860708201">
      <w:bodyDiv w:val="1"/>
      <w:marLeft w:val="0"/>
      <w:marRight w:val="0"/>
      <w:marTop w:val="0"/>
      <w:marBottom w:val="0"/>
      <w:divBdr>
        <w:top w:val="none" w:sz="0" w:space="0" w:color="auto"/>
        <w:left w:val="none" w:sz="0" w:space="0" w:color="auto"/>
        <w:bottom w:val="none" w:sz="0" w:space="0" w:color="auto"/>
        <w:right w:val="none" w:sz="0" w:space="0" w:color="auto"/>
      </w:divBdr>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2125200">
      <w:bodyDiv w:val="1"/>
      <w:marLeft w:val="0"/>
      <w:marRight w:val="0"/>
      <w:marTop w:val="0"/>
      <w:marBottom w:val="0"/>
      <w:divBdr>
        <w:top w:val="none" w:sz="0" w:space="0" w:color="auto"/>
        <w:left w:val="none" w:sz="0" w:space="0" w:color="auto"/>
        <w:bottom w:val="none" w:sz="0" w:space="0" w:color="auto"/>
        <w:right w:val="none" w:sz="0" w:space="0" w:color="auto"/>
      </w:divBdr>
    </w:div>
    <w:div w:id="1016153021">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3381981">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8785009">
      <w:bodyDiv w:val="1"/>
      <w:marLeft w:val="0"/>
      <w:marRight w:val="0"/>
      <w:marTop w:val="0"/>
      <w:marBottom w:val="0"/>
      <w:divBdr>
        <w:top w:val="none" w:sz="0" w:space="0" w:color="auto"/>
        <w:left w:val="none" w:sz="0" w:space="0" w:color="auto"/>
        <w:bottom w:val="none" w:sz="0" w:space="0" w:color="auto"/>
        <w:right w:val="none" w:sz="0" w:space="0" w:color="auto"/>
      </w:divBdr>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8333577">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4677440">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5764935">
      <w:bodyDiv w:val="1"/>
      <w:marLeft w:val="0"/>
      <w:marRight w:val="0"/>
      <w:marTop w:val="0"/>
      <w:marBottom w:val="0"/>
      <w:divBdr>
        <w:top w:val="none" w:sz="0" w:space="0" w:color="auto"/>
        <w:left w:val="none" w:sz="0" w:space="0" w:color="auto"/>
        <w:bottom w:val="none" w:sz="0" w:space="0" w:color="auto"/>
        <w:right w:val="none" w:sz="0" w:space="0" w:color="auto"/>
      </w:divBdr>
    </w:div>
    <w:div w:id="1791974824">
      <w:bodyDiv w:val="1"/>
      <w:marLeft w:val="0"/>
      <w:marRight w:val="0"/>
      <w:marTop w:val="0"/>
      <w:marBottom w:val="0"/>
      <w:divBdr>
        <w:top w:val="none" w:sz="0" w:space="0" w:color="auto"/>
        <w:left w:val="none" w:sz="0" w:space="0" w:color="auto"/>
        <w:bottom w:val="none" w:sz="0" w:space="0" w:color="auto"/>
        <w:right w:val="none" w:sz="0" w:space="0" w:color="auto"/>
      </w:divBdr>
    </w:div>
    <w:div w:id="1797718275">
      <w:bodyDiv w:val="1"/>
      <w:marLeft w:val="0"/>
      <w:marRight w:val="0"/>
      <w:marTop w:val="0"/>
      <w:marBottom w:val="0"/>
      <w:divBdr>
        <w:top w:val="none" w:sz="0" w:space="0" w:color="auto"/>
        <w:left w:val="none" w:sz="0" w:space="0" w:color="auto"/>
        <w:bottom w:val="none" w:sz="0" w:space="0" w:color="auto"/>
        <w:right w:val="none" w:sz="0" w:space="0" w:color="auto"/>
      </w:divBdr>
      <w:divsChild>
        <w:div w:id="998003696">
          <w:marLeft w:val="576"/>
          <w:marRight w:val="0"/>
          <w:marTop w:val="120"/>
          <w:marBottom w:val="0"/>
          <w:divBdr>
            <w:top w:val="none" w:sz="0" w:space="0" w:color="auto"/>
            <w:left w:val="none" w:sz="0" w:space="0" w:color="auto"/>
            <w:bottom w:val="none" w:sz="0" w:space="0" w:color="auto"/>
            <w:right w:val="none" w:sz="0" w:space="0" w:color="auto"/>
          </w:divBdr>
        </w:div>
        <w:div w:id="1376540201">
          <w:marLeft w:val="576"/>
          <w:marRight w:val="0"/>
          <w:marTop w:val="120"/>
          <w:marBottom w:val="0"/>
          <w:divBdr>
            <w:top w:val="none" w:sz="0" w:space="0" w:color="auto"/>
            <w:left w:val="none" w:sz="0" w:space="0" w:color="auto"/>
            <w:bottom w:val="none" w:sz="0" w:space="0" w:color="auto"/>
            <w:right w:val="none" w:sz="0" w:space="0" w:color="auto"/>
          </w:divBdr>
        </w:div>
        <w:div w:id="1976642046">
          <w:marLeft w:val="576"/>
          <w:marRight w:val="0"/>
          <w:marTop w:val="120"/>
          <w:marBottom w:val="0"/>
          <w:divBdr>
            <w:top w:val="none" w:sz="0" w:space="0" w:color="auto"/>
            <w:left w:val="none" w:sz="0" w:space="0" w:color="auto"/>
            <w:bottom w:val="none" w:sz="0" w:space="0" w:color="auto"/>
            <w:right w:val="none" w:sz="0" w:space="0" w:color="auto"/>
          </w:divBdr>
        </w:div>
        <w:div w:id="327906387">
          <w:marLeft w:val="576"/>
          <w:marRight w:val="0"/>
          <w:marTop w:val="120"/>
          <w:marBottom w:val="0"/>
          <w:divBdr>
            <w:top w:val="none" w:sz="0" w:space="0" w:color="auto"/>
            <w:left w:val="none" w:sz="0" w:space="0" w:color="auto"/>
            <w:bottom w:val="none" w:sz="0" w:space="0" w:color="auto"/>
            <w:right w:val="none" w:sz="0" w:space="0" w:color="auto"/>
          </w:divBdr>
        </w:div>
        <w:div w:id="826017732">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4832407">
      <w:bodyDiv w:val="1"/>
      <w:marLeft w:val="0"/>
      <w:marRight w:val="0"/>
      <w:marTop w:val="0"/>
      <w:marBottom w:val="0"/>
      <w:divBdr>
        <w:top w:val="none" w:sz="0" w:space="0" w:color="auto"/>
        <w:left w:val="none" w:sz="0" w:space="0" w:color="auto"/>
        <w:bottom w:val="none" w:sz="0" w:space="0" w:color="auto"/>
        <w:right w:val="none" w:sz="0" w:space="0" w:color="auto"/>
      </w:divBdr>
      <w:divsChild>
        <w:div w:id="630523551">
          <w:marLeft w:val="576"/>
          <w:marRight w:val="0"/>
          <w:marTop w:val="120"/>
          <w:marBottom w:val="0"/>
          <w:divBdr>
            <w:top w:val="none" w:sz="0" w:space="0" w:color="auto"/>
            <w:left w:val="none" w:sz="0" w:space="0" w:color="auto"/>
            <w:bottom w:val="none" w:sz="0" w:space="0" w:color="auto"/>
            <w:right w:val="none" w:sz="0" w:space="0" w:color="auto"/>
          </w:divBdr>
        </w:div>
        <w:div w:id="305473377">
          <w:marLeft w:val="576"/>
          <w:marRight w:val="0"/>
          <w:marTop w:val="120"/>
          <w:marBottom w:val="0"/>
          <w:divBdr>
            <w:top w:val="none" w:sz="0" w:space="0" w:color="auto"/>
            <w:left w:val="none" w:sz="0" w:space="0" w:color="auto"/>
            <w:bottom w:val="none" w:sz="0" w:space="0" w:color="auto"/>
            <w:right w:val="none" w:sz="0" w:space="0" w:color="auto"/>
          </w:divBdr>
        </w:div>
        <w:div w:id="1279990903">
          <w:marLeft w:val="576"/>
          <w:marRight w:val="0"/>
          <w:marTop w:val="120"/>
          <w:marBottom w:val="0"/>
          <w:divBdr>
            <w:top w:val="none" w:sz="0" w:space="0" w:color="auto"/>
            <w:left w:val="none" w:sz="0" w:space="0" w:color="auto"/>
            <w:bottom w:val="none" w:sz="0" w:space="0" w:color="auto"/>
            <w:right w:val="none" w:sz="0" w:space="0" w:color="auto"/>
          </w:divBdr>
        </w:div>
        <w:div w:id="84542364">
          <w:marLeft w:val="576"/>
          <w:marRight w:val="0"/>
          <w:marTop w:val="120"/>
          <w:marBottom w:val="0"/>
          <w:divBdr>
            <w:top w:val="none" w:sz="0" w:space="0" w:color="auto"/>
            <w:left w:val="none" w:sz="0" w:space="0" w:color="auto"/>
            <w:bottom w:val="none" w:sz="0" w:space="0" w:color="auto"/>
            <w:right w:val="none" w:sz="0" w:space="0" w:color="auto"/>
          </w:divBdr>
        </w:div>
        <w:div w:id="126553722">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2471026">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65131714">
      <w:bodyDiv w:val="1"/>
      <w:marLeft w:val="0"/>
      <w:marRight w:val="0"/>
      <w:marTop w:val="0"/>
      <w:marBottom w:val="0"/>
      <w:divBdr>
        <w:top w:val="none" w:sz="0" w:space="0" w:color="auto"/>
        <w:left w:val="none" w:sz="0" w:space="0" w:color="auto"/>
        <w:bottom w:val="none" w:sz="0" w:space="0" w:color="auto"/>
        <w:right w:val="none" w:sz="0" w:space="0" w:color="auto"/>
      </w:divBdr>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3587</TotalTime>
  <Pages>14</Pages>
  <Words>1911</Words>
  <Characters>10895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2021-12-09T14:14:00Z</dcterms:modified>
</cp:coreProperties>
</file>