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F3D" w:rsidRPr="00D26A5D" w:rsidRDefault="00BF116B" w:rsidP="00C36E04">
      <w:pPr>
        <w:spacing w:line="360" w:lineRule="auto"/>
        <w:jc w:val="center"/>
        <w:rPr>
          <w:b/>
          <w:szCs w:val="20"/>
        </w:rPr>
      </w:pPr>
      <w:r w:rsidRPr="00BF116B">
        <w:rPr>
          <w:b/>
          <w:szCs w:val="20"/>
        </w:rPr>
        <w:t>C</w:t>
      </w:r>
      <w:r>
        <w:rPr>
          <w:b/>
          <w:szCs w:val="20"/>
        </w:rPr>
        <w:t xml:space="preserve">ONTROL OF POWER ELECTRONICS-BASED SYNCHRONOUS GENERATOR FOR THE INTEGRATION OF RENEWABLE ENERGIES INTO THE POWER GRID </w:t>
      </w: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561ED5" w:rsidRPr="00D26A5D" w:rsidRDefault="008077AA" w:rsidP="00561ED5">
      <w:pPr>
        <w:autoSpaceDE w:val="0"/>
        <w:autoSpaceDN w:val="0"/>
        <w:adjustRightInd w:val="0"/>
        <w:spacing w:line="360" w:lineRule="auto"/>
        <w:jc w:val="both"/>
      </w:pPr>
      <w:r w:rsidRPr="00D26A5D">
        <w:rPr>
          <w:b/>
          <w:szCs w:val="20"/>
        </w:rPr>
        <w:lastRenderedPageBreak/>
        <w:t>ABSTRACT-</w:t>
      </w:r>
      <w:r w:rsidR="00561ED5" w:rsidRPr="00561ED5">
        <w:t xml:space="preserve"> </w:t>
      </w:r>
      <w:r w:rsidR="00561ED5" w:rsidRPr="008F3A58">
        <w:t xml:space="preserve">This paper tends to a solitary simultaneous regulator (SSC) for interfaced converters with high infiltration of sustainable power assets (RERs) into a low dormancy power matrix. The SSC is displayed dependent on an exhaustive reliance between every usable element of a coordinated generator (SG) and a power gadgets converter. This can appropriately work on the exhibition of the power framework in such situations in which huge scope infiltration of RERs are identified. The fundamental commitment of this paper is addressing a comprehensive connection between dynamic parts of the proposed SSC and SG highlights which empowers the proposed SSC-based interfaced converter to all the more precisely emulate the conduct of SGs during dynamic power creating alongside giving controllable idleness. Due to containing adequate decoupling, the two parts of the proposed SSC no affect one another, likewise the proposed SSC includes an unrivaled functional adaptability inside a wide scope of idleness from exceptionally low to high qualities. Consequently, two shut circle control frameworks are considered to independently dissect the trademark impacts of SGs in dynamic and responsive power sharing separated from the power lattice soundness challenges. Also, the effects of dynamic power minor departure from receptive power are hence assessed. To additionally break down the activity of the framework, the impacts of the virtual mechanical power (VMP) blunder installed in the SSC are considered as an elective choice for surveying the power lattice solidness. Likewise, the varieties of the </w:t>
      </w:r>
      <w:r w:rsidR="00561ED5" w:rsidRPr="008F3A58">
        <w:lastRenderedPageBreak/>
        <w:t>virtual rakish recurrence (VAF) blunder are painstakingly pondered for additional contemplations related with the dynamic and receptive power execution of the SSC. Reproduction results are introduced to show the superior exhibition of the SSC in the control of the power gadgets based SG when high-entrance environmentally friendly power sources are incorporated into the low dormancy power network.</w:t>
      </w:r>
    </w:p>
    <w:p w:rsidR="00635A5D" w:rsidRPr="00D26A5D" w:rsidRDefault="00635A5D" w:rsidP="00513A4B">
      <w:pPr>
        <w:autoSpaceDE w:val="0"/>
        <w:autoSpaceDN w:val="0"/>
        <w:adjustRightInd w:val="0"/>
        <w:spacing w:line="360" w:lineRule="auto"/>
        <w:jc w:val="both"/>
      </w:pPr>
    </w:p>
    <w:p w:rsidR="00126A34" w:rsidRPr="00D26A5D" w:rsidRDefault="00126A34" w:rsidP="00126A34">
      <w:pPr>
        <w:spacing w:line="360" w:lineRule="auto"/>
        <w:jc w:val="both"/>
        <w:rPr>
          <w:b/>
          <w:szCs w:val="20"/>
        </w:rPr>
      </w:pPr>
      <w:r w:rsidRPr="00D26A5D">
        <w:rPr>
          <w:b/>
          <w:szCs w:val="20"/>
        </w:rPr>
        <w:t>Key Words</w:t>
      </w:r>
      <w:r w:rsidRPr="00D26A5D">
        <w:rPr>
          <w:szCs w:val="20"/>
        </w:rPr>
        <w:t xml:space="preserve">: </w:t>
      </w:r>
      <w:r w:rsidR="00F92E12">
        <w:t>Single synchronous controller; low inertia power grid; renewable energy resources; virtual mechanical power; virtual angular frequency</w:t>
      </w:r>
    </w:p>
    <w:p w:rsidR="00126A34" w:rsidRPr="00D26A5D" w:rsidRDefault="00126A34"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4B557E" w:rsidRDefault="003D1F09" w:rsidP="003D1F09">
      <w:pPr>
        <w:spacing w:line="360" w:lineRule="auto"/>
        <w:jc w:val="both"/>
        <w:rPr>
          <w:szCs w:val="20"/>
        </w:rPr>
      </w:pPr>
      <w:r w:rsidRPr="003D1F09">
        <w:rPr>
          <w:szCs w:val="20"/>
        </w:rPr>
        <w:t>Because of the significant job of disseminated age innovation particularly dependent on sustainable power assets (RERs) in power</w:t>
      </w:r>
      <w:r>
        <w:rPr>
          <w:szCs w:val="20"/>
        </w:rPr>
        <w:t xml:space="preserve"> </w:t>
      </w:r>
      <w:r w:rsidRPr="003D1F09">
        <w:rPr>
          <w:szCs w:val="20"/>
        </w:rPr>
        <w:t>frameworks, various explores have been done to additionally examine the worries related with shaky activity of force matrix under high entrance of RERs lately. In certain investigations, creators zeroed in on utilizing circulated energy stockpiling frameworks (DESSs) for experiencing steadiness issues by planning enhanced administrative and progressed regulators for huge scope</w:t>
      </w:r>
      <w:r>
        <w:rPr>
          <w:szCs w:val="20"/>
        </w:rPr>
        <w:t xml:space="preserve"> </w:t>
      </w:r>
      <w:r w:rsidRPr="003D1F09">
        <w:rPr>
          <w:szCs w:val="20"/>
        </w:rPr>
        <w:t>DESSs with the point of dependable and stable joining of RERs into the power lattice. In some new investigations, to</w:t>
      </w:r>
      <w:r>
        <w:rPr>
          <w:szCs w:val="20"/>
        </w:rPr>
        <w:t xml:space="preserve"> </w:t>
      </w:r>
      <w:r w:rsidRPr="003D1F09">
        <w:rPr>
          <w:szCs w:val="20"/>
        </w:rPr>
        <w:t xml:space="preserve">remunerate the voltage ascent of the power network brought about by the abundance photovoltaic (PV) sources, receptive power based regulators, intended for </w:t>
      </w:r>
      <w:r w:rsidRPr="003D1F09">
        <w:rPr>
          <w:szCs w:val="20"/>
        </w:rPr>
        <w:lastRenderedPageBreak/>
        <w:t>the interfaced converters in DG units, have been proposed. A simultaneous power regulator has been proposed in for the control of matrix associated converters for joining of RERs to the power framework. In addition, inactivity, damping, and adaptable hang qualities are considered to meet the association necessities of force converters into the power network just as elements and recurrence guidelines. Additionally, for an enormous scope PV power plant, a</w:t>
      </w:r>
      <w:r>
        <w:rPr>
          <w:szCs w:val="20"/>
        </w:rPr>
        <w:t xml:space="preserve"> </w:t>
      </w:r>
      <w:r w:rsidRPr="003D1F09">
        <w:rPr>
          <w:szCs w:val="20"/>
        </w:rPr>
        <w:t>appropriated voltage control conspire has been introduced to diminish the high incline rate. In, a self-synchronized synchronverter has been proposed which can further develop activity of the simultaneous regulator given in by lessening the intricacy, expanding the presentation, and diminishing the computational endeavors of the regulator. This improvement has been accomplished by eliminating the synchronizing unit containing PLL which is answerable for getting the reference upsides of stage, recurrence, and voltage abundancy through the framework voltage.</w:t>
      </w:r>
    </w:p>
    <w:p w:rsidR="003D1F09" w:rsidRPr="00D26A5D" w:rsidRDefault="003D1F09" w:rsidP="003D1F09">
      <w:pPr>
        <w:spacing w:line="360" w:lineRule="auto"/>
        <w:jc w:val="both"/>
        <w:rPr>
          <w:szCs w:val="20"/>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C95D01" w:rsidRDefault="00C95D01" w:rsidP="00E20751">
      <w:pPr>
        <w:spacing w:line="360" w:lineRule="auto"/>
        <w:jc w:val="both"/>
        <w:rPr>
          <w:szCs w:val="20"/>
        </w:rPr>
      </w:pPr>
    </w:p>
    <w:p w:rsidR="00E20751" w:rsidRPr="00D26A5D" w:rsidRDefault="004A058D" w:rsidP="004A058D">
      <w:pPr>
        <w:spacing w:line="360" w:lineRule="auto"/>
        <w:jc w:val="both"/>
        <w:rPr>
          <w:szCs w:val="20"/>
        </w:rPr>
      </w:pPr>
      <w:r w:rsidRPr="004A058D">
        <w:rPr>
          <w:szCs w:val="20"/>
        </w:rPr>
        <w:t>In, a transient energy cradle is added to the framework through the</w:t>
      </w:r>
      <w:r>
        <w:rPr>
          <w:szCs w:val="20"/>
        </w:rPr>
        <w:t xml:space="preserve"> </w:t>
      </w:r>
      <w:r w:rsidRPr="004A058D">
        <w:rPr>
          <w:szCs w:val="20"/>
        </w:rPr>
        <w:t>recreation of rotor dormancy which named as virtual coordinated generator since it can lessen the unsteadiness issues at the framework functional level. The issues in regards to the SG highlights varieties of the SSC are considered in this part. It very well may be shown that the dynamic and responsive power sharing of the SSC can be recognizably impacted by VMP and VAF adjustments that these impacts can change under different</w:t>
      </w:r>
      <w:r>
        <w:rPr>
          <w:szCs w:val="20"/>
        </w:rPr>
        <w:t xml:space="preserve"> </w:t>
      </w:r>
      <w:r w:rsidRPr="004A058D">
        <w:rPr>
          <w:szCs w:val="20"/>
        </w:rPr>
        <w:t>low-esteem latencies. The impacts of the</w:t>
      </w:r>
      <w:r>
        <w:rPr>
          <w:szCs w:val="20"/>
        </w:rPr>
        <w:t xml:space="preserve"> </w:t>
      </w:r>
      <w:r w:rsidRPr="004A058D">
        <w:rPr>
          <w:szCs w:val="20"/>
        </w:rPr>
        <w:lastRenderedPageBreak/>
        <w:t>coefficients varieties util</w:t>
      </w:r>
      <w:r w:rsidR="00B95567">
        <w:rPr>
          <w:szCs w:val="20"/>
        </w:rPr>
        <w:t xml:space="preserve">ized in the construction of the </w:t>
      </w:r>
      <w:r w:rsidRPr="004A058D">
        <w:rPr>
          <w:szCs w:val="20"/>
        </w:rPr>
        <w:t>SSC and furthermore effects of dynamic power changes on responsive power. The dynamic power blunder can affect the exhibition of the responsive power partaking in the SSC which is tended to in</w:t>
      </w:r>
      <w:r w:rsidR="00B95567">
        <w:rPr>
          <w:szCs w:val="20"/>
        </w:rPr>
        <w:t xml:space="preserve"> </w:t>
      </w:r>
      <w:r w:rsidRPr="004A058D">
        <w:rPr>
          <w:szCs w:val="20"/>
        </w:rPr>
        <w:t>this subsection. A virtual mechanical power (VMP) variety is contained in the SSC as introduced to recreate the</w:t>
      </w:r>
      <w:r w:rsidR="00B95567">
        <w:rPr>
          <w:szCs w:val="20"/>
        </w:rPr>
        <w:t xml:space="preserve"> </w:t>
      </w:r>
      <w:r w:rsidRPr="004A058D">
        <w:rPr>
          <w:szCs w:val="20"/>
        </w:rPr>
        <w:t>conduct of the SG in having a simultaneous activity of the interfaced converter associated with the power network. Seeing the SSC,the VMP blunder can affect both dynamic and receptive power sharing.On the other hand, both voltage size and network recurrence become unsteady for the most noteworthy worth of latency. It affirms the high effect of the appropriate choice of the low-esteem latency in the steadiness of the power matrix with high infiltration of RERs by use</w:t>
      </w:r>
      <w:r w:rsidR="00B95567">
        <w:rPr>
          <w:szCs w:val="20"/>
        </w:rPr>
        <w:t xml:space="preserve"> </w:t>
      </w:r>
      <w:r w:rsidRPr="004A058D">
        <w:rPr>
          <w:szCs w:val="20"/>
        </w:rPr>
        <w:t>of the SSC.</w:t>
      </w:r>
    </w:p>
    <w:p w:rsidR="00B95567" w:rsidRDefault="00B95567"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Pr="00D26A5D" w:rsidRDefault="004B557E" w:rsidP="00837638">
      <w:pPr>
        <w:spacing w:line="360" w:lineRule="auto"/>
        <w:jc w:val="both"/>
      </w:pPr>
    </w:p>
    <w:p w:rsidR="00FD1F5A" w:rsidRPr="00FD1F5A" w:rsidRDefault="00FD1F5A" w:rsidP="00FD1F5A">
      <w:pPr>
        <w:spacing w:line="360" w:lineRule="auto"/>
        <w:jc w:val="both"/>
        <w:rPr>
          <w:lang w:val="en-IN"/>
        </w:rPr>
      </w:pPr>
      <w:r w:rsidRPr="00FD1F5A">
        <w:rPr>
          <w:lang w:val="en-IN"/>
        </w:rPr>
        <w:t xml:space="preserve">Pouresmaeil E, Mehrasa M, Shokridehaki MA, Rodrigues EMG, Catalão JPS. </w:t>
      </w:r>
    </w:p>
    <w:p w:rsidR="00915C61" w:rsidRDefault="00915C61" w:rsidP="00915C61">
      <w:pPr>
        <w:spacing w:line="360" w:lineRule="auto"/>
        <w:jc w:val="both"/>
        <w:rPr>
          <w:lang w:val="en-IN"/>
        </w:rPr>
      </w:pPr>
      <w:r>
        <w:rPr>
          <w:lang w:val="en-IN"/>
        </w:rPr>
        <w:t>“</w:t>
      </w:r>
      <w:r w:rsidRPr="00915C61">
        <w:rPr>
          <w:lang w:val="en-IN"/>
        </w:rPr>
        <w:t>Control and stability analysis of interfaced converter in distribute</w:t>
      </w:r>
      <w:r>
        <w:rPr>
          <w:lang w:val="en-IN"/>
        </w:rPr>
        <w:t>d generation technology”</w:t>
      </w:r>
    </w:p>
    <w:p w:rsidR="00915C61" w:rsidRDefault="00E050CC" w:rsidP="00915C61">
      <w:pPr>
        <w:spacing w:line="360" w:lineRule="auto"/>
        <w:jc w:val="both"/>
        <w:rPr>
          <w:lang w:val="en-IN"/>
        </w:rPr>
      </w:pPr>
      <w:r w:rsidRPr="00E050CC">
        <w:rPr>
          <w:lang w:val="en-IN"/>
        </w:rPr>
        <w:t>This paper proposes a control procedure of an interfaced converter for the incorporation of Distributed Generation (DG) sources into the power network.</w:t>
      </w:r>
    </w:p>
    <w:p w:rsidR="00E050CC" w:rsidRDefault="00E050CC" w:rsidP="00915C61">
      <w:pPr>
        <w:spacing w:line="360" w:lineRule="auto"/>
        <w:jc w:val="both"/>
        <w:rPr>
          <w:lang w:val="en-IN"/>
        </w:rPr>
      </w:pPr>
    </w:p>
    <w:p w:rsidR="00CF00A0" w:rsidRPr="00CF00A0" w:rsidRDefault="00CF00A0" w:rsidP="00CF00A0">
      <w:pPr>
        <w:spacing w:line="360" w:lineRule="auto"/>
        <w:jc w:val="both"/>
        <w:rPr>
          <w:lang w:val="en-IN"/>
        </w:rPr>
      </w:pPr>
      <w:r w:rsidRPr="00CF00A0">
        <w:rPr>
          <w:lang w:val="en-IN"/>
        </w:rPr>
        <w:t xml:space="preserve">Mehrasa M, Adabi ME, Pouresmaeil E, Adabi J. </w:t>
      </w:r>
    </w:p>
    <w:p w:rsidR="00CF00A0" w:rsidRDefault="00CF00A0" w:rsidP="00CF00A0">
      <w:pPr>
        <w:spacing w:line="360" w:lineRule="auto"/>
        <w:jc w:val="both"/>
        <w:rPr>
          <w:lang w:val="en-IN"/>
        </w:rPr>
      </w:pPr>
      <w:r>
        <w:rPr>
          <w:lang w:val="en-IN"/>
        </w:rPr>
        <w:t>“</w:t>
      </w:r>
      <w:r w:rsidRPr="00CF00A0">
        <w:rPr>
          <w:lang w:val="en-IN"/>
        </w:rPr>
        <w:t>Passivity-based control technique for integration of D</w:t>
      </w:r>
      <w:r>
        <w:rPr>
          <w:lang w:val="en-IN"/>
        </w:rPr>
        <w:t>G resources into the power grid”</w:t>
      </w:r>
    </w:p>
    <w:p w:rsidR="00CF00A0" w:rsidRDefault="00CF00A0" w:rsidP="00CF00A0">
      <w:pPr>
        <w:spacing w:line="360" w:lineRule="auto"/>
        <w:jc w:val="both"/>
        <w:rPr>
          <w:lang w:val="en-IN"/>
        </w:rPr>
      </w:pPr>
      <w:r w:rsidRPr="00CF00A0">
        <w:rPr>
          <w:lang w:val="en-IN"/>
        </w:rPr>
        <w:t xml:space="preserve">The appropriate exchanging elements of interfaced converter have been characterized dependent on the </w:t>
      </w:r>
      <w:r w:rsidRPr="00CF00A0">
        <w:rPr>
          <w:lang w:val="en-IN"/>
        </w:rPr>
        <w:lastRenderedPageBreak/>
        <w:t>resignation strategy through the accomplishing space conditions and reasonable series damping infusion.</w:t>
      </w:r>
    </w:p>
    <w:p w:rsidR="00CF00A0" w:rsidRDefault="00CF00A0" w:rsidP="00CF00A0">
      <w:pPr>
        <w:spacing w:line="360" w:lineRule="auto"/>
        <w:jc w:val="both"/>
        <w:rPr>
          <w:lang w:val="en-IN"/>
        </w:rPr>
      </w:pPr>
    </w:p>
    <w:p w:rsidR="00FB69BD" w:rsidRPr="00FB69BD" w:rsidRDefault="00FB69BD" w:rsidP="00FB69BD">
      <w:pPr>
        <w:spacing w:line="360" w:lineRule="auto"/>
        <w:jc w:val="both"/>
        <w:rPr>
          <w:lang w:val="en-IN"/>
        </w:rPr>
      </w:pPr>
      <w:r w:rsidRPr="00FB69BD">
        <w:rPr>
          <w:lang w:val="en-IN"/>
        </w:rPr>
        <w:t xml:space="preserve">Harsha P, Dahleh M. </w:t>
      </w:r>
    </w:p>
    <w:p w:rsidR="00FB69BD" w:rsidRDefault="00FB69BD" w:rsidP="00FB69BD">
      <w:pPr>
        <w:spacing w:line="360" w:lineRule="auto"/>
        <w:jc w:val="both"/>
        <w:rPr>
          <w:lang w:val="en-IN"/>
        </w:rPr>
      </w:pPr>
      <w:r>
        <w:rPr>
          <w:lang w:val="en-IN"/>
        </w:rPr>
        <w:t>“</w:t>
      </w:r>
      <w:r w:rsidRPr="00FB69BD">
        <w:rPr>
          <w:lang w:val="en-IN"/>
        </w:rPr>
        <w:t>Optimal management and sizing of energy storage under dynamic pricing for the efficient integration of renewable energy</w:t>
      </w:r>
      <w:r>
        <w:rPr>
          <w:lang w:val="en-IN"/>
        </w:rPr>
        <w:t>”</w:t>
      </w:r>
      <w:r w:rsidRPr="00FB69BD">
        <w:rPr>
          <w:lang w:val="en-IN"/>
        </w:rPr>
        <w:t xml:space="preserve"> </w:t>
      </w:r>
    </w:p>
    <w:p w:rsidR="00FB69BD" w:rsidRDefault="00EB6BB4" w:rsidP="00FB69BD">
      <w:pPr>
        <w:spacing w:line="360" w:lineRule="auto"/>
        <w:jc w:val="both"/>
        <w:rPr>
          <w:lang w:val="en-IN"/>
        </w:rPr>
      </w:pPr>
      <w:r w:rsidRPr="00EB6BB4">
        <w:rPr>
          <w:lang w:val="en-IN"/>
        </w:rPr>
        <w:t>In this paper, we address the ideal energy stockpiling the executives and measuring issue within the sight of environmentally friendly power and dynamic estimating.</w:t>
      </w:r>
    </w:p>
    <w:p w:rsidR="001264ED" w:rsidRDefault="001264ED" w:rsidP="00EB6BB4">
      <w:pPr>
        <w:spacing w:line="360" w:lineRule="auto"/>
        <w:jc w:val="both"/>
        <w:rPr>
          <w:lang w:val="en-IN"/>
        </w:rPr>
      </w:pPr>
    </w:p>
    <w:p w:rsidR="00EB6BB4" w:rsidRDefault="00EB6BB4" w:rsidP="00EB6BB4">
      <w:pPr>
        <w:spacing w:line="360" w:lineRule="auto"/>
        <w:jc w:val="both"/>
        <w:rPr>
          <w:lang w:val="en-IN"/>
        </w:rPr>
      </w:pPr>
      <w:r w:rsidRPr="00EB6BB4">
        <w:rPr>
          <w:lang w:val="en-IN"/>
        </w:rPr>
        <w:t xml:space="preserve">Liu S, Wang X, Liu PX. </w:t>
      </w:r>
    </w:p>
    <w:p w:rsidR="00EB6BB4" w:rsidRDefault="00EB6BB4" w:rsidP="00EB6BB4">
      <w:pPr>
        <w:spacing w:line="360" w:lineRule="auto"/>
        <w:jc w:val="both"/>
        <w:rPr>
          <w:lang w:val="en-IN"/>
        </w:rPr>
      </w:pPr>
      <w:r>
        <w:rPr>
          <w:lang w:val="en-IN"/>
        </w:rPr>
        <w:t>“</w:t>
      </w:r>
      <w:r w:rsidRPr="00EB6BB4">
        <w:rPr>
          <w:lang w:val="en-IN"/>
        </w:rPr>
        <w:t>A stochastic stability enhancement method of grid-connected distributed energy storage systems</w:t>
      </w:r>
      <w:r>
        <w:rPr>
          <w:lang w:val="en-IN"/>
        </w:rPr>
        <w:t>”</w:t>
      </w:r>
    </w:p>
    <w:p w:rsidR="00EB6BB4" w:rsidRPr="00EB6BB4" w:rsidRDefault="00EB6BB4" w:rsidP="00EB6BB4">
      <w:pPr>
        <w:spacing w:line="360" w:lineRule="auto"/>
        <w:jc w:val="both"/>
        <w:rPr>
          <w:lang w:val="en-IN"/>
        </w:rPr>
      </w:pPr>
      <w:r w:rsidRPr="00EB6BB4">
        <w:rPr>
          <w:lang w:val="en-IN"/>
        </w:rPr>
        <w:t xml:space="preserve">Coordinating appropriated energy stockpiling frameworks (DESSs) into the dissemination framework can work with the undeniable level infiltration of environmentally friendly power source-based circulated ages (RES-DGs). </w:t>
      </w:r>
    </w:p>
    <w:p w:rsidR="00401CED" w:rsidRPr="00D26A5D" w:rsidRDefault="00401CED" w:rsidP="007D4C87">
      <w:pPr>
        <w:spacing w:line="360" w:lineRule="auto"/>
        <w:jc w:val="both"/>
        <w:rPr>
          <w:rFonts w:eastAsia="Times New Roman"/>
          <w:b/>
          <w:bCs/>
          <w:sz w:val="24"/>
          <w:szCs w:val="24"/>
        </w:rPr>
        <w:sectPr w:rsidR="00401CED" w:rsidRPr="00D26A5D" w:rsidSect="00126A34">
          <w:type w:val="continuous"/>
          <w:pgSz w:w="11907" w:h="16839" w:code="9"/>
          <w:pgMar w:top="1620" w:right="686" w:bottom="2340" w:left="700" w:header="0" w:footer="0" w:gutter="0"/>
          <w:cols w:num="2" w:space="720"/>
          <w:docGrid w:linePitch="299"/>
        </w:sectPr>
      </w:pPr>
    </w:p>
    <w:p w:rsidR="007D4C87" w:rsidRDefault="007D4C87" w:rsidP="007D4C87">
      <w:pPr>
        <w:spacing w:line="360" w:lineRule="auto"/>
        <w:jc w:val="both"/>
        <w:rPr>
          <w:b/>
        </w:rPr>
      </w:pPr>
    </w:p>
    <w:p w:rsidR="007D4C87" w:rsidRDefault="007D4C87" w:rsidP="007D4C87">
      <w:pPr>
        <w:spacing w:line="360" w:lineRule="auto"/>
        <w:jc w:val="both"/>
        <w:rPr>
          <w:b/>
        </w:rPr>
      </w:pPr>
      <w:r w:rsidRPr="00D26A5D">
        <w:rPr>
          <w:b/>
        </w:rPr>
        <w:t>5.SYSTEM ARCHITECTURE :</w:t>
      </w:r>
    </w:p>
    <w:p w:rsidR="008D7461" w:rsidRPr="00D26A5D" w:rsidRDefault="008D7461" w:rsidP="007D4C87">
      <w:pPr>
        <w:spacing w:line="360" w:lineRule="auto"/>
        <w:jc w:val="both"/>
        <w:rPr>
          <w:b/>
        </w:rPr>
      </w:pPr>
    </w:p>
    <w:p w:rsidR="007D4C87" w:rsidRPr="00D26A5D" w:rsidRDefault="008D7461" w:rsidP="008D7461">
      <w:pPr>
        <w:jc w:val="center"/>
        <w:rPr>
          <w:rFonts w:eastAsia="Times New Roman"/>
          <w:b/>
          <w:bCs/>
          <w:sz w:val="24"/>
          <w:szCs w:val="24"/>
        </w:rPr>
        <w:sectPr w:rsidR="007D4C87" w:rsidRPr="00D26A5D" w:rsidSect="00455FE3">
          <w:type w:val="continuous"/>
          <w:pgSz w:w="11907" w:h="16839" w:code="9"/>
          <w:pgMar w:top="1620" w:right="686" w:bottom="2340" w:left="700" w:header="0" w:footer="0" w:gutter="0"/>
          <w:cols w:space="720"/>
          <w:docGrid w:linePitch="299"/>
        </w:sectPr>
      </w:pPr>
      <w:r w:rsidRPr="008D7461">
        <w:rPr>
          <w:rFonts w:eastAsia="Times New Roman"/>
          <w:b/>
          <w:bCs/>
          <w:noProof/>
          <w:sz w:val="24"/>
          <w:szCs w:val="24"/>
          <w:lang w:val="en-IN" w:eastAsia="en-IN" w:bidi="ta-IN"/>
        </w:rPr>
        <w:drawing>
          <wp:inline distT="0" distB="0" distL="0" distR="0">
            <wp:extent cx="5942687" cy="2314575"/>
            <wp:effectExtent l="19050" t="0" r="913" b="0"/>
            <wp:docPr id="2"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10"/>
                    <a:srcRect/>
                    <a:stretch>
                      <a:fillRect/>
                    </a:stretch>
                  </pic:blipFill>
                  <pic:spPr bwMode="auto">
                    <a:xfrm>
                      <a:off x="0" y="0"/>
                      <a:ext cx="5943600" cy="2314931"/>
                    </a:xfrm>
                    <a:prstGeom prst="rect">
                      <a:avLst/>
                    </a:prstGeom>
                    <a:noFill/>
                    <a:ln w="9525">
                      <a:noFill/>
                      <a:miter lim="800000"/>
                      <a:headEnd/>
                      <a:tailEnd/>
                    </a:ln>
                    <a:effectLst/>
                  </pic:spPr>
                </pic:pic>
              </a:graphicData>
            </a:graphic>
          </wp:inline>
        </w:drawing>
      </w:r>
    </w:p>
    <w:p w:rsidR="00AD5E6C" w:rsidRPr="00D26A5D" w:rsidRDefault="00AD5E6C" w:rsidP="00AD5E6C">
      <w:pPr>
        <w:rPr>
          <w:rFonts w:eastAsia="Times New Roman"/>
          <w:b/>
          <w:bCs/>
          <w:sz w:val="24"/>
          <w:szCs w:val="24"/>
        </w:rPr>
      </w:pPr>
    </w:p>
    <w:p w:rsidR="00AD5E6C" w:rsidRPr="00D26A5D" w:rsidRDefault="00AD5E6C" w:rsidP="00AD5E6C">
      <w:pPr>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8D7461" w:rsidRDefault="00C62A8E" w:rsidP="0092721B">
      <w:pPr>
        <w:spacing w:after="120" w:line="360" w:lineRule="auto"/>
        <w:jc w:val="both"/>
        <w:rPr>
          <w:rFonts w:eastAsia="Times New Roman"/>
        </w:rPr>
      </w:pPr>
      <w:r w:rsidRPr="00C62A8E">
        <w:rPr>
          <w:rFonts w:eastAsia="Times New Roman"/>
        </w:rPr>
        <w:t xml:space="preserve">Some current power inverter geographies for interfacing PV modules to the framework is introduced. A control system for the matrix interfacing inverter with hysteresis current control is created to further develop power quality. The network interfacing inverter is controlled in such a way that the mix of matrix interfacing inverter alongside straight/nonlinear </w:t>
      </w:r>
      <w:r w:rsidRPr="00C62A8E">
        <w:rPr>
          <w:rFonts w:eastAsia="Times New Roman"/>
        </w:rPr>
        <w:lastRenderedPageBreak/>
        <w:t>unequal burden shows up as adjusted direct burden to the lattice at PCC. At the point when the power electronic converters are utilized it presents a ton of sounds in the framework. Then again the expanded utilization of force electronic supplies and nonlinear burdens by the businesses and the families together made the debasement of force quality as one of the serious issues in electric industry.</w:t>
      </w:r>
    </w:p>
    <w:p w:rsidR="00C62A8E" w:rsidRDefault="00C62A8E" w:rsidP="0092721B">
      <w:pPr>
        <w:spacing w:after="120" w:line="360" w:lineRule="auto"/>
        <w:jc w:val="both"/>
        <w:rPr>
          <w:b/>
          <w:szCs w:val="20"/>
        </w:rPr>
      </w:pPr>
    </w:p>
    <w:p w:rsidR="00C62A8E" w:rsidRDefault="00C62A8E" w:rsidP="0092721B">
      <w:pPr>
        <w:spacing w:after="120" w:line="360" w:lineRule="auto"/>
        <w:jc w:val="both"/>
        <w:rPr>
          <w:b/>
          <w:szCs w:val="20"/>
        </w:rPr>
      </w:pPr>
    </w:p>
    <w:p w:rsidR="00C62A8E" w:rsidRDefault="00C62A8E" w:rsidP="0092721B">
      <w:pPr>
        <w:spacing w:after="120" w:line="360" w:lineRule="auto"/>
        <w:jc w:val="both"/>
        <w:rPr>
          <w:b/>
          <w:szCs w:val="20"/>
        </w:rPr>
      </w:pPr>
      <w:r>
        <w:rPr>
          <w:b/>
          <w:szCs w:val="20"/>
        </w:rPr>
        <w:lastRenderedPageBreak/>
        <w:t>7.DISADVANTAGES OF EXISTING SYSTEM</w:t>
      </w:r>
    </w:p>
    <w:p w:rsidR="00C62A8E" w:rsidRDefault="00800A71" w:rsidP="0092721B">
      <w:pPr>
        <w:spacing w:after="120" w:line="360" w:lineRule="auto"/>
        <w:jc w:val="both"/>
        <w:rPr>
          <w:bCs/>
          <w:szCs w:val="20"/>
        </w:rPr>
      </w:pPr>
      <w:r w:rsidRPr="00800A71">
        <w:rPr>
          <w:bCs/>
          <w:szCs w:val="20"/>
        </w:rPr>
        <w:t>In, a transient energy support is added to the framework through the recreation of rotor inactivity which named as virtual coordinated generator since it can diminish the precariousness issues at the framework functional level. The SG copying introduced in antagonistically impacts on the θ of exchanging capacities in the individual planned control conspire. It affirms the high effect of the legitimate determination of the low-esteem idleness in the steadiness of the power framework with high entrance of RERs by utilization of the SSC. These assessments have been finished by evaluating the effects of virtual precise recurrence (VAF) mistake on dynamic and responsive power sharing for various low-esteem idlenesses.</w:t>
      </w:r>
    </w:p>
    <w:p w:rsidR="00800A71" w:rsidRPr="00800A71" w:rsidRDefault="00800A71" w:rsidP="0092721B">
      <w:pPr>
        <w:spacing w:after="120" w:line="360" w:lineRule="auto"/>
        <w:jc w:val="both"/>
        <w:rPr>
          <w:bCs/>
          <w:szCs w:val="20"/>
        </w:rPr>
      </w:pPr>
    </w:p>
    <w:p w:rsidR="00867532" w:rsidRPr="00D26A5D" w:rsidRDefault="00800A71"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960283" w:rsidRPr="00835485" w:rsidRDefault="00835485" w:rsidP="00835485">
      <w:pPr>
        <w:autoSpaceDE w:val="0"/>
        <w:autoSpaceDN w:val="0"/>
        <w:adjustRightInd w:val="0"/>
        <w:spacing w:line="360" w:lineRule="auto"/>
        <w:jc w:val="both"/>
        <w:rPr>
          <w:rFonts w:eastAsia="Calibri"/>
        </w:rPr>
      </w:pPr>
      <w:r w:rsidRPr="00835485">
        <w:rPr>
          <w:rFonts w:eastAsia="Calibri"/>
        </w:rPr>
        <w:t xml:space="preserve">Various elective ideas have been proposed for directdrive electrical generators for use in network associated or independent breeze turbines. To boost the accomplishment of the PV frameworks, a high unwavering quality, a sensible expense, and an easy to understand configuration should be accomplished in the proposed PV geographies. A few helpful proposed geographies have been introduced, and some great investigations with respect to current PV inverters have been finished. This examination ought to consider the complete existence of the proposed hydrogen stockpiling framework including unrefined substance prerequisites, assembling and manufacture processes, mix of the framework into the vehicle or off-board </w:t>
      </w:r>
      <w:r w:rsidRPr="00835485">
        <w:rPr>
          <w:rFonts w:eastAsia="Calibri"/>
        </w:rPr>
        <w:lastRenderedPageBreak/>
        <w:t>design, helpful assistance life, and expulsion and removal processes including reusing.</w:t>
      </w:r>
    </w:p>
    <w:p w:rsidR="00835485" w:rsidRDefault="00835485" w:rsidP="00960283">
      <w:pPr>
        <w:autoSpaceDE w:val="0"/>
        <w:autoSpaceDN w:val="0"/>
        <w:adjustRightInd w:val="0"/>
        <w:jc w:val="both"/>
        <w:rPr>
          <w:rFonts w:eastAsia="Calibri"/>
          <w:b/>
          <w:bCs/>
        </w:rPr>
      </w:pPr>
    </w:p>
    <w:p w:rsidR="00835485" w:rsidRDefault="00835485" w:rsidP="00960283">
      <w:pPr>
        <w:autoSpaceDE w:val="0"/>
        <w:autoSpaceDN w:val="0"/>
        <w:adjustRightInd w:val="0"/>
        <w:jc w:val="both"/>
        <w:rPr>
          <w:rFonts w:eastAsia="Calibri"/>
          <w:b/>
          <w:bCs/>
        </w:rPr>
      </w:pPr>
      <w:r>
        <w:rPr>
          <w:rFonts w:eastAsia="Calibri"/>
          <w:b/>
          <w:bCs/>
        </w:rPr>
        <w:t>9.ADVANTAGES</w:t>
      </w:r>
    </w:p>
    <w:p w:rsidR="00835485" w:rsidRDefault="00835485" w:rsidP="00960283">
      <w:pPr>
        <w:autoSpaceDE w:val="0"/>
        <w:autoSpaceDN w:val="0"/>
        <w:adjustRightInd w:val="0"/>
        <w:jc w:val="both"/>
        <w:rPr>
          <w:rFonts w:eastAsia="Calibri"/>
          <w:b/>
          <w:bCs/>
        </w:rPr>
      </w:pPr>
    </w:p>
    <w:p w:rsidR="00835485" w:rsidRPr="00B078CA" w:rsidRDefault="00B078CA" w:rsidP="00B078CA">
      <w:pPr>
        <w:autoSpaceDE w:val="0"/>
        <w:autoSpaceDN w:val="0"/>
        <w:adjustRightInd w:val="0"/>
        <w:spacing w:line="360" w:lineRule="auto"/>
        <w:jc w:val="both"/>
        <w:rPr>
          <w:rFonts w:eastAsia="Calibri"/>
        </w:rPr>
      </w:pPr>
      <w:r w:rsidRPr="00B078CA">
        <w:rPr>
          <w:rFonts w:eastAsia="Calibri"/>
        </w:rPr>
        <w:t>In, a self-synchronized synchronverter has been proposed which can further develop activity of the coordinated regulator given in by diminishing the intricacy, expanding the exhibition, and diminishing the computational endeavors of the regulator. A virtual rakish recurrence (VAF) in view of SG highlights has been engaged with the SSC that can fundamentally further develop the simultaneous dynamic and responsive power sharing execution of the interfaced converter. In addition, zinc–bromine battery experiences no deficiency of execution later continued cycling. An exceptionally normal ac/dc geography is the half-span two-level VSI, which can make two distinct voltage levels and requires twofold dc-interface voltage and twofold changing recurrence to acquire a similar presentation as the full extension.</w:t>
      </w:r>
    </w:p>
    <w:p w:rsidR="00B078CA" w:rsidRDefault="00B078CA" w:rsidP="00960283">
      <w:pPr>
        <w:autoSpaceDE w:val="0"/>
        <w:autoSpaceDN w:val="0"/>
        <w:adjustRightInd w:val="0"/>
        <w:jc w:val="both"/>
        <w:rPr>
          <w:rFonts w:eastAsia="Calibri"/>
          <w:b/>
          <w:bCs/>
        </w:rPr>
      </w:pPr>
    </w:p>
    <w:p w:rsidR="00DC5199" w:rsidRPr="00D26A5D" w:rsidRDefault="00DC5199" w:rsidP="00960283">
      <w:pPr>
        <w:autoSpaceDE w:val="0"/>
        <w:autoSpaceDN w:val="0"/>
        <w:adjustRightInd w:val="0"/>
        <w:jc w:val="both"/>
        <w:rPr>
          <w:rFonts w:eastAsia="Calibri"/>
          <w:b/>
          <w:bCs/>
        </w:rPr>
      </w:pPr>
      <w:r w:rsidRPr="00D26A5D">
        <w:rPr>
          <w:rFonts w:eastAsia="Calibri"/>
          <w:b/>
          <w:bCs/>
        </w:rPr>
        <w:t>CONCLUSION  :</w:t>
      </w:r>
    </w:p>
    <w:p w:rsidR="006B52E4" w:rsidRPr="00D26A5D" w:rsidRDefault="006B52E4" w:rsidP="00960283">
      <w:pPr>
        <w:autoSpaceDE w:val="0"/>
        <w:autoSpaceDN w:val="0"/>
        <w:adjustRightInd w:val="0"/>
        <w:jc w:val="both"/>
        <w:rPr>
          <w:rFonts w:eastAsia="Calibri"/>
          <w:b/>
          <w:bCs/>
        </w:rPr>
      </w:pPr>
    </w:p>
    <w:p w:rsidR="006B52E4" w:rsidRPr="00A671FD" w:rsidRDefault="00A671FD" w:rsidP="00A671FD">
      <w:pPr>
        <w:autoSpaceDE w:val="0"/>
        <w:autoSpaceDN w:val="0"/>
        <w:adjustRightInd w:val="0"/>
        <w:spacing w:line="360" w:lineRule="auto"/>
        <w:jc w:val="both"/>
        <w:rPr>
          <w:rFonts w:eastAsia="Calibri"/>
        </w:rPr>
      </w:pPr>
      <w:r w:rsidRPr="00A671FD">
        <w:rPr>
          <w:rFonts w:eastAsia="Calibri"/>
        </w:rPr>
        <w:t xml:space="preserve">A solitary simultaneous regulator (SSC) has been proposed in this paper for the control of the interfaced converters with respect to the largescale coordination of sustainable power assets (RERs) into the power matrix. Key elements of a simultaneous generator (SG), for example dormancy and mechanical power blunder were considered in the design of the SSC to copy the inborn idea of the SG in utilizing interfaced converters to give a steady activity to the power matrix with high entrance of RER. Also, as the fundamental commitment, the dynamic part of the proposed SSC conforms to SG includes and empowers the proposed </w:t>
      </w:r>
      <w:r w:rsidRPr="00A671FD">
        <w:rPr>
          <w:rFonts w:eastAsia="Calibri"/>
        </w:rPr>
        <w:lastRenderedPageBreak/>
        <w:t>SSC-based interfaced converter to exhibit more exact mimicry of SG practices for producing dynamic power with reasonably controllable latency.</w:t>
      </w:r>
    </w:p>
    <w:p w:rsidR="00A671FD" w:rsidRDefault="00A671FD" w:rsidP="00B608E9">
      <w:pPr>
        <w:spacing w:line="360" w:lineRule="auto"/>
        <w:jc w:val="both"/>
        <w:rPr>
          <w:b/>
          <w:szCs w:val="20"/>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164872" w:rsidRPr="00B02FF0" w:rsidRDefault="001E5653" w:rsidP="007270CC">
      <w:pPr>
        <w:numPr>
          <w:ilvl w:val="0"/>
          <w:numId w:val="16"/>
        </w:numPr>
        <w:tabs>
          <w:tab w:val="clear" w:pos="720"/>
          <w:tab w:val="num" w:pos="0"/>
        </w:tabs>
        <w:spacing w:line="360" w:lineRule="auto"/>
        <w:ind w:left="426"/>
        <w:jc w:val="both"/>
        <w:rPr>
          <w:lang w:val="en-IN"/>
        </w:rPr>
      </w:pPr>
      <w:r w:rsidRPr="00B02FF0">
        <w:rPr>
          <w:lang w:val="en-IN"/>
        </w:rPr>
        <w:t xml:space="preserve">[1] Pouresmaeil E, Mehrasa M, Shokridehaki MA, Rodrigues EMG, Catalão JPS. Control and stability analysis of interfaced converter in distributed generation technology. EUROCON 2015. 2015. p. 1–6. </w:t>
      </w:r>
    </w:p>
    <w:p w:rsidR="007270CC" w:rsidRDefault="007270CC" w:rsidP="007270CC">
      <w:pPr>
        <w:spacing w:line="360" w:lineRule="auto"/>
        <w:ind w:left="426"/>
        <w:jc w:val="both"/>
        <w:rPr>
          <w:lang w:val="en-IN"/>
        </w:rPr>
      </w:pPr>
    </w:p>
    <w:p w:rsidR="00164872" w:rsidRPr="00B02FF0" w:rsidRDefault="001E5653" w:rsidP="007270CC">
      <w:pPr>
        <w:numPr>
          <w:ilvl w:val="0"/>
          <w:numId w:val="16"/>
        </w:numPr>
        <w:tabs>
          <w:tab w:val="clear" w:pos="720"/>
          <w:tab w:val="num" w:pos="0"/>
        </w:tabs>
        <w:spacing w:line="360" w:lineRule="auto"/>
        <w:ind w:left="426"/>
        <w:jc w:val="both"/>
        <w:rPr>
          <w:lang w:val="en-IN"/>
        </w:rPr>
      </w:pPr>
      <w:r w:rsidRPr="00B02FF0">
        <w:rPr>
          <w:lang w:val="en-IN"/>
        </w:rPr>
        <w:t xml:space="preserve">[2] Mehrasa M, Adabi ME, Pouresmaeil E, Adabi J. Passivity-based control technique for integration of DG resources into the power grid. Int J Electric Power Syst Res 2014;58:281–90. </w:t>
      </w:r>
    </w:p>
    <w:p w:rsidR="007270CC" w:rsidRDefault="007270CC" w:rsidP="007270CC">
      <w:pPr>
        <w:spacing w:line="360" w:lineRule="auto"/>
        <w:ind w:left="426"/>
        <w:jc w:val="both"/>
        <w:rPr>
          <w:lang w:val="en-IN"/>
        </w:rPr>
      </w:pPr>
    </w:p>
    <w:p w:rsidR="00164872" w:rsidRPr="00B02FF0" w:rsidRDefault="001E5653" w:rsidP="007270CC">
      <w:pPr>
        <w:numPr>
          <w:ilvl w:val="0"/>
          <w:numId w:val="16"/>
        </w:numPr>
        <w:tabs>
          <w:tab w:val="clear" w:pos="720"/>
          <w:tab w:val="num" w:pos="0"/>
        </w:tabs>
        <w:spacing w:line="360" w:lineRule="auto"/>
        <w:ind w:left="426"/>
        <w:jc w:val="both"/>
        <w:rPr>
          <w:lang w:val="en-IN"/>
        </w:rPr>
      </w:pPr>
      <w:r w:rsidRPr="00B02FF0">
        <w:rPr>
          <w:lang w:val="en-IN"/>
        </w:rPr>
        <w:t xml:space="preserve">[3] Alegria E, Brown T, Minear E, Lasseter RH. CERTS microgrid demonstration with large-scale energy storage and renewable generation. IEEE Trans Smart Grid 2014;5(2):937–43. </w:t>
      </w:r>
    </w:p>
    <w:p w:rsidR="007270CC" w:rsidRDefault="007270CC" w:rsidP="007270CC">
      <w:pPr>
        <w:spacing w:line="360" w:lineRule="auto"/>
        <w:ind w:left="426"/>
        <w:jc w:val="both"/>
        <w:rPr>
          <w:lang w:val="en-IN"/>
        </w:rPr>
      </w:pPr>
    </w:p>
    <w:p w:rsidR="00164872" w:rsidRPr="00B02FF0" w:rsidRDefault="001E5653" w:rsidP="007270CC">
      <w:pPr>
        <w:numPr>
          <w:ilvl w:val="0"/>
          <w:numId w:val="16"/>
        </w:numPr>
        <w:tabs>
          <w:tab w:val="clear" w:pos="720"/>
          <w:tab w:val="num" w:pos="0"/>
        </w:tabs>
        <w:spacing w:line="360" w:lineRule="auto"/>
        <w:ind w:left="426"/>
        <w:jc w:val="both"/>
        <w:rPr>
          <w:lang w:val="en-IN"/>
        </w:rPr>
      </w:pPr>
      <w:r w:rsidRPr="00B02FF0">
        <w:rPr>
          <w:lang w:val="en-IN"/>
        </w:rPr>
        <w:t xml:space="preserve">[4] Harsha P, Dahleh M. Optimal management and sizing of energy storage under dynamic pricing for the efficient integration of renewable energy. IEEE Trans Power Syst 2015;30(3):1164–81. </w:t>
      </w:r>
    </w:p>
    <w:p w:rsidR="007270CC" w:rsidRDefault="007270CC" w:rsidP="007270CC">
      <w:pPr>
        <w:spacing w:line="360" w:lineRule="auto"/>
        <w:ind w:left="426"/>
        <w:jc w:val="both"/>
        <w:rPr>
          <w:lang w:val="en-IN"/>
        </w:rPr>
      </w:pPr>
    </w:p>
    <w:p w:rsidR="00164872" w:rsidRPr="00B02FF0" w:rsidRDefault="001E5653" w:rsidP="007270CC">
      <w:pPr>
        <w:numPr>
          <w:ilvl w:val="0"/>
          <w:numId w:val="16"/>
        </w:numPr>
        <w:tabs>
          <w:tab w:val="clear" w:pos="720"/>
          <w:tab w:val="num" w:pos="0"/>
        </w:tabs>
        <w:spacing w:line="360" w:lineRule="auto"/>
        <w:ind w:left="426"/>
        <w:jc w:val="both"/>
        <w:rPr>
          <w:lang w:val="en-IN"/>
        </w:rPr>
      </w:pPr>
      <w:r w:rsidRPr="00B02FF0">
        <w:rPr>
          <w:lang w:val="en-IN"/>
        </w:rPr>
        <w:t>[5] Wang S, et al. Design and advanced control strategies of a hybrid energy storage system for the grid integration of wind power generations. IET Renew Power Gener 2015;9(2):89–98.</w:t>
      </w:r>
      <w:r w:rsidRPr="00B02FF0">
        <w:t xml:space="preserve"> </w:t>
      </w:r>
    </w:p>
    <w:p w:rsidR="007270CC" w:rsidRDefault="007270CC" w:rsidP="007270CC">
      <w:pPr>
        <w:spacing w:line="360" w:lineRule="auto"/>
        <w:ind w:left="426"/>
        <w:jc w:val="both"/>
        <w:rPr>
          <w:lang w:val="en-IN"/>
        </w:rPr>
      </w:pPr>
    </w:p>
    <w:p w:rsidR="00164872" w:rsidRPr="00B02FF0" w:rsidRDefault="001E5653" w:rsidP="007270CC">
      <w:pPr>
        <w:numPr>
          <w:ilvl w:val="0"/>
          <w:numId w:val="16"/>
        </w:numPr>
        <w:tabs>
          <w:tab w:val="clear" w:pos="720"/>
          <w:tab w:val="num" w:pos="0"/>
        </w:tabs>
        <w:spacing w:line="360" w:lineRule="auto"/>
        <w:ind w:left="426"/>
        <w:jc w:val="both"/>
        <w:rPr>
          <w:lang w:val="en-IN"/>
        </w:rPr>
      </w:pPr>
      <w:r w:rsidRPr="00B02FF0">
        <w:rPr>
          <w:lang w:val="en-IN"/>
        </w:rPr>
        <w:lastRenderedPageBreak/>
        <w:t xml:space="preserve">[6] Liu S, Wang X, Liu PX. A stochastic stability enhancement method of grid-connected distributed energy storage systems. IEEE Trans Smart Grid 2017. https://doi.org/ 10.1109/TSG.2015.2514286. </w:t>
      </w:r>
    </w:p>
    <w:p w:rsidR="007270CC" w:rsidRDefault="007270CC" w:rsidP="007270CC">
      <w:pPr>
        <w:spacing w:line="360" w:lineRule="auto"/>
        <w:ind w:left="426"/>
        <w:jc w:val="both"/>
        <w:rPr>
          <w:lang w:val="en-IN"/>
        </w:rPr>
      </w:pPr>
    </w:p>
    <w:p w:rsidR="00164872" w:rsidRPr="00B02FF0" w:rsidRDefault="001E5653" w:rsidP="007270CC">
      <w:pPr>
        <w:numPr>
          <w:ilvl w:val="0"/>
          <w:numId w:val="16"/>
        </w:numPr>
        <w:tabs>
          <w:tab w:val="clear" w:pos="720"/>
          <w:tab w:val="num" w:pos="0"/>
        </w:tabs>
        <w:spacing w:line="360" w:lineRule="auto"/>
        <w:ind w:left="426"/>
        <w:jc w:val="both"/>
        <w:rPr>
          <w:lang w:val="en-IN"/>
        </w:rPr>
      </w:pPr>
      <w:r w:rsidRPr="00B02FF0">
        <w:rPr>
          <w:lang w:val="en-IN"/>
        </w:rPr>
        <w:t xml:space="preserve">[7] Stetz T, Marten F, Braun M. Improved low voltage grid-integration of photovoltaic systems in Germany. IEEE Trans Sustain Energy 2012;4(2):534–42. </w:t>
      </w:r>
    </w:p>
    <w:p w:rsidR="007270CC" w:rsidRDefault="007270CC" w:rsidP="007270CC">
      <w:pPr>
        <w:spacing w:line="360" w:lineRule="auto"/>
        <w:ind w:left="426"/>
        <w:jc w:val="both"/>
        <w:rPr>
          <w:lang w:val="en-IN"/>
        </w:rPr>
      </w:pPr>
    </w:p>
    <w:p w:rsidR="00164872" w:rsidRPr="00B02FF0" w:rsidRDefault="001E5653" w:rsidP="007270CC">
      <w:pPr>
        <w:numPr>
          <w:ilvl w:val="0"/>
          <w:numId w:val="16"/>
        </w:numPr>
        <w:tabs>
          <w:tab w:val="clear" w:pos="720"/>
          <w:tab w:val="num" w:pos="0"/>
        </w:tabs>
        <w:spacing w:line="360" w:lineRule="auto"/>
        <w:ind w:left="426"/>
        <w:jc w:val="both"/>
        <w:rPr>
          <w:lang w:val="en-IN"/>
        </w:rPr>
      </w:pPr>
      <w:r w:rsidRPr="00B02FF0">
        <w:rPr>
          <w:lang w:val="en-IN"/>
        </w:rPr>
        <w:t xml:space="preserve">[8] Demirok E, Gonzalez PC, Frederiksen K, Sera D, Rodriguez P, Teodorescu R. Local reactive power control methods for overvoltage prevention of distributed solar inverters in low-voltage grids. IEEE J Photovolt 2011;1(2):174–82. </w:t>
      </w:r>
    </w:p>
    <w:p w:rsidR="007270CC" w:rsidRDefault="007270CC" w:rsidP="007270CC">
      <w:pPr>
        <w:spacing w:line="360" w:lineRule="auto"/>
        <w:ind w:left="426"/>
        <w:jc w:val="both"/>
        <w:rPr>
          <w:lang w:val="en-IN"/>
        </w:rPr>
      </w:pPr>
    </w:p>
    <w:p w:rsidR="00164872" w:rsidRPr="00B02FF0" w:rsidRDefault="001E5653" w:rsidP="007270CC">
      <w:pPr>
        <w:numPr>
          <w:ilvl w:val="0"/>
          <w:numId w:val="16"/>
        </w:numPr>
        <w:tabs>
          <w:tab w:val="clear" w:pos="720"/>
          <w:tab w:val="num" w:pos="0"/>
        </w:tabs>
        <w:spacing w:line="360" w:lineRule="auto"/>
        <w:ind w:left="426"/>
        <w:jc w:val="both"/>
        <w:rPr>
          <w:lang w:val="en-IN"/>
        </w:rPr>
      </w:pPr>
      <w:r w:rsidRPr="00B02FF0">
        <w:rPr>
          <w:lang w:val="en-IN"/>
        </w:rPr>
        <w:t xml:space="preserve">[9] Yazdani A, Di Fazio A, Ghoddami H, Russo M, Kazerani M, Jatskevich J, et al. Modeling guidelines and a benchmark for power system simulation studies of threephase single-stage photovoltaic systems. IEEE Trans Power Del 2011;26(2):1247–64. </w:t>
      </w:r>
    </w:p>
    <w:p w:rsidR="007270CC" w:rsidRDefault="007270CC" w:rsidP="007270CC">
      <w:pPr>
        <w:spacing w:line="360" w:lineRule="auto"/>
        <w:ind w:left="426"/>
        <w:jc w:val="both"/>
        <w:rPr>
          <w:lang w:val="en-IN"/>
        </w:rPr>
      </w:pPr>
    </w:p>
    <w:p w:rsidR="00164872" w:rsidRPr="00B02FF0" w:rsidRDefault="001E5653" w:rsidP="007270CC">
      <w:pPr>
        <w:numPr>
          <w:ilvl w:val="0"/>
          <w:numId w:val="16"/>
        </w:numPr>
        <w:tabs>
          <w:tab w:val="clear" w:pos="720"/>
          <w:tab w:val="num" w:pos="0"/>
        </w:tabs>
        <w:spacing w:line="360" w:lineRule="auto"/>
        <w:ind w:left="426"/>
        <w:jc w:val="both"/>
        <w:rPr>
          <w:lang w:val="en-IN"/>
        </w:rPr>
      </w:pPr>
      <w:r w:rsidRPr="00B02FF0">
        <w:rPr>
          <w:lang w:val="en-IN"/>
        </w:rPr>
        <w:t xml:space="preserve">[10] Samadi A, Eriksson R, Söder L, Rawn BG, Boemer JC. Coordinated active powerdependent voltage regulation in distribution grids with PV systems. IEEE Trans Power Del 2014;29(3):1454–64. </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17F9" w:rsidRDefault="007017F9" w:rsidP="00D57631">
      <w:r>
        <w:separator/>
      </w:r>
    </w:p>
  </w:endnote>
  <w:endnote w:type="continuationSeparator" w:id="1">
    <w:p w:rsidR="007017F9" w:rsidRDefault="007017F9" w:rsidP="00D576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164872">
        <w:pPr>
          <w:pStyle w:val="Footer"/>
          <w:jc w:val="center"/>
        </w:pPr>
        <w:fldSimple w:instr=" PAGE   \* MERGEFORMAT ">
          <w:r w:rsidR="00561ED5">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17F9" w:rsidRDefault="007017F9" w:rsidP="00D57631">
      <w:r>
        <w:separator/>
      </w:r>
    </w:p>
  </w:footnote>
  <w:footnote w:type="continuationSeparator" w:id="1">
    <w:p w:rsidR="007017F9" w:rsidRDefault="007017F9"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002512"/>
    <w:multiLevelType w:val="hybridMultilevel"/>
    <w:tmpl w:val="9AC60C9C"/>
    <w:lvl w:ilvl="0" w:tplc="1110F10E">
      <w:start w:val="1"/>
      <w:numFmt w:val="bullet"/>
      <w:lvlText w:val=""/>
      <w:lvlJc w:val="left"/>
      <w:pPr>
        <w:tabs>
          <w:tab w:val="num" w:pos="720"/>
        </w:tabs>
        <w:ind w:left="720" w:hanging="360"/>
      </w:pPr>
      <w:rPr>
        <w:rFonts w:ascii="Wingdings 2" w:hAnsi="Wingdings 2" w:hint="default"/>
      </w:rPr>
    </w:lvl>
    <w:lvl w:ilvl="1" w:tplc="6E041F30" w:tentative="1">
      <w:start w:val="1"/>
      <w:numFmt w:val="bullet"/>
      <w:lvlText w:val=""/>
      <w:lvlJc w:val="left"/>
      <w:pPr>
        <w:tabs>
          <w:tab w:val="num" w:pos="1440"/>
        </w:tabs>
        <w:ind w:left="1440" w:hanging="360"/>
      </w:pPr>
      <w:rPr>
        <w:rFonts w:ascii="Wingdings 2" w:hAnsi="Wingdings 2" w:hint="default"/>
      </w:rPr>
    </w:lvl>
    <w:lvl w:ilvl="2" w:tplc="E768223A" w:tentative="1">
      <w:start w:val="1"/>
      <w:numFmt w:val="bullet"/>
      <w:lvlText w:val=""/>
      <w:lvlJc w:val="left"/>
      <w:pPr>
        <w:tabs>
          <w:tab w:val="num" w:pos="2160"/>
        </w:tabs>
        <w:ind w:left="2160" w:hanging="360"/>
      </w:pPr>
      <w:rPr>
        <w:rFonts w:ascii="Wingdings 2" w:hAnsi="Wingdings 2" w:hint="default"/>
      </w:rPr>
    </w:lvl>
    <w:lvl w:ilvl="3" w:tplc="9510FA4E" w:tentative="1">
      <w:start w:val="1"/>
      <w:numFmt w:val="bullet"/>
      <w:lvlText w:val=""/>
      <w:lvlJc w:val="left"/>
      <w:pPr>
        <w:tabs>
          <w:tab w:val="num" w:pos="2880"/>
        </w:tabs>
        <w:ind w:left="2880" w:hanging="360"/>
      </w:pPr>
      <w:rPr>
        <w:rFonts w:ascii="Wingdings 2" w:hAnsi="Wingdings 2" w:hint="default"/>
      </w:rPr>
    </w:lvl>
    <w:lvl w:ilvl="4" w:tplc="17E06CDE" w:tentative="1">
      <w:start w:val="1"/>
      <w:numFmt w:val="bullet"/>
      <w:lvlText w:val=""/>
      <w:lvlJc w:val="left"/>
      <w:pPr>
        <w:tabs>
          <w:tab w:val="num" w:pos="3600"/>
        </w:tabs>
        <w:ind w:left="3600" w:hanging="360"/>
      </w:pPr>
      <w:rPr>
        <w:rFonts w:ascii="Wingdings 2" w:hAnsi="Wingdings 2" w:hint="default"/>
      </w:rPr>
    </w:lvl>
    <w:lvl w:ilvl="5" w:tplc="EAFA22CE" w:tentative="1">
      <w:start w:val="1"/>
      <w:numFmt w:val="bullet"/>
      <w:lvlText w:val=""/>
      <w:lvlJc w:val="left"/>
      <w:pPr>
        <w:tabs>
          <w:tab w:val="num" w:pos="4320"/>
        </w:tabs>
        <w:ind w:left="4320" w:hanging="360"/>
      </w:pPr>
      <w:rPr>
        <w:rFonts w:ascii="Wingdings 2" w:hAnsi="Wingdings 2" w:hint="default"/>
      </w:rPr>
    </w:lvl>
    <w:lvl w:ilvl="6" w:tplc="89F62A4C" w:tentative="1">
      <w:start w:val="1"/>
      <w:numFmt w:val="bullet"/>
      <w:lvlText w:val=""/>
      <w:lvlJc w:val="left"/>
      <w:pPr>
        <w:tabs>
          <w:tab w:val="num" w:pos="5040"/>
        </w:tabs>
        <w:ind w:left="5040" w:hanging="360"/>
      </w:pPr>
      <w:rPr>
        <w:rFonts w:ascii="Wingdings 2" w:hAnsi="Wingdings 2" w:hint="default"/>
      </w:rPr>
    </w:lvl>
    <w:lvl w:ilvl="7" w:tplc="19682F84" w:tentative="1">
      <w:start w:val="1"/>
      <w:numFmt w:val="bullet"/>
      <w:lvlText w:val=""/>
      <w:lvlJc w:val="left"/>
      <w:pPr>
        <w:tabs>
          <w:tab w:val="num" w:pos="5760"/>
        </w:tabs>
        <w:ind w:left="5760" w:hanging="360"/>
      </w:pPr>
      <w:rPr>
        <w:rFonts w:ascii="Wingdings 2" w:hAnsi="Wingdings 2" w:hint="default"/>
      </w:rPr>
    </w:lvl>
    <w:lvl w:ilvl="8" w:tplc="439AEA86" w:tentative="1">
      <w:start w:val="1"/>
      <w:numFmt w:val="bullet"/>
      <w:lvlText w:val=""/>
      <w:lvlJc w:val="left"/>
      <w:pPr>
        <w:tabs>
          <w:tab w:val="num" w:pos="6480"/>
        </w:tabs>
        <w:ind w:left="6480" w:hanging="360"/>
      </w:pPr>
      <w:rPr>
        <w:rFonts w:ascii="Wingdings 2" w:hAnsi="Wingdings 2" w:hint="default"/>
      </w:rPr>
    </w:lvl>
  </w:abstractNum>
  <w:abstractNum w:abstractNumId="9">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B136D3E"/>
    <w:multiLevelType w:val="hybridMultilevel"/>
    <w:tmpl w:val="83DE533C"/>
    <w:lvl w:ilvl="0" w:tplc="9A52C99A">
      <w:start w:val="1"/>
      <w:numFmt w:val="bullet"/>
      <w:lvlText w:val=""/>
      <w:lvlJc w:val="left"/>
      <w:pPr>
        <w:tabs>
          <w:tab w:val="num" w:pos="720"/>
        </w:tabs>
        <w:ind w:left="720" w:hanging="360"/>
      </w:pPr>
      <w:rPr>
        <w:rFonts w:ascii="Wingdings 2" w:hAnsi="Wingdings 2" w:hint="default"/>
      </w:rPr>
    </w:lvl>
    <w:lvl w:ilvl="1" w:tplc="92EAB7A6" w:tentative="1">
      <w:start w:val="1"/>
      <w:numFmt w:val="bullet"/>
      <w:lvlText w:val=""/>
      <w:lvlJc w:val="left"/>
      <w:pPr>
        <w:tabs>
          <w:tab w:val="num" w:pos="1440"/>
        </w:tabs>
        <w:ind w:left="1440" w:hanging="360"/>
      </w:pPr>
      <w:rPr>
        <w:rFonts w:ascii="Wingdings 2" w:hAnsi="Wingdings 2" w:hint="default"/>
      </w:rPr>
    </w:lvl>
    <w:lvl w:ilvl="2" w:tplc="EE363D6E" w:tentative="1">
      <w:start w:val="1"/>
      <w:numFmt w:val="bullet"/>
      <w:lvlText w:val=""/>
      <w:lvlJc w:val="left"/>
      <w:pPr>
        <w:tabs>
          <w:tab w:val="num" w:pos="2160"/>
        </w:tabs>
        <w:ind w:left="2160" w:hanging="360"/>
      </w:pPr>
      <w:rPr>
        <w:rFonts w:ascii="Wingdings 2" w:hAnsi="Wingdings 2" w:hint="default"/>
      </w:rPr>
    </w:lvl>
    <w:lvl w:ilvl="3" w:tplc="336646FA" w:tentative="1">
      <w:start w:val="1"/>
      <w:numFmt w:val="bullet"/>
      <w:lvlText w:val=""/>
      <w:lvlJc w:val="left"/>
      <w:pPr>
        <w:tabs>
          <w:tab w:val="num" w:pos="2880"/>
        </w:tabs>
        <w:ind w:left="2880" w:hanging="360"/>
      </w:pPr>
      <w:rPr>
        <w:rFonts w:ascii="Wingdings 2" w:hAnsi="Wingdings 2" w:hint="default"/>
      </w:rPr>
    </w:lvl>
    <w:lvl w:ilvl="4" w:tplc="33E6887C" w:tentative="1">
      <w:start w:val="1"/>
      <w:numFmt w:val="bullet"/>
      <w:lvlText w:val=""/>
      <w:lvlJc w:val="left"/>
      <w:pPr>
        <w:tabs>
          <w:tab w:val="num" w:pos="3600"/>
        </w:tabs>
        <w:ind w:left="3600" w:hanging="360"/>
      </w:pPr>
      <w:rPr>
        <w:rFonts w:ascii="Wingdings 2" w:hAnsi="Wingdings 2" w:hint="default"/>
      </w:rPr>
    </w:lvl>
    <w:lvl w:ilvl="5" w:tplc="A3EAF2D0" w:tentative="1">
      <w:start w:val="1"/>
      <w:numFmt w:val="bullet"/>
      <w:lvlText w:val=""/>
      <w:lvlJc w:val="left"/>
      <w:pPr>
        <w:tabs>
          <w:tab w:val="num" w:pos="4320"/>
        </w:tabs>
        <w:ind w:left="4320" w:hanging="360"/>
      </w:pPr>
      <w:rPr>
        <w:rFonts w:ascii="Wingdings 2" w:hAnsi="Wingdings 2" w:hint="default"/>
      </w:rPr>
    </w:lvl>
    <w:lvl w:ilvl="6" w:tplc="BC84AC54" w:tentative="1">
      <w:start w:val="1"/>
      <w:numFmt w:val="bullet"/>
      <w:lvlText w:val=""/>
      <w:lvlJc w:val="left"/>
      <w:pPr>
        <w:tabs>
          <w:tab w:val="num" w:pos="5040"/>
        </w:tabs>
        <w:ind w:left="5040" w:hanging="360"/>
      </w:pPr>
      <w:rPr>
        <w:rFonts w:ascii="Wingdings 2" w:hAnsi="Wingdings 2" w:hint="default"/>
      </w:rPr>
    </w:lvl>
    <w:lvl w:ilvl="7" w:tplc="C7325CE0" w:tentative="1">
      <w:start w:val="1"/>
      <w:numFmt w:val="bullet"/>
      <w:lvlText w:val=""/>
      <w:lvlJc w:val="left"/>
      <w:pPr>
        <w:tabs>
          <w:tab w:val="num" w:pos="5760"/>
        </w:tabs>
        <w:ind w:left="5760" w:hanging="360"/>
      </w:pPr>
      <w:rPr>
        <w:rFonts w:ascii="Wingdings 2" w:hAnsi="Wingdings 2" w:hint="default"/>
      </w:rPr>
    </w:lvl>
    <w:lvl w:ilvl="8" w:tplc="97A8899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10"/>
  </w:num>
  <w:num w:numId="8">
    <w:abstractNumId w:val="7"/>
  </w:num>
  <w:num w:numId="9">
    <w:abstractNumId w:val="14"/>
  </w:num>
  <w:num w:numId="10">
    <w:abstractNumId w:val="15"/>
  </w:num>
  <w:num w:numId="11">
    <w:abstractNumId w:val="12"/>
  </w:num>
  <w:num w:numId="12">
    <w:abstractNumId w:val="11"/>
  </w:num>
  <w:num w:numId="13">
    <w:abstractNumId w:val="5"/>
  </w:num>
  <w:num w:numId="14">
    <w:abstractNumId w:val="13"/>
  </w:num>
  <w:num w:numId="15">
    <w:abstractNumId w:val="9"/>
  </w:num>
  <w:num w:numId="16">
    <w:abstractNumId w:val="8"/>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26CE5"/>
    <w:rsid w:val="000444EA"/>
    <w:rsid w:val="000515F5"/>
    <w:rsid w:val="00054858"/>
    <w:rsid w:val="0005620C"/>
    <w:rsid w:val="00070B1E"/>
    <w:rsid w:val="00076A22"/>
    <w:rsid w:val="00094DAD"/>
    <w:rsid w:val="000A0BFD"/>
    <w:rsid w:val="000B25E4"/>
    <w:rsid w:val="000B3011"/>
    <w:rsid w:val="000D7EDC"/>
    <w:rsid w:val="00100420"/>
    <w:rsid w:val="00120718"/>
    <w:rsid w:val="00123347"/>
    <w:rsid w:val="001264ED"/>
    <w:rsid w:val="00126A34"/>
    <w:rsid w:val="00127CB7"/>
    <w:rsid w:val="00134CE3"/>
    <w:rsid w:val="00164872"/>
    <w:rsid w:val="00173B6E"/>
    <w:rsid w:val="001C3B54"/>
    <w:rsid w:val="001D67F4"/>
    <w:rsid w:val="001E5653"/>
    <w:rsid w:val="001F3C11"/>
    <w:rsid w:val="001F6F30"/>
    <w:rsid w:val="001F7AEF"/>
    <w:rsid w:val="00205856"/>
    <w:rsid w:val="00251117"/>
    <w:rsid w:val="00271D2A"/>
    <w:rsid w:val="0028133E"/>
    <w:rsid w:val="00286A94"/>
    <w:rsid w:val="002A14B5"/>
    <w:rsid w:val="002A6228"/>
    <w:rsid w:val="002B4CE6"/>
    <w:rsid w:val="002C2841"/>
    <w:rsid w:val="002D153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D1F09"/>
    <w:rsid w:val="003D3CDC"/>
    <w:rsid w:val="003E3FCC"/>
    <w:rsid w:val="00401CED"/>
    <w:rsid w:val="00403826"/>
    <w:rsid w:val="00410813"/>
    <w:rsid w:val="0041528A"/>
    <w:rsid w:val="00416FBE"/>
    <w:rsid w:val="00422889"/>
    <w:rsid w:val="004523CE"/>
    <w:rsid w:val="00455FE3"/>
    <w:rsid w:val="0046578A"/>
    <w:rsid w:val="0047329A"/>
    <w:rsid w:val="00492C1F"/>
    <w:rsid w:val="004A058D"/>
    <w:rsid w:val="004A66F3"/>
    <w:rsid w:val="004B4B34"/>
    <w:rsid w:val="004B557E"/>
    <w:rsid w:val="0050504C"/>
    <w:rsid w:val="005078A8"/>
    <w:rsid w:val="005079FD"/>
    <w:rsid w:val="00513A4B"/>
    <w:rsid w:val="00547F62"/>
    <w:rsid w:val="00561ED5"/>
    <w:rsid w:val="005660B8"/>
    <w:rsid w:val="00591146"/>
    <w:rsid w:val="00597B41"/>
    <w:rsid w:val="005D1361"/>
    <w:rsid w:val="005D303E"/>
    <w:rsid w:val="006122C4"/>
    <w:rsid w:val="00626889"/>
    <w:rsid w:val="00627B93"/>
    <w:rsid w:val="00635A5D"/>
    <w:rsid w:val="00641CDD"/>
    <w:rsid w:val="00656C23"/>
    <w:rsid w:val="006647FD"/>
    <w:rsid w:val="00675AF5"/>
    <w:rsid w:val="006A2FBE"/>
    <w:rsid w:val="006B52E4"/>
    <w:rsid w:val="006C4540"/>
    <w:rsid w:val="006E0D63"/>
    <w:rsid w:val="006F0229"/>
    <w:rsid w:val="006F1E5D"/>
    <w:rsid w:val="007017F9"/>
    <w:rsid w:val="0071355D"/>
    <w:rsid w:val="007270CC"/>
    <w:rsid w:val="0077084E"/>
    <w:rsid w:val="007859EB"/>
    <w:rsid w:val="0079463B"/>
    <w:rsid w:val="007D4C87"/>
    <w:rsid w:val="007E7D56"/>
    <w:rsid w:val="007F16F2"/>
    <w:rsid w:val="00800A71"/>
    <w:rsid w:val="008077AA"/>
    <w:rsid w:val="00826757"/>
    <w:rsid w:val="00831639"/>
    <w:rsid w:val="00835485"/>
    <w:rsid w:val="00835F4E"/>
    <w:rsid w:val="00837638"/>
    <w:rsid w:val="008430BC"/>
    <w:rsid w:val="00855123"/>
    <w:rsid w:val="00867532"/>
    <w:rsid w:val="00890E88"/>
    <w:rsid w:val="008D06DD"/>
    <w:rsid w:val="008D7461"/>
    <w:rsid w:val="008E3998"/>
    <w:rsid w:val="008E6626"/>
    <w:rsid w:val="008F3A58"/>
    <w:rsid w:val="00902509"/>
    <w:rsid w:val="00915C61"/>
    <w:rsid w:val="00923626"/>
    <w:rsid w:val="00923913"/>
    <w:rsid w:val="0092721B"/>
    <w:rsid w:val="009346F5"/>
    <w:rsid w:val="00950A8C"/>
    <w:rsid w:val="00960283"/>
    <w:rsid w:val="009634DE"/>
    <w:rsid w:val="00971B3A"/>
    <w:rsid w:val="00971D50"/>
    <w:rsid w:val="00975110"/>
    <w:rsid w:val="009D5A4D"/>
    <w:rsid w:val="00A0617D"/>
    <w:rsid w:val="00A06BDE"/>
    <w:rsid w:val="00A1174B"/>
    <w:rsid w:val="00A11874"/>
    <w:rsid w:val="00A2476E"/>
    <w:rsid w:val="00A269F8"/>
    <w:rsid w:val="00A45621"/>
    <w:rsid w:val="00A50C8B"/>
    <w:rsid w:val="00A62DBC"/>
    <w:rsid w:val="00A671FD"/>
    <w:rsid w:val="00AC49FB"/>
    <w:rsid w:val="00AC7F62"/>
    <w:rsid w:val="00AD3B42"/>
    <w:rsid w:val="00AD5E6C"/>
    <w:rsid w:val="00AE2058"/>
    <w:rsid w:val="00AE29DA"/>
    <w:rsid w:val="00B02FF0"/>
    <w:rsid w:val="00B04CB3"/>
    <w:rsid w:val="00B078CA"/>
    <w:rsid w:val="00B608E9"/>
    <w:rsid w:val="00B67DCE"/>
    <w:rsid w:val="00B95567"/>
    <w:rsid w:val="00BB1627"/>
    <w:rsid w:val="00BC7A95"/>
    <w:rsid w:val="00BF116B"/>
    <w:rsid w:val="00C00248"/>
    <w:rsid w:val="00C16E79"/>
    <w:rsid w:val="00C2352C"/>
    <w:rsid w:val="00C36E04"/>
    <w:rsid w:val="00C579FA"/>
    <w:rsid w:val="00C62A8E"/>
    <w:rsid w:val="00C7689C"/>
    <w:rsid w:val="00C95D01"/>
    <w:rsid w:val="00CA2999"/>
    <w:rsid w:val="00CB2C83"/>
    <w:rsid w:val="00CC128C"/>
    <w:rsid w:val="00CE0DF3"/>
    <w:rsid w:val="00CE270D"/>
    <w:rsid w:val="00CE47AC"/>
    <w:rsid w:val="00CF00A0"/>
    <w:rsid w:val="00CF5C56"/>
    <w:rsid w:val="00D26A5D"/>
    <w:rsid w:val="00D3113F"/>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050CC"/>
    <w:rsid w:val="00E11C76"/>
    <w:rsid w:val="00E20751"/>
    <w:rsid w:val="00E83D40"/>
    <w:rsid w:val="00EA41FD"/>
    <w:rsid w:val="00EA4AD0"/>
    <w:rsid w:val="00EB6BB4"/>
    <w:rsid w:val="00ED531F"/>
    <w:rsid w:val="00ED5A9F"/>
    <w:rsid w:val="00F24D98"/>
    <w:rsid w:val="00F75B7B"/>
    <w:rsid w:val="00F92E12"/>
    <w:rsid w:val="00FA164F"/>
    <w:rsid w:val="00FB69BD"/>
    <w:rsid w:val="00FC7C94"/>
    <w:rsid w:val="00FD1F5A"/>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8434">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63652614">
      <w:bodyDiv w:val="1"/>
      <w:marLeft w:val="0"/>
      <w:marRight w:val="0"/>
      <w:marTop w:val="0"/>
      <w:marBottom w:val="0"/>
      <w:divBdr>
        <w:top w:val="none" w:sz="0" w:space="0" w:color="auto"/>
        <w:left w:val="none" w:sz="0" w:space="0" w:color="auto"/>
        <w:bottom w:val="none" w:sz="0" w:space="0" w:color="auto"/>
        <w:right w:val="none" w:sz="0" w:space="0" w:color="auto"/>
      </w:divBdr>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94147157">
      <w:bodyDiv w:val="1"/>
      <w:marLeft w:val="0"/>
      <w:marRight w:val="0"/>
      <w:marTop w:val="0"/>
      <w:marBottom w:val="0"/>
      <w:divBdr>
        <w:top w:val="none" w:sz="0" w:space="0" w:color="auto"/>
        <w:left w:val="none" w:sz="0" w:space="0" w:color="auto"/>
        <w:bottom w:val="none" w:sz="0" w:space="0" w:color="auto"/>
        <w:right w:val="none" w:sz="0" w:space="0" w:color="auto"/>
      </w:divBdr>
    </w:div>
    <w:div w:id="317728142">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844709290">
      <w:bodyDiv w:val="1"/>
      <w:marLeft w:val="0"/>
      <w:marRight w:val="0"/>
      <w:marTop w:val="0"/>
      <w:marBottom w:val="0"/>
      <w:divBdr>
        <w:top w:val="none" w:sz="0" w:space="0" w:color="auto"/>
        <w:left w:val="none" w:sz="0" w:space="0" w:color="auto"/>
        <w:bottom w:val="none" w:sz="0" w:space="0" w:color="auto"/>
        <w:right w:val="none" w:sz="0" w:space="0" w:color="auto"/>
      </w:divBdr>
      <w:divsChild>
        <w:div w:id="1622344437">
          <w:marLeft w:val="576"/>
          <w:marRight w:val="0"/>
          <w:marTop w:val="120"/>
          <w:marBottom w:val="0"/>
          <w:divBdr>
            <w:top w:val="none" w:sz="0" w:space="0" w:color="auto"/>
            <w:left w:val="none" w:sz="0" w:space="0" w:color="auto"/>
            <w:bottom w:val="none" w:sz="0" w:space="0" w:color="auto"/>
            <w:right w:val="none" w:sz="0" w:space="0" w:color="auto"/>
          </w:divBdr>
        </w:div>
        <w:div w:id="74859494">
          <w:marLeft w:val="576"/>
          <w:marRight w:val="0"/>
          <w:marTop w:val="120"/>
          <w:marBottom w:val="0"/>
          <w:divBdr>
            <w:top w:val="none" w:sz="0" w:space="0" w:color="auto"/>
            <w:left w:val="none" w:sz="0" w:space="0" w:color="auto"/>
            <w:bottom w:val="none" w:sz="0" w:space="0" w:color="auto"/>
            <w:right w:val="none" w:sz="0" w:space="0" w:color="auto"/>
          </w:divBdr>
        </w:div>
        <w:div w:id="1967155750">
          <w:marLeft w:val="576"/>
          <w:marRight w:val="0"/>
          <w:marTop w:val="120"/>
          <w:marBottom w:val="0"/>
          <w:divBdr>
            <w:top w:val="none" w:sz="0" w:space="0" w:color="auto"/>
            <w:left w:val="none" w:sz="0" w:space="0" w:color="auto"/>
            <w:bottom w:val="none" w:sz="0" w:space="0" w:color="auto"/>
            <w:right w:val="none" w:sz="0" w:space="0" w:color="auto"/>
          </w:divBdr>
        </w:div>
        <w:div w:id="1705012496">
          <w:marLeft w:val="576"/>
          <w:marRight w:val="0"/>
          <w:marTop w:val="120"/>
          <w:marBottom w:val="0"/>
          <w:divBdr>
            <w:top w:val="none" w:sz="0" w:space="0" w:color="auto"/>
            <w:left w:val="none" w:sz="0" w:space="0" w:color="auto"/>
            <w:bottom w:val="none" w:sz="0" w:space="0" w:color="auto"/>
            <w:right w:val="none" w:sz="0" w:space="0" w:color="auto"/>
          </w:divBdr>
        </w:div>
        <w:div w:id="457456882">
          <w:marLeft w:val="576"/>
          <w:marRight w:val="0"/>
          <w:marTop w:val="120"/>
          <w:marBottom w:val="0"/>
          <w:divBdr>
            <w:top w:val="none" w:sz="0" w:space="0" w:color="auto"/>
            <w:left w:val="none" w:sz="0" w:space="0" w:color="auto"/>
            <w:bottom w:val="none" w:sz="0" w:space="0" w:color="auto"/>
            <w:right w:val="none" w:sz="0" w:space="0" w:color="auto"/>
          </w:divBdr>
        </w:div>
      </w:divsChild>
    </w:div>
    <w:div w:id="1500273786">
      <w:bodyDiv w:val="1"/>
      <w:marLeft w:val="0"/>
      <w:marRight w:val="0"/>
      <w:marTop w:val="0"/>
      <w:marBottom w:val="0"/>
      <w:divBdr>
        <w:top w:val="none" w:sz="0" w:space="0" w:color="auto"/>
        <w:left w:val="none" w:sz="0" w:space="0" w:color="auto"/>
        <w:bottom w:val="none" w:sz="0" w:space="0" w:color="auto"/>
        <w:right w:val="none" w:sz="0" w:space="0" w:color="auto"/>
      </w:divBdr>
      <w:divsChild>
        <w:div w:id="87163310">
          <w:marLeft w:val="576"/>
          <w:marRight w:val="0"/>
          <w:marTop w:val="120"/>
          <w:marBottom w:val="0"/>
          <w:divBdr>
            <w:top w:val="none" w:sz="0" w:space="0" w:color="auto"/>
            <w:left w:val="none" w:sz="0" w:space="0" w:color="auto"/>
            <w:bottom w:val="none" w:sz="0" w:space="0" w:color="auto"/>
            <w:right w:val="none" w:sz="0" w:space="0" w:color="auto"/>
          </w:divBdr>
        </w:div>
        <w:div w:id="2040276129">
          <w:marLeft w:val="576"/>
          <w:marRight w:val="0"/>
          <w:marTop w:val="120"/>
          <w:marBottom w:val="0"/>
          <w:divBdr>
            <w:top w:val="none" w:sz="0" w:space="0" w:color="auto"/>
            <w:left w:val="none" w:sz="0" w:space="0" w:color="auto"/>
            <w:bottom w:val="none" w:sz="0" w:space="0" w:color="auto"/>
            <w:right w:val="none" w:sz="0" w:space="0" w:color="auto"/>
          </w:divBdr>
        </w:div>
        <w:div w:id="1125540841">
          <w:marLeft w:val="576"/>
          <w:marRight w:val="0"/>
          <w:marTop w:val="120"/>
          <w:marBottom w:val="0"/>
          <w:divBdr>
            <w:top w:val="none" w:sz="0" w:space="0" w:color="auto"/>
            <w:left w:val="none" w:sz="0" w:space="0" w:color="auto"/>
            <w:bottom w:val="none" w:sz="0" w:space="0" w:color="auto"/>
            <w:right w:val="none" w:sz="0" w:space="0" w:color="auto"/>
          </w:divBdr>
        </w:div>
        <w:div w:id="190536452">
          <w:marLeft w:val="576"/>
          <w:marRight w:val="0"/>
          <w:marTop w:val="120"/>
          <w:marBottom w:val="0"/>
          <w:divBdr>
            <w:top w:val="none" w:sz="0" w:space="0" w:color="auto"/>
            <w:left w:val="none" w:sz="0" w:space="0" w:color="auto"/>
            <w:bottom w:val="none" w:sz="0" w:space="0" w:color="auto"/>
            <w:right w:val="none" w:sz="0" w:space="0" w:color="auto"/>
          </w:divBdr>
        </w:div>
        <w:div w:id="1362168842">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50089779">
      <w:bodyDiv w:val="1"/>
      <w:marLeft w:val="0"/>
      <w:marRight w:val="0"/>
      <w:marTop w:val="0"/>
      <w:marBottom w:val="0"/>
      <w:divBdr>
        <w:top w:val="none" w:sz="0" w:space="0" w:color="auto"/>
        <w:left w:val="none" w:sz="0" w:space="0" w:color="auto"/>
        <w:bottom w:val="none" w:sz="0" w:space="0" w:color="auto"/>
        <w:right w:val="none" w:sz="0" w:space="0" w:color="auto"/>
      </w:divBdr>
    </w:div>
    <w:div w:id="1704091291">
      <w:bodyDiv w:val="1"/>
      <w:marLeft w:val="0"/>
      <w:marRight w:val="0"/>
      <w:marTop w:val="0"/>
      <w:marBottom w:val="0"/>
      <w:divBdr>
        <w:top w:val="none" w:sz="0" w:space="0" w:color="auto"/>
        <w:left w:val="none" w:sz="0" w:space="0" w:color="auto"/>
        <w:bottom w:val="none" w:sz="0" w:space="0" w:color="auto"/>
        <w:right w:val="none" w:sz="0" w:space="0" w:color="auto"/>
      </w:divBdr>
    </w:div>
    <w:div w:id="1940868491">
      <w:bodyDiv w:val="1"/>
      <w:marLeft w:val="0"/>
      <w:marRight w:val="0"/>
      <w:marTop w:val="0"/>
      <w:marBottom w:val="0"/>
      <w:divBdr>
        <w:top w:val="none" w:sz="0" w:space="0" w:color="auto"/>
        <w:left w:val="none" w:sz="0" w:space="0" w:color="auto"/>
        <w:bottom w:val="none" w:sz="0" w:space="0" w:color="auto"/>
        <w:right w:val="none" w:sz="0" w:space="0" w:color="auto"/>
      </w:divBdr>
    </w:div>
    <w:div w:id="1951476180">
      <w:bodyDiv w:val="1"/>
      <w:marLeft w:val="0"/>
      <w:marRight w:val="0"/>
      <w:marTop w:val="0"/>
      <w:marBottom w:val="0"/>
      <w:divBdr>
        <w:top w:val="none" w:sz="0" w:space="0" w:color="auto"/>
        <w:left w:val="none" w:sz="0" w:space="0" w:color="auto"/>
        <w:bottom w:val="none" w:sz="0" w:space="0" w:color="auto"/>
        <w:right w:val="none" w:sz="0" w:space="0" w:color="auto"/>
      </w:divBdr>
    </w:div>
    <w:div w:id="199009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5</Pages>
  <Words>1912</Words>
  <Characters>10900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143</cp:revision>
  <cp:lastPrinted>2019-10-22T13:18:00Z</cp:lastPrinted>
  <dcterms:created xsi:type="dcterms:W3CDTF">2019-10-19T01:55:00Z</dcterms:created>
  <dcterms:modified xsi:type="dcterms:W3CDTF">2021-12-18T14:06:00Z</dcterms:modified>
</cp:coreProperties>
</file>