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DE6" w:rsidRPr="00294E57" w:rsidRDefault="00562DE6" w:rsidP="00294E57">
      <w:pPr>
        <w:pStyle w:val="IEEEAuthorName"/>
        <w:spacing w:line="360" w:lineRule="auto"/>
        <w:rPr>
          <w:b/>
          <w:bCs/>
          <w:szCs w:val="22"/>
        </w:rPr>
      </w:pPr>
      <w:r w:rsidRPr="00294E57">
        <w:rPr>
          <w:b/>
          <w:bCs/>
          <w:szCs w:val="22"/>
        </w:rPr>
        <w:t>AFFINITY PROPAGATION BASED SMART DATA ANALYTICS IN 5G NETWORK</w:t>
      </w:r>
    </w:p>
    <w:p w:rsidR="00855123" w:rsidRDefault="00855123" w:rsidP="00111F53">
      <w:pPr>
        <w:pStyle w:val="bodyNormal"/>
        <w:spacing w:after="0"/>
        <w:jc w:val="center"/>
        <w:rPr>
          <w:sz w:val="24"/>
          <w:szCs w:val="24"/>
          <w:vertAlign w:val="superscript"/>
        </w:rPr>
      </w:pPr>
    </w:p>
    <w:p w:rsidR="00294E57" w:rsidRPr="00D26A5D" w:rsidRDefault="00294E57" w:rsidP="00111F53">
      <w:pPr>
        <w:pStyle w:val="bodyNormal"/>
        <w:spacing w:after="0"/>
        <w:jc w:val="center"/>
        <w:rPr>
          <w:sz w:val="24"/>
          <w:szCs w:val="24"/>
          <w:vertAlign w:val="superscript"/>
        </w:rPr>
      </w:pPr>
    </w:p>
    <w:p w:rsidR="000D7EDC" w:rsidRPr="00D26A5D" w:rsidRDefault="000D7EDC" w:rsidP="00111F53">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126A34" w:rsidRPr="00D26A5D" w:rsidRDefault="00294E57" w:rsidP="00111F53">
      <w:pPr>
        <w:autoSpaceDE w:val="0"/>
        <w:autoSpaceDN w:val="0"/>
        <w:adjustRightInd w:val="0"/>
        <w:spacing w:line="360" w:lineRule="auto"/>
        <w:jc w:val="both"/>
        <w:rPr>
          <w:b/>
          <w:szCs w:val="20"/>
        </w:rPr>
      </w:pPr>
      <w:r>
        <w:rPr>
          <w:b/>
          <w:noProof/>
          <w:szCs w:val="20"/>
          <w:lang w:val="en-IN" w:eastAsia="en-IN" w:bidi="ta-IN"/>
        </w:rPr>
        <w:lastRenderedPageBreak/>
        <w:drawing>
          <wp:anchor distT="0" distB="0" distL="114300" distR="114300" simplePos="0" relativeHeight="251659264" behindDoc="1" locked="0" layoutInCell="1" allowOverlap="1">
            <wp:simplePos x="0" y="0"/>
            <wp:positionH relativeFrom="column">
              <wp:posOffset>3651250</wp:posOffset>
            </wp:positionH>
            <wp:positionV relativeFrom="paragraph">
              <wp:posOffset>3395980</wp:posOffset>
            </wp:positionV>
            <wp:extent cx="3095625" cy="1762125"/>
            <wp:effectExtent l="19050" t="19050" r="28575" b="28575"/>
            <wp:wrapTight wrapText="bothSides">
              <wp:wrapPolygon edited="0">
                <wp:start x="-133" y="-234"/>
                <wp:lineTo x="-133" y="21950"/>
                <wp:lineTo x="21799" y="21950"/>
                <wp:lineTo x="21799" y="-234"/>
                <wp:lineTo x="-133" y="-234"/>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0"/>
                    <a:srcRect/>
                    <a:stretch>
                      <a:fillRect/>
                    </a:stretch>
                  </pic:blipFill>
                  <pic:spPr>
                    <a:xfrm>
                      <a:off x="0" y="0"/>
                      <a:ext cx="3095625" cy="1762125"/>
                    </a:xfrm>
                    <a:prstGeom prst="rect">
                      <a:avLst/>
                    </a:prstGeom>
                    <a:noFill/>
                    <a:ln w="12700">
                      <a:solidFill>
                        <a:schemeClr val="tx1"/>
                      </a:solidFill>
                      <a:miter lim="800000"/>
                      <a:headEnd/>
                      <a:tailEnd/>
                    </a:ln>
                  </pic:spPr>
                </pic:pic>
              </a:graphicData>
            </a:graphic>
          </wp:anchor>
        </w:drawing>
      </w:r>
      <w:r w:rsidR="008077AA" w:rsidRPr="00D26A5D">
        <w:rPr>
          <w:b/>
          <w:szCs w:val="20"/>
        </w:rPr>
        <w:t>ABSTRACT-</w:t>
      </w:r>
      <w:r w:rsidR="00126A34" w:rsidRPr="00D26A5D">
        <w:t xml:space="preserve"> </w:t>
      </w:r>
      <w:r w:rsidR="00F5574E" w:rsidRPr="00F5574E">
        <w:t>Network embedding assigns nodes in a network to low dimensional representations and effectively preserves the network structure. Recently, a significant amount of progresses have been made toward this emerging network analysis paradigm. In this survey, we focus on categorizing and then reviewing the current development on network embedding methods, and point out its future research directions. We first summarize the motivation of network embedding. We discuss the classical graph embedding algorithms on cognitive radio environment and their relationship with network embedding. Afterwards and primarily, we provide a comprehensive overview of a large number of network embedding methods in a systematic manner, covering the structure- and property-preserving network embedding methods, the network embedding methods with side information and the advanced information preserving network embedding methods. Moreover, several evaluation approaches for network embedding and some useful online resources, including the network data sets and software, are reviewed, too. Finally, we discuss the framework of exploiting these network embedding methods to build an effective system and point out some potential future directions.</w:t>
      </w:r>
    </w:p>
    <w:p w:rsidR="00036FB0" w:rsidRDefault="00036FB0" w:rsidP="00111F53">
      <w:pPr>
        <w:spacing w:line="360" w:lineRule="auto"/>
        <w:jc w:val="both"/>
        <w:rPr>
          <w:b/>
          <w:szCs w:val="20"/>
        </w:rPr>
      </w:pPr>
    </w:p>
    <w:p w:rsidR="004B557E" w:rsidRPr="00D26A5D" w:rsidRDefault="004B557E" w:rsidP="00111F53">
      <w:pPr>
        <w:spacing w:line="360" w:lineRule="auto"/>
        <w:jc w:val="both"/>
        <w:rPr>
          <w:b/>
          <w:szCs w:val="20"/>
        </w:rPr>
      </w:pPr>
      <w:r w:rsidRPr="00D26A5D">
        <w:rPr>
          <w:b/>
          <w:szCs w:val="20"/>
        </w:rPr>
        <w:t>1. INTRODUCTION</w:t>
      </w:r>
    </w:p>
    <w:p w:rsidR="00036FB0" w:rsidRDefault="00036FB0" w:rsidP="00111F53">
      <w:pPr>
        <w:autoSpaceDE w:val="0"/>
        <w:autoSpaceDN w:val="0"/>
        <w:adjustRightInd w:val="0"/>
        <w:spacing w:line="360" w:lineRule="auto"/>
        <w:jc w:val="both"/>
        <w:rPr>
          <w:rStyle w:val="e24kjd"/>
        </w:rPr>
      </w:pPr>
    </w:p>
    <w:p w:rsidR="008B1904" w:rsidRPr="008B1904" w:rsidRDefault="008B1904" w:rsidP="00111F53">
      <w:pPr>
        <w:autoSpaceDE w:val="0"/>
        <w:autoSpaceDN w:val="0"/>
        <w:adjustRightInd w:val="0"/>
        <w:spacing w:line="360" w:lineRule="auto"/>
        <w:jc w:val="both"/>
        <w:rPr>
          <w:rStyle w:val="e24kjd"/>
        </w:rPr>
      </w:pPr>
      <w:r w:rsidRPr="008B1904">
        <w:rPr>
          <w:rStyle w:val="e24kjd"/>
        </w:rPr>
        <w:t xml:space="preserve">Cognitive Radio (CR) is an adaptive, intelligent radio and network technology that may mechanically notice </w:t>
      </w:r>
      <w:r w:rsidRPr="008B1904">
        <w:rPr>
          <w:rStyle w:val="e24kjd"/>
        </w:rPr>
        <w:lastRenderedPageBreak/>
        <w:t>offered channels in a very wireless spectrum and alter transmission parameters sanctioning additional communications to run at the same time and conjointly improve radio in operation behavior. Cognitive radio uses variety of technologies as well as adaptive Radio (where the communications system monitors and modifies its own performance) and Software Defined Radio (SDR) wherever ancient hardware parts as well as mixers, modulators and amplifies are replaced with intelligent software package.</w:t>
      </w:r>
    </w:p>
    <w:p w:rsidR="008B1904" w:rsidRPr="008B1904" w:rsidRDefault="008B1904" w:rsidP="00111F53">
      <w:pPr>
        <w:autoSpaceDE w:val="0"/>
        <w:autoSpaceDN w:val="0"/>
        <w:adjustRightInd w:val="0"/>
        <w:spacing w:line="360" w:lineRule="auto"/>
        <w:jc w:val="both"/>
        <w:rPr>
          <w:rStyle w:val="e24kjd"/>
        </w:rPr>
      </w:pPr>
      <w:r w:rsidRPr="008B1904">
        <w:rPr>
          <w:rStyle w:val="e24kjd"/>
        </w:rPr>
        <w:t>Full cognitive Radio: in addition named as Mitola  Radio, during which each attainable parameter discovered by the radio is taken into consideration at an equivalent time as create a choice at the means it operates.</w:t>
      </w:r>
    </w:p>
    <w:p w:rsidR="008B1904" w:rsidRPr="008B1904" w:rsidRDefault="008B1904" w:rsidP="00111F53">
      <w:pPr>
        <w:pStyle w:val="ListParagraph"/>
        <w:autoSpaceDE w:val="0"/>
        <w:autoSpaceDN w:val="0"/>
        <w:adjustRightInd w:val="0"/>
        <w:spacing w:line="360" w:lineRule="auto"/>
        <w:ind w:left="0"/>
        <w:jc w:val="both"/>
        <w:rPr>
          <w:rStyle w:val="e24kjd"/>
        </w:rPr>
      </w:pPr>
      <w:r w:rsidRPr="008B1904">
        <w:rPr>
          <w:rStyle w:val="e24kjd"/>
        </w:rPr>
        <w:t>Spectrum Sensing cognitive Radio: whereby best frequency (RF) spectrum is found and consequently utilized in choice creating.Certified Band cognitive Radio: whereby the tool is capable of mistreatment authorized spectrum equally to unaccredited spectrum.</w:t>
      </w:r>
    </w:p>
    <w:p w:rsidR="00294E57" w:rsidRDefault="008B1904" w:rsidP="00294E57">
      <w:pPr>
        <w:autoSpaceDE w:val="0"/>
        <w:autoSpaceDN w:val="0"/>
        <w:adjustRightInd w:val="0"/>
        <w:spacing w:line="360" w:lineRule="auto"/>
        <w:jc w:val="both"/>
        <w:rPr>
          <w:rStyle w:val="e24kjd"/>
        </w:rPr>
      </w:pPr>
      <w:r w:rsidRPr="008B1904">
        <w:rPr>
          <w:rStyle w:val="e24kjd"/>
        </w:rPr>
        <w:t xml:space="preserve">Unlicensed Band cognitive Radio: whereby the device is allowable to use license exempt and/or unfastened </w:t>
      </w:r>
      <w:r w:rsidRPr="008B1904">
        <w:rPr>
          <w:rStyle w:val="e24kjd"/>
        </w:rPr>
        <w:lastRenderedPageBreak/>
        <w:t>license spectrum solely.</w:t>
      </w:r>
      <w:r w:rsidR="00294E57">
        <w:rPr>
          <w:rStyle w:val="e24kjd"/>
        </w:rPr>
        <w:t xml:space="preserve"> </w:t>
      </w:r>
      <w:r w:rsidRPr="008B1904">
        <w:rPr>
          <w:rStyle w:val="e24kjd"/>
        </w:rPr>
        <w:t>This part is also exhibited at varied stages of complexions and/or potential. that's why CR is tough to outline: as a substitute, there will be wide wide-spread capabilities of chromium ranging from the utmost basic model to the foremost advanced (e.g. a Mitola radio). A matrix based mostly altogether on RF flexibility and intelligence will assist shed light on the variable grades of CR, see parent one. It’s an inexpensive degree of intelligence but not tons RF flexibility.</w:t>
      </w:r>
    </w:p>
    <w:p w:rsidR="00294E57" w:rsidRDefault="00294E57" w:rsidP="00294E57">
      <w:pPr>
        <w:autoSpaceDE w:val="0"/>
        <w:autoSpaceDN w:val="0"/>
        <w:adjustRightInd w:val="0"/>
        <w:spacing w:line="360" w:lineRule="auto"/>
        <w:jc w:val="both"/>
        <w:rPr>
          <w:rStyle w:val="e24kjd"/>
        </w:rPr>
      </w:pPr>
    </w:p>
    <w:p w:rsidR="00236B8B" w:rsidRPr="00294E57" w:rsidRDefault="0005620C" w:rsidP="00294E57">
      <w:pPr>
        <w:autoSpaceDE w:val="0"/>
        <w:autoSpaceDN w:val="0"/>
        <w:adjustRightInd w:val="0"/>
        <w:spacing w:line="360" w:lineRule="auto"/>
        <w:jc w:val="both"/>
      </w:pPr>
      <w:r>
        <w:rPr>
          <w:b/>
          <w:bCs/>
          <w:color w:val="000000"/>
          <w:sz w:val="24"/>
          <w:szCs w:val="24"/>
        </w:rPr>
        <w:t>2</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E20751" w:rsidRPr="00032D14" w:rsidRDefault="00274CDC" w:rsidP="00111F53">
      <w:pPr>
        <w:spacing w:before="100" w:beforeAutospacing="1" w:after="100" w:afterAutospacing="1" w:line="360" w:lineRule="auto"/>
        <w:jc w:val="both"/>
        <w:rPr>
          <w:color w:val="000000"/>
        </w:rPr>
      </w:pPr>
      <w:r w:rsidRPr="00274CDC">
        <w:rPr>
          <w:szCs w:val="20"/>
        </w:rPr>
        <w:t>High en d-to-End delay and reduce network life time The network situation is outlined as wireless detector network with 30 nodes at random deployed within the space of 500 m X 500 m. 250 m is that the transmission vary of every of the detector nodes within the network.Increase communication  time go on between the supply node causing the packet and therefore the destination node receiving the packet. Node Pairing and Embedding is not possible and run time.If we regard network embedding as a way of</w:t>
      </w:r>
      <w:r w:rsidR="00032D14">
        <w:rPr>
          <w:szCs w:val="20"/>
        </w:rPr>
        <w:t xml:space="preserve"> </w:t>
      </w:r>
      <w:r w:rsidRPr="00274CDC">
        <w:rPr>
          <w:szCs w:val="20"/>
        </w:rPr>
        <w:t>network representation learning, the formation of the representation space can be further optimized and confined towards different target problems.Taking the network node classification problem as an example, if we have the labels of some network nodes, we can design a solution with network structure as input, node labels as supervised information, and embedding representation as latent middle layer, and the resulted network embedding is specific for node classification.</w:t>
      </w:r>
    </w:p>
    <w:p w:rsidR="00036FB0" w:rsidRDefault="00036FB0" w:rsidP="00111F53">
      <w:pPr>
        <w:spacing w:line="360" w:lineRule="auto"/>
        <w:jc w:val="both"/>
        <w:rPr>
          <w:b/>
          <w:szCs w:val="20"/>
        </w:rPr>
      </w:pPr>
    </w:p>
    <w:p w:rsidR="004B557E" w:rsidRPr="00D26A5D" w:rsidRDefault="000B25E4" w:rsidP="00111F53">
      <w:pPr>
        <w:spacing w:line="360" w:lineRule="auto"/>
        <w:jc w:val="both"/>
        <w:rPr>
          <w:b/>
          <w:szCs w:val="20"/>
        </w:rPr>
      </w:pPr>
      <w:r w:rsidRPr="00D26A5D">
        <w:rPr>
          <w:b/>
          <w:szCs w:val="20"/>
        </w:rPr>
        <w:lastRenderedPageBreak/>
        <w:t>4</w:t>
      </w:r>
      <w:r w:rsidR="004B557E" w:rsidRPr="00D26A5D">
        <w:rPr>
          <w:b/>
          <w:szCs w:val="20"/>
        </w:rPr>
        <w:t>. LITERATURE REVIEW</w:t>
      </w:r>
    </w:p>
    <w:p w:rsidR="00502A6C" w:rsidRDefault="00502A6C" w:rsidP="00111F53">
      <w:pPr>
        <w:spacing w:line="360" w:lineRule="auto"/>
        <w:jc w:val="both"/>
        <w:rPr>
          <w:b/>
          <w:bCs/>
        </w:rPr>
      </w:pPr>
    </w:p>
    <w:p w:rsidR="0010736C" w:rsidRPr="00032D14" w:rsidRDefault="0010736C" w:rsidP="00111F53">
      <w:pPr>
        <w:spacing w:line="360" w:lineRule="auto"/>
        <w:jc w:val="both"/>
        <w:rPr>
          <w:b/>
          <w:bCs/>
        </w:rPr>
      </w:pPr>
      <w:r w:rsidRPr="00032D14">
        <w:rPr>
          <w:b/>
          <w:bCs/>
        </w:rPr>
        <w:t>MACHINE-TYPE COMMUNICATIONS: CURRENT STATUS AND FUTURE PERSPECTIVES TOWARD 5G SYSTEMS</w:t>
      </w:r>
    </w:p>
    <w:p w:rsidR="00502A6C" w:rsidRDefault="00502A6C" w:rsidP="00111F53">
      <w:pPr>
        <w:spacing w:line="360" w:lineRule="auto"/>
        <w:jc w:val="both"/>
      </w:pPr>
    </w:p>
    <w:p w:rsidR="0010736C" w:rsidRDefault="0010736C" w:rsidP="00111F53">
      <w:pPr>
        <w:spacing w:line="360" w:lineRule="auto"/>
        <w:jc w:val="both"/>
      </w:pPr>
      <w:r>
        <w:t>Machine-type communications (MTC) enables a broad range of applications from mission-critical services to massive deployment of autonomous devices. To spread these applications widely, cellular systems are considered as a potential candidate to provide connectivity for MTC devices.This article provides a clear mapping between the main MTC service requirements and their associated challenges. This study presents, in part, a road-map from the current cellular technologies toward fully MTC-capable 5G mobile systems.</w:t>
      </w:r>
    </w:p>
    <w:p w:rsidR="0010736C" w:rsidRDefault="0010736C" w:rsidP="00111F53">
      <w:pPr>
        <w:spacing w:line="360" w:lineRule="auto"/>
        <w:jc w:val="both"/>
      </w:pPr>
      <w:r>
        <w:t>Machine-type communications (MTC) enables a broad range of applications from mission-critical services to massive deployment of autonomous devices. To spread these applications widely, cellular systems are considered as a potential candidate to provide connectivity for MTC devices.This article provides a clear mapping between the main MTC service requirements and their associated challenges. This study presents, in part, a road-map from the current cellular technologies toward fully MTC-capable 5G mobile systems.</w:t>
      </w:r>
    </w:p>
    <w:p w:rsidR="00502A6C" w:rsidRDefault="00502A6C" w:rsidP="00111F53">
      <w:pPr>
        <w:spacing w:line="360" w:lineRule="auto"/>
        <w:jc w:val="both"/>
        <w:rPr>
          <w:b/>
          <w:bCs/>
        </w:rPr>
      </w:pPr>
    </w:p>
    <w:p w:rsidR="0010736C" w:rsidRPr="00032D14" w:rsidRDefault="0010736C" w:rsidP="00111F53">
      <w:pPr>
        <w:spacing w:line="360" w:lineRule="auto"/>
        <w:jc w:val="both"/>
        <w:rPr>
          <w:b/>
          <w:bCs/>
        </w:rPr>
      </w:pPr>
      <w:r w:rsidRPr="00032D14">
        <w:rPr>
          <w:b/>
          <w:bCs/>
        </w:rPr>
        <w:t>CONGESTION CONTROL FOR HIGH BANDWIDTH-DELAY PRODUCT NETWORKS</w:t>
      </w:r>
    </w:p>
    <w:p w:rsidR="00502A6C" w:rsidRDefault="00502A6C" w:rsidP="00111F53">
      <w:pPr>
        <w:spacing w:line="360" w:lineRule="auto"/>
        <w:jc w:val="both"/>
      </w:pPr>
    </w:p>
    <w:p w:rsidR="0010736C" w:rsidRDefault="0010736C" w:rsidP="00111F53">
      <w:pPr>
        <w:spacing w:line="360" w:lineRule="auto"/>
        <w:jc w:val="both"/>
      </w:pPr>
      <w:r>
        <w:t xml:space="preserve">Theory and experiments show that as the per-flow product of bandwidth and latency increases, TCP </w:t>
      </w:r>
      <w:r>
        <w:lastRenderedPageBreak/>
        <w:t xml:space="preserve">becomes inefficient and prone to instability, regardless of the queuing scheme. This failing becomes increasingly important as the Internet evolves to incorporate very high-bandwidth optical links and more large-delay satellite links.To address this problem, we develop a novel approach to Internet congestion control that outperforms TCP in conventional environments, and remains efficient, fair, scalable, and stable as the bandwidth-delay product increases. </w:t>
      </w:r>
    </w:p>
    <w:p w:rsidR="00502A6C" w:rsidRDefault="0010736C" w:rsidP="00111F53">
      <w:pPr>
        <w:spacing w:line="360" w:lineRule="auto"/>
        <w:jc w:val="both"/>
        <w:rPr>
          <w:b/>
          <w:bCs/>
        </w:rPr>
      </w:pPr>
      <w:r w:rsidRPr="00032D14">
        <w:rPr>
          <w:b/>
          <w:bCs/>
        </w:rPr>
        <w:t xml:space="preserve">INTELLIGENT OPTIMIZATION AND MACHINE LEARNING FOR 5G NETWORK CONTROL AND MANAGEMENT </w:t>
      </w:r>
      <w:r w:rsidR="00502A6C">
        <w:rPr>
          <w:b/>
          <w:bCs/>
        </w:rPr>
        <w:t xml:space="preserve"> </w:t>
      </w:r>
    </w:p>
    <w:p w:rsidR="00401CED" w:rsidRPr="00502A6C" w:rsidRDefault="0010736C" w:rsidP="00111F53">
      <w:pPr>
        <w:spacing w:line="360" w:lineRule="auto"/>
        <w:jc w:val="both"/>
        <w:rPr>
          <w:b/>
          <w:bCs/>
        </w:rPr>
        <w:sectPr w:rsidR="00401CED" w:rsidRPr="00502A6C" w:rsidSect="00126A34">
          <w:type w:val="continuous"/>
          <w:pgSz w:w="11907" w:h="16839" w:code="9"/>
          <w:pgMar w:top="1620" w:right="686" w:bottom="2340" w:left="700" w:header="0" w:footer="0" w:gutter="0"/>
          <w:cols w:num="2" w:space="720"/>
          <w:docGrid w:linePitch="299"/>
        </w:sectPr>
      </w:pPr>
      <w:r>
        <w:lastRenderedPageBreak/>
        <w:t>After more than ten years of research and development, Software-Defined Networking (SDN) and Network Function Virtualization (NFV) are finally going mainstream. The fifth generation telecommunication standard (5G) will make use of novel technologies to create increasingly intelligent and autonomous networks. Through the paper, we describe the components inside the planning tool, which compose a framework that enables intelligent optimization algorithms based on Machine Learning (ML) to assist the control plane in taking strategic decisions.</w:t>
      </w:r>
    </w:p>
    <w:p w:rsidR="007D4C87" w:rsidRDefault="007D4C87" w:rsidP="00111F53">
      <w:pPr>
        <w:spacing w:line="360" w:lineRule="auto"/>
        <w:jc w:val="both"/>
        <w:rPr>
          <w:b/>
        </w:rPr>
      </w:pPr>
    </w:p>
    <w:p w:rsidR="00534CE9" w:rsidRDefault="00534CE9" w:rsidP="00111F53">
      <w:pPr>
        <w:spacing w:line="360" w:lineRule="auto"/>
        <w:jc w:val="both"/>
        <w:rPr>
          <w:b/>
        </w:rPr>
      </w:pPr>
      <w:r>
        <w:rPr>
          <w:b/>
        </w:rPr>
        <w:t xml:space="preserve">5.SYSTEM </w:t>
      </w:r>
      <w:r w:rsidR="007D4C87" w:rsidRPr="00D26A5D">
        <w:rPr>
          <w:b/>
        </w:rPr>
        <w:t>ARCHITECTURE</w:t>
      </w:r>
    </w:p>
    <w:p w:rsidR="00534CE9" w:rsidRDefault="00294E57" w:rsidP="00294E57">
      <w:pPr>
        <w:spacing w:line="360" w:lineRule="auto"/>
        <w:jc w:val="center"/>
        <w:rPr>
          <w:b/>
        </w:rPr>
      </w:pPr>
      <w:r w:rsidRPr="00534CE9">
        <w:rPr>
          <w:b/>
          <w:noProof/>
          <w:lang w:val="en-IN" w:eastAsia="en-IN" w:bidi="ta-IN"/>
        </w:rPr>
        <w:drawing>
          <wp:inline distT="0" distB="0" distL="0" distR="0">
            <wp:extent cx="5543549" cy="262890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11" cstate="print"/>
                    <a:srcRect/>
                    <a:stretch>
                      <a:fillRect/>
                    </a:stretch>
                  </pic:blipFill>
                  <pic:spPr>
                    <a:xfrm>
                      <a:off x="0" y="0"/>
                      <a:ext cx="5550612" cy="2632249"/>
                    </a:xfrm>
                    <a:prstGeom prst="rect">
                      <a:avLst/>
                    </a:prstGeom>
                    <a:noFill/>
                    <a:ln w="9525">
                      <a:noFill/>
                      <a:miter lim="800000"/>
                      <a:headEnd/>
                      <a:tailEnd/>
                    </a:ln>
                  </pic:spPr>
                </pic:pic>
              </a:graphicData>
            </a:graphic>
          </wp:inline>
        </w:drawing>
      </w:r>
    </w:p>
    <w:p w:rsidR="007D4C87" w:rsidRPr="00D26A5D" w:rsidRDefault="007D4C87" w:rsidP="00111F53">
      <w:pPr>
        <w:spacing w:line="360" w:lineRule="auto"/>
        <w:jc w:val="both"/>
        <w:rPr>
          <w:b/>
        </w:rPr>
      </w:pPr>
      <w:r w:rsidRPr="00D26A5D">
        <w:rPr>
          <w:b/>
        </w:rPr>
        <w:t xml:space="preserve"> </w:t>
      </w:r>
      <w:r w:rsidR="00534CE9" w:rsidRPr="00534CE9">
        <w:rPr>
          <w:rFonts w:eastAsia="Times New Roman"/>
          <w:b/>
          <w:bCs/>
          <w:noProof/>
          <w:sz w:val="24"/>
          <w:szCs w:val="24"/>
          <w:lang w:val="en-IN" w:eastAsia="en-IN" w:bidi="ta-IN"/>
        </w:rPr>
        <w:t xml:space="preserve"> </w:t>
      </w:r>
    </w:p>
    <w:p w:rsidR="007D4C87" w:rsidRPr="00D26A5D" w:rsidRDefault="007D4C87" w:rsidP="00111F53">
      <w:pPr>
        <w:spacing w:line="360" w:lineRule="auto"/>
        <w:rPr>
          <w:rFonts w:eastAsia="Times New Roman"/>
          <w:b/>
          <w:bCs/>
          <w:sz w:val="24"/>
          <w:szCs w:val="24"/>
        </w:rPr>
        <w:sectPr w:rsidR="007D4C87" w:rsidRPr="00D26A5D" w:rsidSect="00455FE3">
          <w:type w:val="continuous"/>
          <w:pgSz w:w="11907" w:h="16839" w:code="9"/>
          <w:pgMar w:top="1620" w:right="686" w:bottom="2340" w:left="700" w:header="0" w:footer="0" w:gutter="0"/>
          <w:cols w:space="720"/>
          <w:docGrid w:linePitch="299"/>
        </w:sectPr>
      </w:pPr>
    </w:p>
    <w:p w:rsidR="00D57631" w:rsidRDefault="00CE0DF3" w:rsidP="00111F53">
      <w:pPr>
        <w:spacing w:line="360" w:lineRule="auto"/>
        <w:jc w:val="both"/>
        <w:rPr>
          <w:rFonts w:eastAsia="Times New Roman"/>
          <w:b/>
          <w:bCs/>
          <w:sz w:val="24"/>
          <w:szCs w:val="24"/>
        </w:rPr>
      </w:pPr>
      <w:r w:rsidRPr="00D26A5D">
        <w:rPr>
          <w:rFonts w:eastAsia="Times New Roman"/>
          <w:b/>
          <w:bCs/>
          <w:sz w:val="24"/>
          <w:szCs w:val="24"/>
        </w:rPr>
        <w:lastRenderedPageBreak/>
        <w:t>6.</w:t>
      </w:r>
      <w:r w:rsidR="00D57631" w:rsidRPr="00D26A5D">
        <w:rPr>
          <w:rFonts w:eastAsia="Times New Roman"/>
          <w:b/>
          <w:bCs/>
          <w:sz w:val="24"/>
          <w:szCs w:val="24"/>
        </w:rPr>
        <w:t>EXISTING SYSTEM</w:t>
      </w:r>
    </w:p>
    <w:p w:rsidR="00502A6C" w:rsidRDefault="00502A6C" w:rsidP="00111F53">
      <w:pPr>
        <w:spacing w:line="360" w:lineRule="auto"/>
        <w:jc w:val="both"/>
        <w:rPr>
          <w:rFonts w:eastAsia="Times New Roman"/>
          <w:sz w:val="24"/>
          <w:szCs w:val="24"/>
        </w:rPr>
      </w:pPr>
    </w:p>
    <w:p w:rsidR="00534CE9" w:rsidRPr="002B7772" w:rsidRDefault="002B7772" w:rsidP="00111F53">
      <w:pPr>
        <w:spacing w:line="360" w:lineRule="auto"/>
        <w:jc w:val="both"/>
        <w:rPr>
          <w:rFonts w:eastAsia="Times New Roman"/>
          <w:sz w:val="24"/>
          <w:szCs w:val="24"/>
        </w:rPr>
      </w:pPr>
      <w:r w:rsidRPr="002B7772">
        <w:rPr>
          <w:rFonts w:eastAsia="Times New Roman"/>
          <w:sz w:val="24"/>
          <w:szCs w:val="24"/>
        </w:rPr>
        <w:t xml:space="preserve">The existent adaptation mechanisms system are usually reactive, they solely react when a tangle happens. This for the most part limits the network ability to produce intelligent and efficient </w:t>
      </w:r>
      <w:r w:rsidRPr="002B7772">
        <w:rPr>
          <w:rFonts w:eastAsia="Times New Roman"/>
          <w:sz w:val="24"/>
          <w:szCs w:val="24"/>
        </w:rPr>
        <w:lastRenderedPageBreak/>
        <w:t xml:space="preserve">solutions, also with regard to inexperienced networking and advantageous business models. Cognitive Radio Networks (CRNs) give the rise of spectrum utilization by using unused or less used spectrum. unauthorized users have access to licensed spectrum, below the condition that the </w:t>
      </w:r>
      <w:r w:rsidRPr="002B7772">
        <w:rPr>
          <w:rFonts w:eastAsia="Times New Roman"/>
          <w:sz w:val="24"/>
          <w:szCs w:val="24"/>
        </w:rPr>
        <w:lastRenderedPageBreak/>
        <w:t>interference perceived by the authorized users is lowest.</w:t>
      </w:r>
    </w:p>
    <w:p w:rsidR="00502A6C" w:rsidRDefault="00502A6C" w:rsidP="00111F53">
      <w:pPr>
        <w:spacing w:after="120" w:line="360" w:lineRule="auto"/>
        <w:jc w:val="both"/>
        <w:rPr>
          <w:b/>
          <w:szCs w:val="20"/>
        </w:rPr>
      </w:pPr>
    </w:p>
    <w:p w:rsidR="00867532" w:rsidRPr="00D26A5D" w:rsidRDefault="00E83D40" w:rsidP="00111F53">
      <w:pPr>
        <w:spacing w:after="120" w:line="360" w:lineRule="auto"/>
        <w:jc w:val="both"/>
        <w:rPr>
          <w:b/>
          <w:szCs w:val="20"/>
        </w:rPr>
      </w:pPr>
      <w:r w:rsidRPr="00D26A5D">
        <w:rPr>
          <w:b/>
          <w:szCs w:val="20"/>
        </w:rPr>
        <w:t>7</w:t>
      </w:r>
      <w:r w:rsidR="004B557E" w:rsidRPr="00D26A5D">
        <w:rPr>
          <w:b/>
          <w:szCs w:val="20"/>
        </w:rPr>
        <w:t>. PROPOSED METHODOLOGY</w:t>
      </w:r>
      <w:r w:rsidR="00867532" w:rsidRPr="00D26A5D">
        <w:rPr>
          <w:b/>
          <w:szCs w:val="20"/>
        </w:rPr>
        <w:t xml:space="preserve"> </w:t>
      </w:r>
    </w:p>
    <w:p w:rsidR="00502A6C" w:rsidRDefault="00502A6C" w:rsidP="00111F53">
      <w:pPr>
        <w:spacing w:after="60" w:line="360" w:lineRule="auto"/>
        <w:jc w:val="both"/>
        <w:rPr>
          <w:bCs/>
          <w:szCs w:val="20"/>
        </w:rPr>
      </w:pPr>
    </w:p>
    <w:p w:rsidR="00274CDC" w:rsidRPr="00274CDC" w:rsidRDefault="00274CDC" w:rsidP="00111F53">
      <w:pPr>
        <w:spacing w:after="60" w:line="360" w:lineRule="auto"/>
        <w:jc w:val="both"/>
        <w:rPr>
          <w:bCs/>
          <w:szCs w:val="20"/>
        </w:rPr>
      </w:pPr>
      <w:r w:rsidRPr="00274CDC">
        <w:rPr>
          <w:bCs/>
          <w:szCs w:val="20"/>
        </w:rPr>
        <w:t xml:space="preserve">The most effective way of spectrum sensing is to directly detect the primary Rx, because it is the Rx of a PU system that should be protected. In general, the PU systems can be divided into the following two categories: </w:t>
      </w:r>
    </w:p>
    <w:p w:rsidR="00274CDC" w:rsidRPr="00274CDC" w:rsidRDefault="00274CDC" w:rsidP="00111F53">
      <w:pPr>
        <w:spacing w:after="60" w:line="360" w:lineRule="auto"/>
        <w:jc w:val="both"/>
        <w:rPr>
          <w:bCs/>
          <w:szCs w:val="20"/>
        </w:rPr>
      </w:pPr>
      <w:r w:rsidRPr="00274CDC">
        <w:rPr>
          <w:bCs/>
          <w:szCs w:val="20"/>
        </w:rPr>
        <w:t xml:space="preserve"> 1) One-way communication systems and</w:t>
      </w:r>
    </w:p>
    <w:p w:rsidR="00274CDC" w:rsidRPr="00274CDC" w:rsidRDefault="00274CDC" w:rsidP="00111F53">
      <w:pPr>
        <w:spacing w:after="60" w:line="360" w:lineRule="auto"/>
        <w:jc w:val="both"/>
        <w:rPr>
          <w:bCs/>
          <w:szCs w:val="20"/>
        </w:rPr>
      </w:pPr>
      <w:r w:rsidRPr="00274CDC">
        <w:rPr>
          <w:bCs/>
          <w:szCs w:val="20"/>
        </w:rPr>
        <w:t xml:space="preserve">2) Two-way communication systems. </w:t>
      </w:r>
    </w:p>
    <w:p w:rsidR="00274CDC" w:rsidRPr="00274CDC" w:rsidRDefault="00274CDC" w:rsidP="00111F53">
      <w:pPr>
        <w:spacing w:after="60" w:line="360" w:lineRule="auto"/>
        <w:jc w:val="both"/>
        <w:rPr>
          <w:bCs/>
          <w:szCs w:val="20"/>
        </w:rPr>
      </w:pPr>
      <w:r w:rsidRPr="00274CDC">
        <w:rPr>
          <w:bCs/>
          <w:szCs w:val="20"/>
        </w:rPr>
        <w:t xml:space="preserve">One-way communication systems have only one direction communication from the primary Tx to the primary Rx, such as TV and radio broadcasts. The only way of detecting this kind of Rx’s is to sense the leakage signals from active Rx’s. </w:t>
      </w:r>
    </w:p>
    <w:p w:rsidR="00960283" w:rsidRPr="00236B8B" w:rsidRDefault="00274CDC" w:rsidP="00111F53">
      <w:pPr>
        <w:spacing w:after="60" w:line="360" w:lineRule="auto"/>
        <w:jc w:val="both"/>
        <w:rPr>
          <w:bCs/>
          <w:szCs w:val="20"/>
        </w:rPr>
      </w:pPr>
      <w:r w:rsidRPr="00274CDC">
        <w:rPr>
          <w:bCs/>
          <w:szCs w:val="20"/>
        </w:rPr>
        <w:t>Two-way communication systems have bidirectional communications, and there are interactions between the Tx and the Rx, which can be used for spectrum sensing. Next, we will introduce the sensing methods for the two kinds of systems, respectively.</w:t>
      </w:r>
    </w:p>
    <w:p w:rsidR="00502A6C" w:rsidRDefault="00502A6C" w:rsidP="00111F53">
      <w:pPr>
        <w:autoSpaceDE w:val="0"/>
        <w:autoSpaceDN w:val="0"/>
        <w:adjustRightInd w:val="0"/>
        <w:spacing w:line="360" w:lineRule="auto"/>
        <w:jc w:val="both"/>
        <w:rPr>
          <w:rFonts w:eastAsia="Calibri"/>
          <w:b/>
          <w:bCs/>
        </w:rPr>
      </w:pPr>
    </w:p>
    <w:p w:rsidR="00DC5199" w:rsidRPr="00D26A5D" w:rsidRDefault="00DC5199" w:rsidP="00111F53">
      <w:pPr>
        <w:autoSpaceDE w:val="0"/>
        <w:autoSpaceDN w:val="0"/>
        <w:adjustRightInd w:val="0"/>
        <w:spacing w:line="360" w:lineRule="auto"/>
        <w:jc w:val="both"/>
        <w:rPr>
          <w:rFonts w:eastAsia="Calibri"/>
          <w:b/>
          <w:bCs/>
        </w:rPr>
      </w:pPr>
      <w:r w:rsidRPr="00D26A5D">
        <w:rPr>
          <w:rFonts w:eastAsia="Calibri"/>
          <w:b/>
          <w:bCs/>
        </w:rPr>
        <w:t>CONCLUSION  :</w:t>
      </w:r>
    </w:p>
    <w:p w:rsidR="00502A6C" w:rsidRDefault="00502A6C" w:rsidP="00111F53">
      <w:pPr>
        <w:spacing w:line="360" w:lineRule="auto"/>
        <w:jc w:val="both"/>
        <w:rPr>
          <w:rFonts w:eastAsia="Calibri"/>
          <w:bCs/>
        </w:rPr>
      </w:pPr>
    </w:p>
    <w:p w:rsidR="00274CDC" w:rsidRDefault="00274CDC" w:rsidP="00111F53">
      <w:pPr>
        <w:spacing w:line="360" w:lineRule="auto"/>
        <w:jc w:val="both"/>
        <w:rPr>
          <w:rFonts w:eastAsia="Calibri"/>
          <w:bCs/>
        </w:rPr>
      </w:pPr>
      <w:r w:rsidRPr="00274CDC">
        <w:rPr>
          <w:rFonts w:eastAsia="Calibri"/>
          <w:bCs/>
        </w:rPr>
        <w:t xml:space="preserve">GSM results show high variability dependant on the assumed level of occupancy, but may be suited to ‘quiet hours’ types of CR services. Currently 2G users will create a high level of occupancy that may leave little room for CR. However, if the level of migration to 3G services continues, the GSM band may show lower occupancy levels and therefore be better suited </w:t>
      </w:r>
      <w:r w:rsidRPr="00274CDC">
        <w:rPr>
          <w:rFonts w:eastAsia="Calibri"/>
          <w:bCs/>
        </w:rPr>
        <w:lastRenderedPageBreak/>
        <w:t>to a range of CR services. Should GSM usage lessen to the point where operators want to re-farm the GSM bands to 3G services, then results for CR akin to the one simulated for the UMTS expansion band scenario The UMTS Expansion bands showed an increased call volume over the GSM band in all instances. This is perhaps intuitive due to the decreased occupancy of these bands but illustrates a wide variation between bands that could be explored further with available data from other bands. If the CR operates across bands, then taking several bands together will offer a larger additional call volume than the sum of the call volumes achieved by the consideration of isolated bands - this is due to the non-linearity of the BHT formula, where larger number of lines permits a higher percentage of traffic volume than a smaller number of lines. The DECT band was found to be not worthwhile for CR considerations, since in DECT a combined OFDMA / TDD scheme will show large parts of the spectrum occupied even for a low duty cycle, i.e. a low occupancy.</w:t>
      </w:r>
    </w:p>
    <w:p w:rsidR="00502A6C" w:rsidRDefault="00502A6C" w:rsidP="00111F53">
      <w:pPr>
        <w:spacing w:line="360" w:lineRule="auto"/>
        <w:jc w:val="both"/>
        <w:rPr>
          <w:b/>
          <w:szCs w:val="20"/>
        </w:rPr>
      </w:pPr>
    </w:p>
    <w:p w:rsidR="004B557E" w:rsidRPr="00D26A5D" w:rsidRDefault="004B557E" w:rsidP="00111F53">
      <w:pPr>
        <w:spacing w:line="360" w:lineRule="auto"/>
        <w:jc w:val="both"/>
        <w:rPr>
          <w:szCs w:val="20"/>
        </w:rPr>
      </w:pPr>
      <w:r w:rsidRPr="00D26A5D">
        <w:rPr>
          <w:b/>
          <w:szCs w:val="20"/>
        </w:rPr>
        <w:t>REFERENCES</w:t>
      </w:r>
    </w:p>
    <w:p w:rsidR="00502A6C" w:rsidRDefault="00502A6C" w:rsidP="00111F53">
      <w:pPr>
        <w:spacing w:line="360" w:lineRule="auto"/>
        <w:jc w:val="both"/>
      </w:pPr>
    </w:p>
    <w:p w:rsidR="00274CDC" w:rsidRDefault="00274CDC" w:rsidP="00111F53">
      <w:pPr>
        <w:spacing w:line="360" w:lineRule="auto"/>
        <w:jc w:val="both"/>
      </w:pPr>
      <w:r>
        <w:t>[1] Jai Sukh Paul Singh, Jasvir Singh, A.S. Kang, “Cognitive Radio: State of Research Domain in Next Generation Wireless Networks - A Critical Analysis”, International Journal of Computer Applications (0975 – 8887) Volume 74– No.10, July 2013.</w:t>
      </w:r>
    </w:p>
    <w:p w:rsidR="00502A6C" w:rsidRDefault="00502A6C" w:rsidP="00111F53">
      <w:pPr>
        <w:spacing w:line="360" w:lineRule="auto"/>
        <w:jc w:val="both"/>
      </w:pPr>
    </w:p>
    <w:p w:rsidR="00274CDC" w:rsidRDefault="00274CDC" w:rsidP="00111F53">
      <w:pPr>
        <w:spacing w:line="360" w:lineRule="auto"/>
        <w:jc w:val="both"/>
      </w:pPr>
      <w:r>
        <w:t xml:space="preserve">[2]Blaine Chamberlain And Geogette Jordan“ Applications of Wireless Sensors in Monitoring Indoor Air Quality in the Classroom Environment”, Research Experiences for Teachers in Sensor Networks, Summer </w:t>
      </w:r>
      <w:r>
        <w:lastRenderedPageBreak/>
        <w:t xml:space="preserve">Internship 2012,University of North Texas,NSF-1132585. </w:t>
      </w:r>
    </w:p>
    <w:p w:rsidR="00502A6C" w:rsidRDefault="00502A6C" w:rsidP="00111F53">
      <w:pPr>
        <w:spacing w:line="360" w:lineRule="auto"/>
        <w:jc w:val="both"/>
      </w:pPr>
    </w:p>
    <w:p w:rsidR="00274CDC" w:rsidRDefault="00274CDC" w:rsidP="00111F53">
      <w:pPr>
        <w:spacing w:line="360" w:lineRule="auto"/>
        <w:jc w:val="both"/>
      </w:pPr>
      <w:r>
        <w:t xml:space="preserve">[3] X. Mao, X. Miao, Y. He, X.-Y. Li, and Y. Liu, “Urban CO2 monitoring with sensors,”in Proc. IEEE INFOCOM, Mar. 2012, pp. 1611–1619. </w:t>
      </w:r>
    </w:p>
    <w:p w:rsidR="00502A6C" w:rsidRDefault="00502A6C" w:rsidP="00111F53">
      <w:pPr>
        <w:spacing w:line="360" w:lineRule="auto"/>
        <w:jc w:val="both"/>
      </w:pPr>
    </w:p>
    <w:p w:rsidR="00274CDC" w:rsidRDefault="00274CDC" w:rsidP="00111F53">
      <w:pPr>
        <w:spacing w:line="360" w:lineRule="auto"/>
        <w:jc w:val="both"/>
      </w:pPr>
      <w:r>
        <w:t xml:space="preserve">[4] Zhou Hongqing and Yang Chunying, ``A Mobile Ad Hoc Networks Algorithm Improved AODV Protocol’’, 2011 International Conference on Power Electronics and Engineering Application (PEEA 2011). </w:t>
      </w:r>
    </w:p>
    <w:p w:rsidR="00502A6C" w:rsidRDefault="00502A6C" w:rsidP="00111F53">
      <w:pPr>
        <w:spacing w:line="360" w:lineRule="auto"/>
        <w:jc w:val="both"/>
      </w:pPr>
    </w:p>
    <w:p w:rsidR="00274CDC" w:rsidRDefault="00274CDC" w:rsidP="00111F53">
      <w:pPr>
        <w:spacing w:line="360" w:lineRule="auto"/>
        <w:jc w:val="both"/>
      </w:pPr>
      <w:r>
        <w:t xml:space="preserve">[5] Nor Surayati Mohamad Usop, Azizol Abdullah and Ahmad Faisal Amri Abidin,“Performance Evaluation of AODV, DSDV &amp; DSR Routing Protocol in Grid Environment”, IJCSNS International Journal of Computer Science and Network Security, VOL.9 No.7, July 2009. </w:t>
      </w:r>
    </w:p>
    <w:p w:rsidR="00502A6C" w:rsidRDefault="00502A6C" w:rsidP="00111F53">
      <w:pPr>
        <w:spacing w:line="360" w:lineRule="auto"/>
        <w:jc w:val="both"/>
      </w:pPr>
    </w:p>
    <w:p w:rsidR="00274CDC" w:rsidRDefault="00274CDC" w:rsidP="00111F53">
      <w:pPr>
        <w:spacing w:line="360" w:lineRule="auto"/>
        <w:jc w:val="both"/>
      </w:pPr>
      <w:r>
        <w:t xml:space="preserve">[6]Ozgur B. Akan Osman B. Karli Ozgur Ergul “Cognitive radio sensor networks” ,Next generation Wireless Communications Laboratory (NWCL), Department of Electrical and Electronics Engineering. </w:t>
      </w:r>
    </w:p>
    <w:p w:rsidR="00502A6C" w:rsidRDefault="00502A6C" w:rsidP="00111F53">
      <w:pPr>
        <w:spacing w:line="360" w:lineRule="auto"/>
        <w:jc w:val="both"/>
      </w:pPr>
    </w:p>
    <w:p w:rsidR="00274CDC" w:rsidRDefault="00274CDC" w:rsidP="00111F53">
      <w:pPr>
        <w:spacing w:line="360" w:lineRule="auto"/>
        <w:jc w:val="both"/>
      </w:pPr>
      <w:r>
        <w:t xml:space="preserve">[7] Deepak Kumar Patel, Rakesh Kumar, A.K.Daniel, “Performance Analysis and Behavioural Study of Proactive and Reactive routing protocols in MANET ”, International Journal of Advanced Research in Computer Science and Software Engineering, vol. 2, April 2013. </w:t>
      </w:r>
    </w:p>
    <w:p w:rsidR="00502A6C" w:rsidRDefault="00502A6C" w:rsidP="00111F53">
      <w:pPr>
        <w:spacing w:line="360" w:lineRule="auto"/>
        <w:jc w:val="both"/>
      </w:pPr>
    </w:p>
    <w:p w:rsidR="00274CDC" w:rsidRDefault="00274CDC" w:rsidP="00111F53">
      <w:pPr>
        <w:spacing w:line="360" w:lineRule="auto"/>
        <w:jc w:val="both"/>
      </w:pPr>
      <w:r>
        <w:t xml:space="preserve">[8]P. Spachos and D. Hantzinakos, “Scalable dynamic routing protocol for cognitive radio sensor networks,” </w:t>
      </w:r>
      <w:r>
        <w:lastRenderedPageBreak/>
        <w:t xml:space="preserve">IEEE Sensors J., vol. 14, no. 7, pp. 2257–2266, Jul. 2014. </w:t>
      </w:r>
    </w:p>
    <w:p w:rsidR="00502A6C" w:rsidRDefault="00502A6C" w:rsidP="00111F53">
      <w:pPr>
        <w:spacing w:line="360" w:lineRule="auto"/>
        <w:jc w:val="both"/>
      </w:pPr>
    </w:p>
    <w:p w:rsidR="008E3998" w:rsidRPr="00D26A5D" w:rsidRDefault="00274CDC" w:rsidP="00111F53">
      <w:pPr>
        <w:spacing w:line="360" w:lineRule="auto"/>
        <w:jc w:val="both"/>
      </w:pPr>
      <w:r>
        <w:t>[9] PetrosSpachos and DimitriosHatzinakos,” Real-time Indoor Carbon dioxide Monitoring through Cognitive Wireless Sensor Networks”, IEEE SENSOR JOURNAL, vol.16, no. 2, January 15, 2016.</w:t>
      </w:r>
    </w:p>
    <w:p w:rsidR="00DE2D0A" w:rsidRPr="00D26A5D" w:rsidRDefault="00274CDC" w:rsidP="00111F53">
      <w:pPr>
        <w:spacing w:line="360" w:lineRule="auto"/>
        <w:jc w:val="both"/>
      </w:pPr>
      <w:r w:rsidRPr="00D26A5D">
        <w:t xml:space="preserve"> </w:t>
      </w:r>
    </w:p>
    <w:p w:rsidR="00DE2D0A" w:rsidRPr="00D26A5D" w:rsidRDefault="00DE2D0A" w:rsidP="00111F53">
      <w:pPr>
        <w:spacing w:line="360" w:lineRule="auto"/>
        <w:jc w:val="both"/>
      </w:pPr>
    </w:p>
    <w:p w:rsidR="004B557E" w:rsidRPr="00D26A5D" w:rsidRDefault="004B557E" w:rsidP="00111F53">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71A8" w:rsidRDefault="00CC71A8" w:rsidP="00D57631">
      <w:r>
        <w:separator/>
      </w:r>
    </w:p>
  </w:endnote>
  <w:endnote w:type="continuationSeparator" w:id="1">
    <w:p w:rsidR="00CC71A8" w:rsidRDefault="00CC71A8" w:rsidP="00D576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19792B">
        <w:pPr>
          <w:pStyle w:val="Footer"/>
          <w:jc w:val="center"/>
        </w:pPr>
        <w:fldSimple w:instr=" PAGE   \* MERGEFORMAT ">
          <w:r w:rsidR="00502A6C">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71A8" w:rsidRDefault="00CC71A8" w:rsidP="00D57631">
      <w:r>
        <w:separator/>
      </w:r>
    </w:p>
  </w:footnote>
  <w:footnote w:type="continuationSeparator" w:id="1">
    <w:p w:rsidR="00CC71A8" w:rsidRDefault="00CC71A8"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294E57" w:rsidRDefault="00D70B3A" w:rsidP="00294E57">
    <w:pPr>
      <w:pStyle w:val="Footer"/>
      <w:jc w:val="center"/>
      <w:rPr>
        <w:b/>
        <w:sz w:val="36"/>
        <w:szCs w:val="28"/>
      </w:rPr>
    </w:pPr>
    <w:r>
      <w:rPr>
        <w:b/>
        <w:color w:val="002060"/>
        <w:sz w:val="24"/>
      </w:rPr>
      <w:t xml:space="preserve">International Journal </w:t>
    </w:r>
    <w:r w:rsidR="00294E57">
      <w:rPr>
        <w:b/>
        <w:color w:val="002060"/>
        <w:sz w:val="24"/>
      </w:rPr>
      <w:t>for</w:t>
    </w:r>
    <w:r>
      <w:rPr>
        <w:b/>
        <w:color w:val="002060"/>
        <w:sz w:val="24"/>
      </w:rPr>
      <w:t xml:space="preserve"> Comp</w:t>
    </w:r>
    <w:r w:rsidR="00294E57">
      <w:rPr>
        <w:b/>
        <w:color w:val="002060"/>
        <w:sz w:val="24"/>
      </w:rPr>
      <w:t>uter Science &amp; Electronics (IJ</w:t>
    </w:r>
    <w:r>
      <w:rPr>
        <w:b/>
        <w:color w:val="002060"/>
        <w:sz w:val="24"/>
      </w:rPr>
      <w:t>CSE)</w:t>
    </w:r>
    <w:r>
      <w:rPr>
        <w:b/>
        <w:sz w:val="36"/>
        <w:szCs w:val="28"/>
      </w:rPr>
      <w:t xml:space="preserve"> </w:t>
    </w:r>
    <w:r w:rsidR="00DB672B">
      <w:rPr>
        <w:b/>
        <w:color w:val="002060"/>
        <w:sz w:val="24"/>
      </w:rPr>
      <w:t>Volume 12</w:t>
    </w:r>
    <w:r>
      <w:rPr>
        <w:b/>
        <w:color w:val="002060"/>
        <w:sz w:val="24"/>
      </w:rPr>
      <w:t xml:space="preserve"> Issue </w:t>
    </w:r>
    <w:r w:rsidR="00DB672B">
      <w:rPr>
        <w:b/>
        <w:color w:val="002060"/>
        <w:sz w:val="24"/>
      </w:rPr>
      <w:t>01</w:t>
    </w:r>
    <w:r>
      <w:rPr>
        <w:b/>
        <w:color w:val="002060"/>
        <w:sz w:val="24"/>
      </w:rPr>
      <w:t xml:space="preserve"> – </w:t>
    </w:r>
    <w:r w:rsidR="00826757">
      <w:rPr>
        <w:b/>
        <w:color w:val="002060"/>
        <w:sz w:val="24"/>
      </w:rPr>
      <w:t>MAY</w:t>
    </w:r>
    <w:r>
      <w:rPr>
        <w:b/>
        <w:color w:val="002060"/>
        <w:sz w:val="24"/>
      </w:rPr>
      <w:t xml:space="preserve"> </w:t>
    </w:r>
    <w:r w:rsidR="00826757">
      <w:rPr>
        <w:b/>
        <w:color w:val="002060"/>
        <w:sz w:val="24"/>
      </w:rPr>
      <w:t>2021</w:t>
    </w:r>
    <w:r>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9"/>
  </w:num>
  <w:num w:numId="8">
    <w:abstractNumId w:val="7"/>
  </w:num>
  <w:num w:numId="9">
    <w:abstractNumId w:val="13"/>
  </w:num>
  <w:num w:numId="10">
    <w:abstractNumId w:val="14"/>
  </w:num>
  <w:num w:numId="11">
    <w:abstractNumId w:val="11"/>
  </w:num>
  <w:num w:numId="12">
    <w:abstractNumId w:val="10"/>
  </w:num>
  <w:num w:numId="13">
    <w:abstractNumId w:val="5"/>
  </w:num>
  <w:num w:numId="14">
    <w:abstractNumId w:val="12"/>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6F12"/>
    <w:rsid w:val="00026CE5"/>
    <w:rsid w:val="00032D14"/>
    <w:rsid w:val="00036FB0"/>
    <w:rsid w:val="000444EA"/>
    <w:rsid w:val="000515F5"/>
    <w:rsid w:val="00054858"/>
    <w:rsid w:val="0005620C"/>
    <w:rsid w:val="00070B1E"/>
    <w:rsid w:val="00076A22"/>
    <w:rsid w:val="00094DAD"/>
    <w:rsid w:val="000A0BFD"/>
    <w:rsid w:val="000B25E4"/>
    <w:rsid w:val="000B3011"/>
    <w:rsid w:val="000B601D"/>
    <w:rsid w:val="000D7EDC"/>
    <w:rsid w:val="00100420"/>
    <w:rsid w:val="0010736C"/>
    <w:rsid w:val="00111F53"/>
    <w:rsid w:val="00120718"/>
    <w:rsid w:val="00123347"/>
    <w:rsid w:val="00126A34"/>
    <w:rsid w:val="00127CB7"/>
    <w:rsid w:val="00134CE3"/>
    <w:rsid w:val="001518A2"/>
    <w:rsid w:val="00173B6E"/>
    <w:rsid w:val="0019792B"/>
    <w:rsid w:val="001C3B54"/>
    <w:rsid w:val="001D67F4"/>
    <w:rsid w:val="001F3C11"/>
    <w:rsid w:val="001F6F30"/>
    <w:rsid w:val="001F7AEF"/>
    <w:rsid w:val="00205856"/>
    <w:rsid w:val="002142E9"/>
    <w:rsid w:val="00236B8B"/>
    <w:rsid w:val="00251117"/>
    <w:rsid w:val="002710BC"/>
    <w:rsid w:val="00271D2A"/>
    <w:rsid w:val="00274CDC"/>
    <w:rsid w:val="0028133E"/>
    <w:rsid w:val="00294E57"/>
    <w:rsid w:val="002A14B5"/>
    <w:rsid w:val="002B4CE6"/>
    <w:rsid w:val="002B7772"/>
    <w:rsid w:val="002C2841"/>
    <w:rsid w:val="002D153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D3CDC"/>
    <w:rsid w:val="003E3FCC"/>
    <w:rsid w:val="00401CED"/>
    <w:rsid w:val="00403826"/>
    <w:rsid w:val="00410813"/>
    <w:rsid w:val="0041528A"/>
    <w:rsid w:val="00416FBE"/>
    <w:rsid w:val="00422889"/>
    <w:rsid w:val="004523CE"/>
    <w:rsid w:val="00455FE3"/>
    <w:rsid w:val="0047329A"/>
    <w:rsid w:val="00475713"/>
    <w:rsid w:val="00492C1F"/>
    <w:rsid w:val="004A66F3"/>
    <w:rsid w:val="004B557E"/>
    <w:rsid w:val="00502A6C"/>
    <w:rsid w:val="005078A8"/>
    <w:rsid w:val="005079FD"/>
    <w:rsid w:val="00513A4B"/>
    <w:rsid w:val="00534CE9"/>
    <w:rsid w:val="00547F62"/>
    <w:rsid w:val="00562DE6"/>
    <w:rsid w:val="005660B8"/>
    <w:rsid w:val="00591146"/>
    <w:rsid w:val="00597B41"/>
    <w:rsid w:val="005D1361"/>
    <w:rsid w:val="005D303E"/>
    <w:rsid w:val="006122C4"/>
    <w:rsid w:val="00626889"/>
    <w:rsid w:val="00627B93"/>
    <w:rsid w:val="00635A5D"/>
    <w:rsid w:val="00641CDD"/>
    <w:rsid w:val="00656C23"/>
    <w:rsid w:val="006647FD"/>
    <w:rsid w:val="00675AF5"/>
    <w:rsid w:val="006A2FBE"/>
    <w:rsid w:val="006B52E4"/>
    <w:rsid w:val="006C4540"/>
    <w:rsid w:val="006E0D63"/>
    <w:rsid w:val="006F0229"/>
    <w:rsid w:val="0071355D"/>
    <w:rsid w:val="0077084E"/>
    <w:rsid w:val="007859EB"/>
    <w:rsid w:val="0079463B"/>
    <w:rsid w:val="007D4C87"/>
    <w:rsid w:val="007E7D56"/>
    <w:rsid w:val="007F16F2"/>
    <w:rsid w:val="008077AA"/>
    <w:rsid w:val="00826757"/>
    <w:rsid w:val="00835F4E"/>
    <w:rsid w:val="00837638"/>
    <w:rsid w:val="008430BC"/>
    <w:rsid w:val="00855123"/>
    <w:rsid w:val="00867532"/>
    <w:rsid w:val="00890E88"/>
    <w:rsid w:val="008B1904"/>
    <w:rsid w:val="008D06DD"/>
    <w:rsid w:val="008E3998"/>
    <w:rsid w:val="008E6626"/>
    <w:rsid w:val="008E751F"/>
    <w:rsid w:val="00902509"/>
    <w:rsid w:val="00923626"/>
    <w:rsid w:val="00923913"/>
    <w:rsid w:val="0092721B"/>
    <w:rsid w:val="009346F5"/>
    <w:rsid w:val="00950A8C"/>
    <w:rsid w:val="00960283"/>
    <w:rsid w:val="009634DE"/>
    <w:rsid w:val="00971B3A"/>
    <w:rsid w:val="00971D50"/>
    <w:rsid w:val="00975110"/>
    <w:rsid w:val="009D5A4D"/>
    <w:rsid w:val="00A0617D"/>
    <w:rsid w:val="00A06BDE"/>
    <w:rsid w:val="00A1174B"/>
    <w:rsid w:val="00A11874"/>
    <w:rsid w:val="00A2476E"/>
    <w:rsid w:val="00A269F8"/>
    <w:rsid w:val="00A45621"/>
    <w:rsid w:val="00A50C8B"/>
    <w:rsid w:val="00A62DBC"/>
    <w:rsid w:val="00AC49FB"/>
    <w:rsid w:val="00AD3B42"/>
    <w:rsid w:val="00AD5E6C"/>
    <w:rsid w:val="00AE2058"/>
    <w:rsid w:val="00AE29DA"/>
    <w:rsid w:val="00AF6BA2"/>
    <w:rsid w:val="00B04CB3"/>
    <w:rsid w:val="00B608E9"/>
    <w:rsid w:val="00B67DCE"/>
    <w:rsid w:val="00BB1627"/>
    <w:rsid w:val="00BC7A95"/>
    <w:rsid w:val="00C00248"/>
    <w:rsid w:val="00C16E79"/>
    <w:rsid w:val="00C2352C"/>
    <w:rsid w:val="00C31E1E"/>
    <w:rsid w:val="00C36E04"/>
    <w:rsid w:val="00C579FA"/>
    <w:rsid w:val="00C7689C"/>
    <w:rsid w:val="00CA2999"/>
    <w:rsid w:val="00CB2C83"/>
    <w:rsid w:val="00CC128C"/>
    <w:rsid w:val="00CC71A8"/>
    <w:rsid w:val="00CE0DF3"/>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11C76"/>
    <w:rsid w:val="00E20751"/>
    <w:rsid w:val="00E83D40"/>
    <w:rsid w:val="00EA41FD"/>
    <w:rsid w:val="00EA4AD0"/>
    <w:rsid w:val="00ED531F"/>
    <w:rsid w:val="00ED5A9F"/>
    <w:rsid w:val="00F24D98"/>
    <w:rsid w:val="00F5574E"/>
    <w:rsid w:val="00F73A25"/>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s>
</file>

<file path=word/webSettings.xml><?xml version="1.0" encoding="utf-8"?>
<w:webSettings xmlns:r="http://schemas.openxmlformats.org/officeDocument/2006/relationships" xmlns:w="http://schemas.openxmlformats.org/wordprocessingml/2006/main">
  <w:divs>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5</Pages>
  <Words>1662</Words>
  <Characters>9479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131</cp:revision>
  <cp:lastPrinted>2019-10-22T13:18:00Z</cp:lastPrinted>
  <dcterms:created xsi:type="dcterms:W3CDTF">2019-10-19T01:55:00Z</dcterms:created>
  <dcterms:modified xsi:type="dcterms:W3CDTF">2021-12-15T14:22:00Z</dcterms:modified>
</cp:coreProperties>
</file>