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845895" w:rsidRPr="001508F6" w:rsidRDefault="00845895" w:rsidP="001508F6">
      <w:pPr>
        <w:spacing w:line="360" w:lineRule="auto"/>
        <w:rPr>
          <w:rFonts w:ascii="Times New Roman" w:hAnsi="Times New Roman" w:cs="Times New Roman"/>
          <w:b/>
          <w:bCs/>
          <w:sz w:val="144"/>
          <w:szCs w:val="144"/>
        </w:rPr>
      </w:pPr>
    </w:p>
    <w:p w:rsidR="00CF3C1B" w:rsidRPr="001508F6" w:rsidRDefault="001508F6" w:rsidP="001508F6">
      <w:pPr>
        <w:spacing w:line="360" w:lineRule="auto"/>
        <w:jc w:val="center"/>
        <w:rPr>
          <w:rFonts w:ascii="Times New Roman" w:hAnsi="Times New Roman" w:cs="Times New Roman"/>
          <w:b/>
          <w:bCs/>
          <w:sz w:val="144"/>
          <w:szCs w:val="144"/>
        </w:rPr>
      </w:pPr>
      <w:r w:rsidRPr="001508F6">
        <w:rPr>
          <w:rFonts w:ascii="Times New Roman" w:hAnsi="Times New Roman" w:cs="Times New Roman"/>
          <w:b/>
          <w:bCs/>
          <w:sz w:val="56"/>
          <w:szCs w:val="56"/>
        </w:rPr>
        <w:t>Agriculture assist loan approval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508F6" w:rsidRDefault="001508F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507AF" w:rsidRDefault="00A507AF" w:rsidP="00E53AA4">
      <w:pPr>
        <w:spacing w:line="360" w:lineRule="auto"/>
        <w:jc w:val="both"/>
        <w:rPr>
          <w:rFonts w:ascii="Times New Roman" w:hAnsi="Times New Roman" w:cs="Times New Roman"/>
          <w:b/>
          <w:sz w:val="52"/>
          <w:szCs w:val="52"/>
        </w:rPr>
      </w:pPr>
      <w:r w:rsidRPr="00A507AF">
        <w:rPr>
          <w:rFonts w:ascii="Times New Roman" w:hAnsi="Times New Roman" w:cs="Times New Roman"/>
          <w:sz w:val="32"/>
          <w:szCs w:val="32"/>
        </w:rPr>
        <w:t>This paper assesses the problems of financing Central and Eastern European agriculture during the present transitionary period and what the role of government is in this process. Initially the paper looks at why credit markets work imperfectly, even in well developed market economies, focusing on the problems related to asymmetric information, adverse selection, moral hazard, credit rationing, the choice of optimal debt instrument and why initial wealth matters. It shows why these and related problems may cause transaction costs to high enough so that credit rationing and high interest rates are rational and efficient responses by lenders to the imperfect information problems of the agricultural sector. Then a series of specific, transition-related issues are discussed which have worsened these problems within the Central and Eastern European agricultural sector. This leads to a discussion of the potential roles for governments in solving these issues, specifically the use of credit subsidies, loan guarantees and specialised agricultural lending institutions. Finally, the paper reviews the actual government intervention which have occurred within the Central and Eastern European countries.</w:t>
      </w:r>
    </w:p>
    <w:p w:rsidR="00845895" w:rsidRDefault="00845895" w:rsidP="00E53AA4">
      <w:pPr>
        <w:spacing w:line="360" w:lineRule="auto"/>
        <w:jc w:val="both"/>
        <w:rPr>
          <w:rFonts w:ascii="Times New Roman" w:hAnsi="Times New Roman" w:cs="Times New Roman"/>
          <w:b/>
          <w:sz w:val="40"/>
          <w:szCs w:val="40"/>
        </w:rPr>
      </w:pPr>
    </w:p>
    <w:p w:rsidR="00F5183A" w:rsidRDefault="00F5183A" w:rsidP="00A507AF">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67BCF" w:rsidRDefault="001E3C2B" w:rsidP="00267BC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67BCF">
        <w:rPr>
          <w:rFonts w:ascii="Times New Roman" w:hAnsi="Times New Roman" w:cs="Times New Roman"/>
          <w:sz w:val="32"/>
          <w:szCs w:val="32"/>
          <w:lang w:val="en-IN"/>
        </w:rPr>
        <w:t xml:space="preserve">The high risks and uncertainties in CEE </w:t>
      </w:r>
      <w:r w:rsidRPr="00267BCF">
        <w:rPr>
          <w:rFonts w:ascii="Times New Roman" w:hAnsi="Times New Roman" w:cs="Times New Roman"/>
          <w:sz w:val="32"/>
          <w:szCs w:val="32"/>
          <w:lang w:val="en-IN"/>
        </w:rPr>
        <w:t>agriculture, existing commercial banks with a diversified portfolio may be more efficient financial institutions for rural credit.</w:t>
      </w:r>
    </w:p>
    <w:p w:rsidR="00000000" w:rsidRPr="00267BCF" w:rsidRDefault="001E3C2B" w:rsidP="00267BC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67BCF">
        <w:rPr>
          <w:rFonts w:ascii="Times New Roman" w:hAnsi="Times New Roman" w:cs="Times New Roman"/>
          <w:sz w:val="32"/>
          <w:szCs w:val="32"/>
          <w:lang w:val="en-IN"/>
        </w:rPr>
        <w:t>However, the previous analysis suggests that political and economic forces have induced the CEE governments to select and im</w:t>
      </w:r>
      <w:r w:rsidRPr="00267BCF">
        <w:rPr>
          <w:rFonts w:ascii="Times New Roman" w:hAnsi="Times New Roman" w:cs="Times New Roman"/>
          <w:sz w:val="32"/>
          <w:szCs w:val="32"/>
          <w:lang w:val="en-IN"/>
        </w:rPr>
        <w:t>plement policies during transition that are similar to the ones that exist in Western agricultural credit markets.</w:t>
      </w:r>
    </w:p>
    <w:p w:rsidR="00000000" w:rsidRPr="00267BCF" w:rsidRDefault="001E3C2B" w:rsidP="00267BC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67BCF">
        <w:rPr>
          <w:rFonts w:ascii="Times New Roman" w:hAnsi="Times New Roman" w:cs="Times New Roman"/>
          <w:sz w:val="32"/>
          <w:szCs w:val="32"/>
          <w:lang w:val="en-IN"/>
        </w:rPr>
        <w:t xml:space="preserve">Credit and risk markets in the most well-developed market economies work imperfectly, largely due to imperfect and costly information. </w:t>
      </w:r>
    </w:p>
    <w:p w:rsidR="00000000" w:rsidRPr="00267BCF" w:rsidRDefault="001E3C2B" w:rsidP="00267BC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67BCF">
        <w:rPr>
          <w:rFonts w:ascii="Times New Roman" w:hAnsi="Times New Roman" w:cs="Times New Roman"/>
          <w:sz w:val="32"/>
          <w:szCs w:val="32"/>
          <w:lang w:val="en-IN"/>
        </w:rPr>
        <w:t>Pro</w:t>
      </w:r>
      <w:r w:rsidRPr="00267BCF">
        <w:rPr>
          <w:rFonts w:ascii="Times New Roman" w:hAnsi="Times New Roman" w:cs="Times New Roman"/>
          <w:sz w:val="32"/>
          <w:szCs w:val="32"/>
          <w:lang w:val="en-IN"/>
        </w:rPr>
        <w:t xml:space="preserve">blems of imperfect information and incomplete risk markets are particularly important in agriculture.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07BB5" w:rsidRDefault="001E3C2B" w:rsidP="00707BB5">
      <w:pPr>
        <w:numPr>
          <w:ilvl w:val="0"/>
          <w:numId w:val="45"/>
        </w:numPr>
        <w:spacing w:line="360" w:lineRule="auto"/>
        <w:jc w:val="both"/>
        <w:rPr>
          <w:rFonts w:ascii="Times New Roman" w:hAnsi="Times New Roman" w:cs="Times New Roman"/>
          <w:bCs/>
          <w:sz w:val="32"/>
          <w:szCs w:val="32"/>
          <w:lang w:val="en-IN"/>
        </w:rPr>
      </w:pPr>
      <w:r w:rsidRPr="00707BB5">
        <w:rPr>
          <w:rFonts w:ascii="Times New Roman" w:hAnsi="Times New Roman" w:cs="Times New Roman"/>
          <w:bCs/>
          <w:sz w:val="32"/>
          <w:szCs w:val="32"/>
          <w:lang w:val="en-IN"/>
        </w:rPr>
        <w:t xml:space="preserve">The problems in the credit market for agriculture stem from both demand and supply forces. </w:t>
      </w:r>
    </w:p>
    <w:p w:rsidR="00000000" w:rsidRPr="00707BB5" w:rsidRDefault="001E3C2B" w:rsidP="00707BB5">
      <w:pPr>
        <w:numPr>
          <w:ilvl w:val="0"/>
          <w:numId w:val="45"/>
        </w:numPr>
        <w:spacing w:line="360" w:lineRule="auto"/>
        <w:jc w:val="both"/>
        <w:rPr>
          <w:rFonts w:ascii="Times New Roman" w:hAnsi="Times New Roman" w:cs="Times New Roman"/>
          <w:bCs/>
          <w:sz w:val="32"/>
          <w:szCs w:val="32"/>
          <w:lang w:val="en-IN"/>
        </w:rPr>
      </w:pPr>
      <w:r w:rsidRPr="00707BB5">
        <w:rPr>
          <w:rFonts w:ascii="Times New Roman" w:hAnsi="Times New Roman" w:cs="Times New Roman"/>
          <w:bCs/>
          <w:sz w:val="32"/>
          <w:szCs w:val="32"/>
          <w:lang w:val="en-IN"/>
        </w:rPr>
        <w:t>The majority of both private farmers and large scale farm m</w:t>
      </w:r>
      <w:r w:rsidRPr="00707BB5">
        <w:rPr>
          <w:rFonts w:ascii="Times New Roman" w:hAnsi="Times New Roman" w:cs="Times New Roman"/>
          <w:bCs/>
          <w:sz w:val="32"/>
          <w:szCs w:val="32"/>
          <w:lang w:val="en-IN"/>
        </w:rPr>
        <w:t>anagers indicated that problem in accessing credit were mainly due to- “high interest rates” in all these countries.</w:t>
      </w:r>
    </w:p>
    <w:p w:rsidR="00000000" w:rsidRPr="00707BB5" w:rsidRDefault="001E3C2B" w:rsidP="00707BB5">
      <w:pPr>
        <w:numPr>
          <w:ilvl w:val="0"/>
          <w:numId w:val="45"/>
        </w:numPr>
        <w:spacing w:line="360" w:lineRule="auto"/>
        <w:jc w:val="both"/>
        <w:rPr>
          <w:rFonts w:ascii="Times New Roman" w:hAnsi="Times New Roman" w:cs="Times New Roman"/>
          <w:bCs/>
          <w:sz w:val="32"/>
          <w:szCs w:val="32"/>
          <w:lang w:val="en-IN"/>
        </w:rPr>
      </w:pPr>
      <w:r w:rsidRPr="00707BB5">
        <w:rPr>
          <w:rFonts w:ascii="Times New Roman" w:hAnsi="Times New Roman" w:cs="Times New Roman"/>
          <w:bCs/>
          <w:sz w:val="32"/>
          <w:szCs w:val="32"/>
          <w:lang w:val="en-IN"/>
        </w:rPr>
        <w:lastRenderedPageBreak/>
        <w:t>There is also the long-term problem of ensuring adequate funds to facilitate structural adjustment and to enable farmers to apply effectiv</w:t>
      </w:r>
      <w:r w:rsidRPr="00707BB5">
        <w:rPr>
          <w:rFonts w:ascii="Times New Roman" w:hAnsi="Times New Roman" w:cs="Times New Roman"/>
          <w:bCs/>
          <w:sz w:val="32"/>
          <w:szCs w:val="32"/>
          <w:lang w:val="en-IN"/>
        </w:rPr>
        <w:t>e technologies.</w:t>
      </w:r>
    </w:p>
    <w:p w:rsidR="00F94960" w:rsidRPr="00707BB5" w:rsidRDefault="001E3C2B" w:rsidP="00E53AA4">
      <w:pPr>
        <w:numPr>
          <w:ilvl w:val="0"/>
          <w:numId w:val="45"/>
        </w:numPr>
        <w:spacing w:line="360" w:lineRule="auto"/>
        <w:jc w:val="both"/>
        <w:rPr>
          <w:rFonts w:ascii="Times New Roman" w:hAnsi="Times New Roman" w:cs="Times New Roman"/>
          <w:bCs/>
          <w:sz w:val="32"/>
          <w:szCs w:val="32"/>
          <w:lang w:val="en-IN"/>
        </w:rPr>
      </w:pPr>
      <w:r w:rsidRPr="00707BB5">
        <w:rPr>
          <w:rFonts w:ascii="Times New Roman" w:hAnsi="Times New Roman" w:cs="Times New Roman"/>
          <w:bCs/>
          <w:sz w:val="32"/>
          <w:szCs w:val="32"/>
          <w:lang w:val="en-IN"/>
        </w:rPr>
        <w:t>In this paper we assess the problems of financing CEE agriculture during the transition and what the role of government is in this process.</w:t>
      </w:r>
      <w:r w:rsidRPr="00707BB5">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12C1C" w:rsidRPr="00C12C1C" w:rsidRDefault="00C12C1C" w:rsidP="00C12C1C">
      <w:pPr>
        <w:pStyle w:val="NormalWeb"/>
        <w:numPr>
          <w:ilvl w:val="0"/>
          <w:numId w:val="46"/>
        </w:numPr>
        <w:spacing w:before="0" w:beforeAutospacing="0" w:after="0" w:afterAutospacing="0" w:line="360" w:lineRule="auto"/>
        <w:ind w:left="426"/>
        <w:jc w:val="both"/>
        <w:rPr>
          <w:sz w:val="32"/>
          <w:szCs w:val="32"/>
        </w:rPr>
      </w:pPr>
      <w:r w:rsidRPr="00C12C1C">
        <w:rPr>
          <w:sz w:val="32"/>
          <w:szCs w:val="32"/>
        </w:rPr>
        <w:t>Farmers in some regions or in some time periods may have only limited or no access to credit, even if some of them might propose good investments to the financial institutions.</w:t>
      </w:r>
    </w:p>
    <w:p w:rsidR="00C12C1C" w:rsidRPr="00C12C1C" w:rsidRDefault="00C12C1C" w:rsidP="00C12C1C">
      <w:pPr>
        <w:pStyle w:val="NormalWeb"/>
        <w:numPr>
          <w:ilvl w:val="0"/>
          <w:numId w:val="46"/>
        </w:numPr>
        <w:spacing w:before="0" w:beforeAutospacing="0" w:after="0" w:afterAutospacing="0" w:line="360" w:lineRule="auto"/>
        <w:ind w:left="426"/>
        <w:jc w:val="both"/>
        <w:rPr>
          <w:sz w:val="32"/>
          <w:szCs w:val="32"/>
        </w:rPr>
      </w:pPr>
      <w:r w:rsidRPr="00C12C1C">
        <w:rPr>
          <w:sz w:val="32"/>
          <w:szCs w:val="32"/>
        </w:rPr>
        <w:t>If the borrower does not have enough incentives to manage as well as possible the capital resources for particular purposes, or may change the purpose for which a loan is granted, this may lead to an increase in the risk of the borrower's ability to repay the loan.</w:t>
      </w:r>
    </w:p>
    <w:p w:rsidR="00C12C1C" w:rsidRPr="00C12C1C" w:rsidRDefault="00C12C1C" w:rsidP="00C12C1C">
      <w:pPr>
        <w:pStyle w:val="NormalWeb"/>
        <w:numPr>
          <w:ilvl w:val="0"/>
          <w:numId w:val="46"/>
        </w:numPr>
        <w:spacing w:before="0" w:beforeAutospacing="0" w:after="0" w:afterAutospacing="0" w:line="360" w:lineRule="auto"/>
        <w:ind w:left="426"/>
        <w:jc w:val="both"/>
        <w:rPr>
          <w:sz w:val="32"/>
          <w:szCs w:val="32"/>
        </w:rPr>
      </w:pPr>
      <w:r w:rsidRPr="00C12C1C">
        <w:rPr>
          <w:sz w:val="32"/>
          <w:szCs w:val="32"/>
        </w:rPr>
        <w:t>These are respectively called the moral hazards of the choice of effort and choice of purpose.</w:t>
      </w:r>
    </w:p>
    <w:p w:rsidR="003A5D44" w:rsidRPr="00C12C1C" w:rsidRDefault="00C12C1C" w:rsidP="00E53AA4">
      <w:pPr>
        <w:pStyle w:val="NormalWeb"/>
        <w:numPr>
          <w:ilvl w:val="0"/>
          <w:numId w:val="46"/>
        </w:numPr>
        <w:spacing w:before="0" w:beforeAutospacing="0" w:after="0" w:afterAutospacing="0" w:line="360" w:lineRule="auto"/>
        <w:ind w:left="426"/>
        <w:jc w:val="both"/>
        <w:rPr>
          <w:sz w:val="32"/>
          <w:szCs w:val="32"/>
        </w:rPr>
      </w:pPr>
      <w:r w:rsidRPr="00C12C1C">
        <w:rPr>
          <w:sz w:val="32"/>
          <w:szCs w:val="32"/>
        </w:rPr>
        <w:t>The purpose of this fund is to support the agricultural sector during the transition period, mainly for oversupplied products.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600EC" w:rsidRDefault="001E3C2B" w:rsidP="008600E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600EC">
        <w:rPr>
          <w:rFonts w:ascii="Times New Roman" w:eastAsia="AdvGulliv-R" w:hAnsi="Times New Roman" w:cs="Times New Roman"/>
          <w:bCs/>
          <w:sz w:val="32"/>
          <w:szCs w:val="32"/>
          <w:lang w:val="en-IN"/>
        </w:rPr>
        <w:t>The most important advantage</w:t>
      </w:r>
      <w:r w:rsidRPr="008600EC">
        <w:rPr>
          <w:rFonts w:ascii="Times New Roman" w:eastAsia="AdvGulliv-R" w:hAnsi="Times New Roman" w:cs="Times New Roman"/>
          <w:bCs/>
          <w:sz w:val="32"/>
          <w:szCs w:val="32"/>
          <w:lang w:val="en-IN"/>
        </w:rPr>
        <w:t xml:space="preserve">s from the creation of specialised agricultural credit institutions are lower transaction, monitoring and verification costs through greater specialist knowledge of relevant agricultural activities. </w:t>
      </w:r>
    </w:p>
    <w:p w:rsidR="00000000" w:rsidRPr="008600EC" w:rsidRDefault="001E3C2B" w:rsidP="008600E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600EC">
        <w:rPr>
          <w:rFonts w:ascii="Times New Roman" w:eastAsia="AdvGulliv-R" w:hAnsi="Times New Roman" w:cs="Times New Roman"/>
          <w:bCs/>
          <w:sz w:val="32"/>
          <w:szCs w:val="32"/>
          <w:lang w:val="en-IN"/>
        </w:rPr>
        <w:lastRenderedPageBreak/>
        <w:t>The access to credit is rationed, thus the credit alloc</w:t>
      </w:r>
      <w:r w:rsidRPr="008600EC">
        <w:rPr>
          <w:rFonts w:ascii="Times New Roman" w:eastAsia="AdvGulliv-R" w:hAnsi="Times New Roman" w:cs="Times New Roman"/>
          <w:bCs/>
          <w:sz w:val="32"/>
          <w:szCs w:val="32"/>
          <w:lang w:val="en-IN"/>
        </w:rPr>
        <w:t xml:space="preserve">ation process is no longer efficient within the market. </w:t>
      </w:r>
    </w:p>
    <w:p w:rsidR="00000000" w:rsidRPr="008600EC" w:rsidRDefault="001E3C2B" w:rsidP="008600E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600EC">
        <w:rPr>
          <w:rFonts w:ascii="Times New Roman" w:eastAsia="AdvGulliv-R" w:hAnsi="Times New Roman" w:cs="Times New Roman"/>
          <w:bCs/>
          <w:sz w:val="32"/>
          <w:szCs w:val="32"/>
          <w:lang w:val="en-IN"/>
        </w:rPr>
        <w:t>These various institutions have many different characteristics affecting their efficiency, many of which are specific to there individual situation.</w:t>
      </w:r>
    </w:p>
    <w:p w:rsidR="00D81E16" w:rsidRPr="008600EC" w:rsidRDefault="001E3C2B" w:rsidP="008600E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600EC">
        <w:rPr>
          <w:rFonts w:ascii="Times New Roman" w:eastAsia="AdvGulliv-R" w:hAnsi="Times New Roman" w:cs="Times New Roman"/>
          <w:bCs/>
          <w:sz w:val="32"/>
          <w:szCs w:val="32"/>
          <w:lang w:val="en-IN"/>
        </w:rPr>
        <w:t xml:space="preserve">Credit was provided through the central bank to </w:t>
      </w:r>
      <w:r w:rsidRPr="008600EC">
        <w:rPr>
          <w:rFonts w:ascii="Times New Roman" w:eastAsia="AdvGulliv-R" w:hAnsi="Times New Roman" w:cs="Times New Roman"/>
          <w:bCs/>
          <w:sz w:val="32"/>
          <w:szCs w:val="32"/>
          <w:lang w:val="en-IN"/>
        </w:rPr>
        <w:t>farmers for these investments, typically with a negative real interest rate, not based on merit and often used as a way to support unsuccessful enterprises.</w:t>
      </w:r>
      <w:r w:rsidRPr="008600EC">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8600EC"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600EC" w:rsidP="00E53AA4">
      <w:pPr>
        <w:spacing w:after="0" w:line="360" w:lineRule="auto"/>
        <w:jc w:val="both"/>
        <w:rPr>
          <w:rFonts w:ascii="Times New Roman" w:hAnsi="Times New Roman" w:cs="Times New Roman"/>
        </w:rPr>
      </w:pPr>
      <w:r w:rsidRPr="008600EC">
        <w:rPr>
          <w:rFonts w:ascii="Times New Roman" w:hAnsi="Times New Roman" w:cs="Times New Roman"/>
        </w:rPr>
        <w:drawing>
          <wp:inline distT="0" distB="0" distL="0" distR="0">
            <wp:extent cx="5943600" cy="3962400"/>
            <wp:effectExtent l="19050" t="0" r="0" b="0"/>
            <wp:docPr id="1" name="Picture 1" descr="D:\yuva work document\TOWARDS END-TO-END LANE DETECTION ;AN INSTANCE SEGMENTATION APPROACH\pic.png"/>
            <wp:cNvGraphicFramePr/>
            <a:graphic xmlns:a="http://schemas.openxmlformats.org/drawingml/2006/main">
              <a:graphicData uri="http://schemas.openxmlformats.org/drawingml/2006/picture">
                <pic:pic xmlns:pic="http://schemas.openxmlformats.org/drawingml/2006/picture">
                  <pic:nvPicPr>
                    <pic:cNvPr id="1026" name="Picture 2" descr="D:\yuva work document\TOWARDS END-TO-END LANE DETECTION ;AN INSTANCE SEGMENTATION APPROACH\pic.png"/>
                    <pic:cNvPicPr>
                      <a:picLocks noGrp="1" noChangeAspect="1" noChangeArrowheads="1"/>
                    </pic:cNvPicPr>
                  </pic:nvPicPr>
                  <pic:blipFill>
                    <a:blip r:embed="rId8"/>
                    <a:srcRect/>
                    <a:stretch>
                      <a:fillRect/>
                    </a:stretch>
                  </pic:blipFill>
                  <pic:spPr bwMode="auto">
                    <a:xfrm>
                      <a:off x="0" y="0"/>
                      <a:ext cx="5943600" cy="39624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8600EC" w:rsidRDefault="008600EC" w:rsidP="00E53AA4">
      <w:pPr>
        <w:spacing w:before="100" w:after="100" w:line="360" w:lineRule="auto"/>
        <w:jc w:val="both"/>
        <w:rPr>
          <w:rFonts w:ascii="Times New Roman" w:hAnsi="Times New Roman" w:cs="Times New Roman"/>
          <w:b/>
          <w:noProof/>
          <w:sz w:val="28"/>
          <w:szCs w:val="28"/>
        </w:rPr>
      </w:pPr>
    </w:p>
    <w:p w:rsidR="008600EC" w:rsidRDefault="008600EC"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F26E8" w:rsidRPr="006F26E8" w:rsidRDefault="006F26E8" w:rsidP="006F26E8">
      <w:pPr>
        <w:pStyle w:val="BodyText"/>
        <w:rPr>
          <w:bCs/>
          <w:iCs/>
          <w:sz w:val="28"/>
          <w:szCs w:val="28"/>
          <w:lang w:val="en-IN"/>
        </w:rPr>
      </w:pPr>
      <w:r w:rsidRPr="006F26E8">
        <w:rPr>
          <w:b/>
          <w:iCs/>
          <w:sz w:val="28"/>
          <w:szCs w:val="28"/>
          <w:lang w:val="en-IN"/>
        </w:rPr>
        <w:t xml:space="preserve">    </w:t>
      </w:r>
      <w:r w:rsidRPr="006F26E8">
        <w:rPr>
          <w:bCs/>
          <w:iCs/>
          <w:sz w:val="32"/>
          <w:szCs w:val="32"/>
          <w:lang w:val="en-IN"/>
        </w:rPr>
        <w:t>Agricultural credit markets work imperfectly even in countries with a developed market economy and government intervention in the market is widespread. CEE agricultural reform and the simultaneous restructuring of the banking sector creates additional problems for financing agriculture. For most banks, financing agriculture is a high risk activity because of low profitability in the sector, high nominal inflation, problems with collateral because of uncertain property rights and ineffective land markets, and the lack of well established relationships between them and new producers.</w:t>
      </w:r>
      <w:r w:rsidRPr="006F26E8">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F26E8" w:rsidRDefault="006F26E8" w:rsidP="00E53AA4">
      <w:pPr>
        <w:pStyle w:val="BodyText"/>
        <w:rPr>
          <w:b/>
          <w:iCs/>
          <w:sz w:val="28"/>
          <w:szCs w:val="28"/>
        </w:rPr>
      </w:pPr>
    </w:p>
    <w:p w:rsidR="006F26E8" w:rsidRDefault="006F26E8" w:rsidP="00E53AA4">
      <w:pPr>
        <w:pStyle w:val="BodyText"/>
        <w:rPr>
          <w:b/>
          <w:iCs/>
          <w:sz w:val="28"/>
          <w:szCs w:val="28"/>
        </w:rPr>
      </w:pPr>
    </w:p>
    <w:p w:rsidR="006F26E8" w:rsidRDefault="006F26E8" w:rsidP="00E53AA4">
      <w:pPr>
        <w:pStyle w:val="BodyText"/>
        <w:rPr>
          <w:b/>
          <w:iCs/>
          <w:sz w:val="28"/>
          <w:szCs w:val="28"/>
        </w:rPr>
      </w:pPr>
    </w:p>
    <w:p w:rsidR="006F26E8" w:rsidRDefault="006F26E8" w:rsidP="00E53AA4">
      <w:pPr>
        <w:pStyle w:val="BodyText"/>
        <w:rPr>
          <w:b/>
          <w:iCs/>
          <w:sz w:val="28"/>
          <w:szCs w:val="28"/>
        </w:rPr>
      </w:pPr>
    </w:p>
    <w:p w:rsidR="006F26E8" w:rsidRDefault="006F26E8" w:rsidP="00E53AA4">
      <w:pPr>
        <w:pStyle w:val="BodyText"/>
        <w:rPr>
          <w:b/>
          <w:iCs/>
          <w:sz w:val="28"/>
          <w:szCs w:val="28"/>
        </w:rPr>
      </w:pPr>
    </w:p>
    <w:p w:rsidR="006F26E8" w:rsidRDefault="006F26E8" w:rsidP="00E53AA4">
      <w:pPr>
        <w:pStyle w:val="BodyText"/>
        <w:rPr>
          <w:b/>
          <w:iCs/>
          <w:sz w:val="28"/>
          <w:szCs w:val="28"/>
        </w:rPr>
      </w:pPr>
    </w:p>
    <w:p w:rsidR="006F26E8" w:rsidRDefault="006F26E8" w:rsidP="00E53AA4">
      <w:pPr>
        <w:pStyle w:val="BodyText"/>
        <w:rPr>
          <w:b/>
          <w:iCs/>
          <w:sz w:val="28"/>
          <w:szCs w:val="28"/>
        </w:rPr>
      </w:pPr>
    </w:p>
    <w:p w:rsidR="006F26E8" w:rsidRDefault="006F26E8" w:rsidP="00E53AA4">
      <w:pPr>
        <w:pStyle w:val="BodyText"/>
        <w:rPr>
          <w:b/>
          <w:iCs/>
          <w:sz w:val="28"/>
          <w:szCs w:val="28"/>
        </w:rPr>
      </w:pPr>
    </w:p>
    <w:p w:rsidR="006F26E8" w:rsidRDefault="006F26E8" w:rsidP="00E53AA4">
      <w:pPr>
        <w:pStyle w:val="BodyText"/>
        <w:rPr>
          <w:b/>
          <w:iCs/>
          <w:sz w:val="28"/>
          <w:szCs w:val="28"/>
        </w:rPr>
      </w:pPr>
    </w:p>
    <w:p w:rsidR="006F26E8" w:rsidRDefault="006F26E8" w:rsidP="00E53AA4">
      <w:pPr>
        <w:pStyle w:val="BodyText"/>
        <w:rPr>
          <w:b/>
          <w:iCs/>
          <w:sz w:val="28"/>
          <w:szCs w:val="28"/>
        </w:rPr>
      </w:pPr>
    </w:p>
    <w:p w:rsidR="006F26E8" w:rsidRDefault="006F26E8" w:rsidP="00E53AA4">
      <w:pPr>
        <w:pStyle w:val="BodyText"/>
        <w:rPr>
          <w:b/>
          <w:iCs/>
          <w:sz w:val="28"/>
          <w:szCs w:val="28"/>
        </w:rPr>
      </w:pPr>
    </w:p>
    <w:p w:rsidR="006F26E8" w:rsidRDefault="006F26E8" w:rsidP="00E53AA4">
      <w:pPr>
        <w:pStyle w:val="BodyText"/>
        <w:rPr>
          <w:b/>
          <w:iCs/>
          <w:sz w:val="28"/>
          <w:szCs w:val="28"/>
        </w:rPr>
      </w:pPr>
    </w:p>
    <w:p w:rsidR="006F26E8" w:rsidRDefault="006F26E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E5B2A" w:rsidRDefault="001E3C2B" w:rsidP="00FE5B2A">
      <w:pPr>
        <w:pStyle w:val="BodyText"/>
        <w:numPr>
          <w:ilvl w:val="0"/>
          <w:numId w:val="42"/>
        </w:numPr>
        <w:rPr>
          <w:sz w:val="32"/>
          <w:szCs w:val="32"/>
          <w:lang w:val="en-IN"/>
        </w:rPr>
      </w:pPr>
      <w:r w:rsidRPr="00FE5B2A">
        <w:rPr>
          <w:sz w:val="32"/>
          <w:szCs w:val="32"/>
          <w:lang w:val="en-IN"/>
        </w:rPr>
        <w:t>Adams, D.W., and D.A. Fitchett (eds.), 1992, Informal Finance in Low-Income Countries, Boulder: Westview Press.</w:t>
      </w:r>
    </w:p>
    <w:p w:rsidR="00000000" w:rsidRPr="00FE5B2A" w:rsidRDefault="001E3C2B" w:rsidP="00FE5B2A">
      <w:pPr>
        <w:pStyle w:val="BodyText"/>
        <w:numPr>
          <w:ilvl w:val="0"/>
          <w:numId w:val="42"/>
        </w:numPr>
        <w:rPr>
          <w:sz w:val="32"/>
          <w:szCs w:val="32"/>
          <w:lang w:val="en-IN"/>
        </w:rPr>
      </w:pPr>
      <w:r w:rsidRPr="00FE5B2A">
        <w:rPr>
          <w:sz w:val="32"/>
          <w:szCs w:val="32"/>
          <w:lang w:val="en-IN"/>
        </w:rPr>
        <w:t>Bardhan, (ed.), 1989, The Economic Theory of Agrarian</w:t>
      </w:r>
      <w:r w:rsidRPr="00FE5B2A">
        <w:rPr>
          <w:sz w:val="32"/>
          <w:szCs w:val="32"/>
          <w:lang w:val="en-IN"/>
        </w:rPr>
        <w:t xml:space="preserve"> Institutions, Oxford University Press. </w:t>
      </w:r>
    </w:p>
    <w:p w:rsidR="00000000" w:rsidRPr="00FE5B2A" w:rsidRDefault="001E3C2B" w:rsidP="00FE5B2A">
      <w:pPr>
        <w:pStyle w:val="BodyText"/>
        <w:numPr>
          <w:ilvl w:val="0"/>
          <w:numId w:val="42"/>
        </w:numPr>
        <w:rPr>
          <w:sz w:val="32"/>
          <w:szCs w:val="32"/>
          <w:lang w:val="en-IN"/>
        </w:rPr>
      </w:pPr>
      <w:r w:rsidRPr="00FE5B2A">
        <w:rPr>
          <w:sz w:val="32"/>
          <w:szCs w:val="32"/>
          <w:lang w:val="en-IN"/>
        </w:rPr>
        <w:t xml:space="preserve">Chang, C., 1990, “The dynamic sturcture of optimal debt contracts”, Journal of Economic Theory 52:68-86. </w:t>
      </w:r>
    </w:p>
    <w:p w:rsidR="00000000" w:rsidRPr="00FE5B2A" w:rsidRDefault="001E3C2B" w:rsidP="00FE5B2A">
      <w:pPr>
        <w:pStyle w:val="BodyText"/>
        <w:numPr>
          <w:ilvl w:val="0"/>
          <w:numId w:val="42"/>
        </w:numPr>
        <w:rPr>
          <w:sz w:val="32"/>
          <w:szCs w:val="32"/>
          <w:lang w:val="en-IN"/>
        </w:rPr>
      </w:pPr>
      <w:r w:rsidRPr="00FE5B2A">
        <w:rPr>
          <w:sz w:val="32"/>
          <w:szCs w:val="32"/>
          <w:lang w:val="en-IN"/>
        </w:rPr>
        <w:t>De Meza, D., and D.C. Webb, 1987, “Too much Investment: A Problem of Asymmetric Information,” Quarterly Jou</w:t>
      </w:r>
      <w:r w:rsidRPr="00FE5B2A">
        <w:rPr>
          <w:sz w:val="32"/>
          <w:szCs w:val="32"/>
          <w:lang w:val="en-IN"/>
        </w:rPr>
        <w:t>rnal of Economics 102 (May): 281-92.</w:t>
      </w:r>
    </w:p>
    <w:p w:rsidR="00000000" w:rsidRPr="00FE5B2A" w:rsidRDefault="001E3C2B" w:rsidP="00FE5B2A">
      <w:pPr>
        <w:pStyle w:val="BodyText"/>
        <w:numPr>
          <w:ilvl w:val="0"/>
          <w:numId w:val="42"/>
        </w:numPr>
        <w:rPr>
          <w:sz w:val="32"/>
          <w:szCs w:val="32"/>
          <w:lang w:val="en-IN"/>
        </w:rPr>
      </w:pPr>
      <w:r w:rsidRPr="00FE5B2A">
        <w:rPr>
          <w:sz w:val="32"/>
          <w:szCs w:val="32"/>
          <w:lang w:val="en-IN"/>
        </w:rPr>
        <w:t xml:space="preserve">Fry, M.J., 1988, Money, Interest, and Banking in Economic Development, Baltimore: The John Hopkins University Press. </w:t>
      </w:r>
    </w:p>
    <w:p w:rsidR="00000000" w:rsidRPr="00FE5B2A" w:rsidRDefault="001E3C2B" w:rsidP="00FE5B2A">
      <w:pPr>
        <w:pStyle w:val="BodyText"/>
        <w:numPr>
          <w:ilvl w:val="0"/>
          <w:numId w:val="42"/>
        </w:numPr>
        <w:rPr>
          <w:sz w:val="32"/>
          <w:szCs w:val="32"/>
          <w:lang w:val="en-IN"/>
        </w:rPr>
      </w:pPr>
      <w:r w:rsidRPr="00FE5B2A">
        <w:rPr>
          <w:sz w:val="32"/>
          <w:szCs w:val="32"/>
          <w:lang w:val="en-IN"/>
        </w:rPr>
        <w:t xml:space="preserve">Galbraith, J.K., 1987, Economics in Perspective. </w:t>
      </w:r>
    </w:p>
    <w:p w:rsidR="00000000" w:rsidRPr="00FE5B2A" w:rsidRDefault="001E3C2B" w:rsidP="00FE5B2A">
      <w:pPr>
        <w:pStyle w:val="BodyText"/>
        <w:numPr>
          <w:ilvl w:val="0"/>
          <w:numId w:val="42"/>
        </w:numPr>
        <w:rPr>
          <w:sz w:val="32"/>
          <w:szCs w:val="32"/>
          <w:lang w:val="en-IN"/>
        </w:rPr>
      </w:pPr>
      <w:r w:rsidRPr="00FE5B2A">
        <w:rPr>
          <w:sz w:val="32"/>
          <w:szCs w:val="32"/>
          <w:lang w:val="en-IN"/>
        </w:rPr>
        <w:t>Gelb, A.H., 1989, “Financial Policies, Growth an</w:t>
      </w:r>
      <w:r w:rsidRPr="00FE5B2A">
        <w:rPr>
          <w:sz w:val="32"/>
          <w:szCs w:val="32"/>
          <w:lang w:val="en-IN"/>
        </w:rPr>
        <w:t>d Efficiency,” PPR Working Paper No. 202, World Bank Policy, Planning, and Research Department, Washington, D.C.</w:t>
      </w:r>
    </w:p>
    <w:p w:rsidR="00000000" w:rsidRPr="00FE5B2A" w:rsidRDefault="001E3C2B" w:rsidP="00FE5B2A">
      <w:pPr>
        <w:pStyle w:val="BodyText"/>
        <w:numPr>
          <w:ilvl w:val="0"/>
          <w:numId w:val="42"/>
        </w:numPr>
        <w:rPr>
          <w:sz w:val="32"/>
          <w:szCs w:val="32"/>
          <w:lang w:val="en-IN"/>
        </w:rPr>
      </w:pPr>
      <w:r w:rsidRPr="00FE5B2A">
        <w:rPr>
          <w:sz w:val="32"/>
          <w:szCs w:val="32"/>
          <w:lang w:val="en-IN"/>
        </w:rPr>
        <w:t xml:space="preserve">Harris, M., and A. Raviv, 1979, “Optimal incentive contracts with imperfect information”, Journal of Economic Theory, 21:231-259. </w:t>
      </w:r>
    </w:p>
    <w:p w:rsidR="00000000" w:rsidRPr="00FE5B2A" w:rsidRDefault="001E3C2B" w:rsidP="00FE5B2A">
      <w:pPr>
        <w:pStyle w:val="BodyText"/>
        <w:numPr>
          <w:ilvl w:val="0"/>
          <w:numId w:val="42"/>
        </w:numPr>
        <w:rPr>
          <w:sz w:val="32"/>
          <w:szCs w:val="32"/>
          <w:lang w:val="en-IN"/>
        </w:rPr>
      </w:pPr>
      <w:r w:rsidRPr="00FE5B2A">
        <w:rPr>
          <w:sz w:val="32"/>
          <w:szCs w:val="32"/>
          <w:lang w:val="en-IN"/>
        </w:rPr>
        <w:t>Jensen, M.</w:t>
      </w:r>
      <w:r w:rsidRPr="00FE5B2A">
        <w:rPr>
          <w:sz w:val="32"/>
          <w:szCs w:val="32"/>
          <w:lang w:val="en-IN"/>
        </w:rPr>
        <w:t>C.,1986, “Agency costs of free cash flow, corporate finance and takeovers”, American Economic Review, 76:323-339.</w:t>
      </w:r>
    </w:p>
    <w:p w:rsidR="00000000" w:rsidRPr="00FE5B2A" w:rsidRDefault="001E3C2B" w:rsidP="00FE5B2A">
      <w:pPr>
        <w:pStyle w:val="BodyText"/>
        <w:numPr>
          <w:ilvl w:val="0"/>
          <w:numId w:val="42"/>
        </w:numPr>
        <w:rPr>
          <w:sz w:val="32"/>
          <w:szCs w:val="32"/>
          <w:lang w:val="en-IN"/>
        </w:rPr>
      </w:pPr>
      <w:r w:rsidRPr="00FE5B2A">
        <w:rPr>
          <w:sz w:val="32"/>
          <w:szCs w:val="32"/>
          <w:lang w:val="en-IN"/>
        </w:rPr>
        <w:t xml:space="preserve">Meyer, J.R., and E. Kuh, 1957, The Investment Decision, Cambridge, Mass: Harvard University Press.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3C2B" w:rsidRDefault="001E3C2B" w:rsidP="003654DF">
      <w:pPr>
        <w:spacing w:after="0" w:line="240" w:lineRule="auto"/>
      </w:pPr>
      <w:r>
        <w:separator/>
      </w:r>
    </w:p>
  </w:endnote>
  <w:endnote w:type="continuationSeparator" w:id="1">
    <w:p w:rsidR="001E3C2B" w:rsidRDefault="001E3C2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3C2B" w:rsidRDefault="001E3C2B" w:rsidP="003654DF">
      <w:pPr>
        <w:spacing w:after="0" w:line="240" w:lineRule="auto"/>
      </w:pPr>
      <w:r>
        <w:separator/>
      </w:r>
    </w:p>
  </w:footnote>
  <w:footnote w:type="continuationSeparator" w:id="1">
    <w:p w:rsidR="001E3C2B" w:rsidRDefault="001E3C2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C4217">
        <w:pPr>
          <w:pStyle w:val="Header"/>
          <w:jc w:val="right"/>
        </w:pPr>
        <w:fldSimple w:instr=" PAGE   \* MERGEFORMAT ">
          <w:r w:rsidR="008600EC">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4248B"/>
    <w:multiLevelType w:val="hybridMultilevel"/>
    <w:tmpl w:val="1D280E24"/>
    <w:lvl w:ilvl="0" w:tplc="F8961EE2">
      <w:start w:val="1"/>
      <w:numFmt w:val="bullet"/>
      <w:lvlText w:val=""/>
      <w:lvlJc w:val="left"/>
      <w:pPr>
        <w:tabs>
          <w:tab w:val="num" w:pos="720"/>
        </w:tabs>
        <w:ind w:left="720" w:hanging="360"/>
      </w:pPr>
      <w:rPr>
        <w:rFonts w:ascii="Wingdings 2" w:hAnsi="Wingdings 2" w:hint="default"/>
      </w:rPr>
    </w:lvl>
    <w:lvl w:ilvl="1" w:tplc="09823B6A" w:tentative="1">
      <w:start w:val="1"/>
      <w:numFmt w:val="bullet"/>
      <w:lvlText w:val=""/>
      <w:lvlJc w:val="left"/>
      <w:pPr>
        <w:tabs>
          <w:tab w:val="num" w:pos="1440"/>
        </w:tabs>
        <w:ind w:left="1440" w:hanging="360"/>
      </w:pPr>
      <w:rPr>
        <w:rFonts w:ascii="Wingdings 2" w:hAnsi="Wingdings 2" w:hint="default"/>
      </w:rPr>
    </w:lvl>
    <w:lvl w:ilvl="2" w:tplc="B4663028" w:tentative="1">
      <w:start w:val="1"/>
      <w:numFmt w:val="bullet"/>
      <w:lvlText w:val=""/>
      <w:lvlJc w:val="left"/>
      <w:pPr>
        <w:tabs>
          <w:tab w:val="num" w:pos="2160"/>
        </w:tabs>
        <w:ind w:left="2160" w:hanging="360"/>
      </w:pPr>
      <w:rPr>
        <w:rFonts w:ascii="Wingdings 2" w:hAnsi="Wingdings 2" w:hint="default"/>
      </w:rPr>
    </w:lvl>
    <w:lvl w:ilvl="3" w:tplc="B7C6A1DE" w:tentative="1">
      <w:start w:val="1"/>
      <w:numFmt w:val="bullet"/>
      <w:lvlText w:val=""/>
      <w:lvlJc w:val="left"/>
      <w:pPr>
        <w:tabs>
          <w:tab w:val="num" w:pos="2880"/>
        </w:tabs>
        <w:ind w:left="2880" w:hanging="360"/>
      </w:pPr>
      <w:rPr>
        <w:rFonts w:ascii="Wingdings 2" w:hAnsi="Wingdings 2" w:hint="default"/>
      </w:rPr>
    </w:lvl>
    <w:lvl w:ilvl="4" w:tplc="74789D9C" w:tentative="1">
      <w:start w:val="1"/>
      <w:numFmt w:val="bullet"/>
      <w:lvlText w:val=""/>
      <w:lvlJc w:val="left"/>
      <w:pPr>
        <w:tabs>
          <w:tab w:val="num" w:pos="3600"/>
        </w:tabs>
        <w:ind w:left="3600" w:hanging="360"/>
      </w:pPr>
      <w:rPr>
        <w:rFonts w:ascii="Wingdings 2" w:hAnsi="Wingdings 2" w:hint="default"/>
      </w:rPr>
    </w:lvl>
    <w:lvl w:ilvl="5" w:tplc="FC46A8A2" w:tentative="1">
      <w:start w:val="1"/>
      <w:numFmt w:val="bullet"/>
      <w:lvlText w:val=""/>
      <w:lvlJc w:val="left"/>
      <w:pPr>
        <w:tabs>
          <w:tab w:val="num" w:pos="4320"/>
        </w:tabs>
        <w:ind w:left="4320" w:hanging="360"/>
      </w:pPr>
      <w:rPr>
        <w:rFonts w:ascii="Wingdings 2" w:hAnsi="Wingdings 2" w:hint="default"/>
      </w:rPr>
    </w:lvl>
    <w:lvl w:ilvl="6" w:tplc="E214A20E" w:tentative="1">
      <w:start w:val="1"/>
      <w:numFmt w:val="bullet"/>
      <w:lvlText w:val=""/>
      <w:lvlJc w:val="left"/>
      <w:pPr>
        <w:tabs>
          <w:tab w:val="num" w:pos="5040"/>
        </w:tabs>
        <w:ind w:left="5040" w:hanging="360"/>
      </w:pPr>
      <w:rPr>
        <w:rFonts w:ascii="Wingdings 2" w:hAnsi="Wingdings 2" w:hint="default"/>
      </w:rPr>
    </w:lvl>
    <w:lvl w:ilvl="7" w:tplc="93B4027E" w:tentative="1">
      <w:start w:val="1"/>
      <w:numFmt w:val="bullet"/>
      <w:lvlText w:val=""/>
      <w:lvlJc w:val="left"/>
      <w:pPr>
        <w:tabs>
          <w:tab w:val="num" w:pos="5760"/>
        </w:tabs>
        <w:ind w:left="5760" w:hanging="360"/>
      </w:pPr>
      <w:rPr>
        <w:rFonts w:ascii="Wingdings 2" w:hAnsi="Wingdings 2" w:hint="default"/>
      </w:rPr>
    </w:lvl>
    <w:lvl w:ilvl="8" w:tplc="1BC4843E"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DDA1515"/>
    <w:multiLevelType w:val="hybridMultilevel"/>
    <w:tmpl w:val="FD08D860"/>
    <w:lvl w:ilvl="0" w:tplc="90EAD7AC">
      <w:start w:val="1"/>
      <w:numFmt w:val="bullet"/>
      <w:lvlText w:val=""/>
      <w:lvlJc w:val="left"/>
      <w:pPr>
        <w:tabs>
          <w:tab w:val="num" w:pos="720"/>
        </w:tabs>
        <w:ind w:left="720" w:hanging="360"/>
      </w:pPr>
      <w:rPr>
        <w:rFonts w:ascii="Wingdings 2" w:hAnsi="Wingdings 2" w:hint="default"/>
      </w:rPr>
    </w:lvl>
    <w:lvl w:ilvl="1" w:tplc="785AAF58" w:tentative="1">
      <w:start w:val="1"/>
      <w:numFmt w:val="bullet"/>
      <w:lvlText w:val=""/>
      <w:lvlJc w:val="left"/>
      <w:pPr>
        <w:tabs>
          <w:tab w:val="num" w:pos="1440"/>
        </w:tabs>
        <w:ind w:left="1440" w:hanging="360"/>
      </w:pPr>
      <w:rPr>
        <w:rFonts w:ascii="Wingdings 2" w:hAnsi="Wingdings 2" w:hint="default"/>
      </w:rPr>
    </w:lvl>
    <w:lvl w:ilvl="2" w:tplc="5CB04058" w:tentative="1">
      <w:start w:val="1"/>
      <w:numFmt w:val="bullet"/>
      <w:lvlText w:val=""/>
      <w:lvlJc w:val="left"/>
      <w:pPr>
        <w:tabs>
          <w:tab w:val="num" w:pos="2160"/>
        </w:tabs>
        <w:ind w:left="2160" w:hanging="360"/>
      </w:pPr>
      <w:rPr>
        <w:rFonts w:ascii="Wingdings 2" w:hAnsi="Wingdings 2" w:hint="default"/>
      </w:rPr>
    </w:lvl>
    <w:lvl w:ilvl="3" w:tplc="D97624EA" w:tentative="1">
      <w:start w:val="1"/>
      <w:numFmt w:val="bullet"/>
      <w:lvlText w:val=""/>
      <w:lvlJc w:val="left"/>
      <w:pPr>
        <w:tabs>
          <w:tab w:val="num" w:pos="2880"/>
        </w:tabs>
        <w:ind w:left="2880" w:hanging="360"/>
      </w:pPr>
      <w:rPr>
        <w:rFonts w:ascii="Wingdings 2" w:hAnsi="Wingdings 2" w:hint="default"/>
      </w:rPr>
    </w:lvl>
    <w:lvl w:ilvl="4" w:tplc="A6A81214" w:tentative="1">
      <w:start w:val="1"/>
      <w:numFmt w:val="bullet"/>
      <w:lvlText w:val=""/>
      <w:lvlJc w:val="left"/>
      <w:pPr>
        <w:tabs>
          <w:tab w:val="num" w:pos="3600"/>
        </w:tabs>
        <w:ind w:left="3600" w:hanging="360"/>
      </w:pPr>
      <w:rPr>
        <w:rFonts w:ascii="Wingdings 2" w:hAnsi="Wingdings 2" w:hint="default"/>
      </w:rPr>
    </w:lvl>
    <w:lvl w:ilvl="5" w:tplc="107A77A4" w:tentative="1">
      <w:start w:val="1"/>
      <w:numFmt w:val="bullet"/>
      <w:lvlText w:val=""/>
      <w:lvlJc w:val="left"/>
      <w:pPr>
        <w:tabs>
          <w:tab w:val="num" w:pos="4320"/>
        </w:tabs>
        <w:ind w:left="4320" w:hanging="360"/>
      </w:pPr>
      <w:rPr>
        <w:rFonts w:ascii="Wingdings 2" w:hAnsi="Wingdings 2" w:hint="default"/>
      </w:rPr>
    </w:lvl>
    <w:lvl w:ilvl="6" w:tplc="5D12E35C" w:tentative="1">
      <w:start w:val="1"/>
      <w:numFmt w:val="bullet"/>
      <w:lvlText w:val=""/>
      <w:lvlJc w:val="left"/>
      <w:pPr>
        <w:tabs>
          <w:tab w:val="num" w:pos="5040"/>
        </w:tabs>
        <w:ind w:left="5040" w:hanging="360"/>
      </w:pPr>
      <w:rPr>
        <w:rFonts w:ascii="Wingdings 2" w:hAnsi="Wingdings 2" w:hint="default"/>
      </w:rPr>
    </w:lvl>
    <w:lvl w:ilvl="7" w:tplc="C9A0B296" w:tentative="1">
      <w:start w:val="1"/>
      <w:numFmt w:val="bullet"/>
      <w:lvlText w:val=""/>
      <w:lvlJc w:val="left"/>
      <w:pPr>
        <w:tabs>
          <w:tab w:val="num" w:pos="5760"/>
        </w:tabs>
        <w:ind w:left="5760" w:hanging="360"/>
      </w:pPr>
      <w:rPr>
        <w:rFonts w:ascii="Wingdings 2" w:hAnsi="Wingdings 2" w:hint="default"/>
      </w:rPr>
    </w:lvl>
    <w:lvl w:ilvl="8" w:tplc="D7B4A8AA" w:tentative="1">
      <w:start w:val="1"/>
      <w:numFmt w:val="bullet"/>
      <w:lvlText w:val=""/>
      <w:lvlJc w:val="left"/>
      <w:pPr>
        <w:tabs>
          <w:tab w:val="num" w:pos="6480"/>
        </w:tabs>
        <w:ind w:left="6480" w:hanging="360"/>
      </w:pPr>
      <w:rPr>
        <w:rFonts w:ascii="Wingdings 2" w:hAnsi="Wingdings 2"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E86099"/>
    <w:multiLevelType w:val="hybridMultilevel"/>
    <w:tmpl w:val="449A371E"/>
    <w:lvl w:ilvl="0" w:tplc="0CD6CA7A">
      <w:start w:val="1"/>
      <w:numFmt w:val="bullet"/>
      <w:lvlText w:val=""/>
      <w:lvlJc w:val="left"/>
      <w:pPr>
        <w:tabs>
          <w:tab w:val="num" w:pos="720"/>
        </w:tabs>
        <w:ind w:left="720" w:hanging="360"/>
      </w:pPr>
      <w:rPr>
        <w:rFonts w:ascii="Wingdings 2" w:hAnsi="Wingdings 2" w:hint="default"/>
      </w:rPr>
    </w:lvl>
    <w:lvl w:ilvl="1" w:tplc="3FA87038" w:tentative="1">
      <w:start w:val="1"/>
      <w:numFmt w:val="bullet"/>
      <w:lvlText w:val=""/>
      <w:lvlJc w:val="left"/>
      <w:pPr>
        <w:tabs>
          <w:tab w:val="num" w:pos="1440"/>
        </w:tabs>
        <w:ind w:left="1440" w:hanging="360"/>
      </w:pPr>
      <w:rPr>
        <w:rFonts w:ascii="Wingdings 2" w:hAnsi="Wingdings 2" w:hint="default"/>
      </w:rPr>
    </w:lvl>
    <w:lvl w:ilvl="2" w:tplc="99B4FF6A" w:tentative="1">
      <w:start w:val="1"/>
      <w:numFmt w:val="bullet"/>
      <w:lvlText w:val=""/>
      <w:lvlJc w:val="left"/>
      <w:pPr>
        <w:tabs>
          <w:tab w:val="num" w:pos="2160"/>
        </w:tabs>
        <w:ind w:left="2160" w:hanging="360"/>
      </w:pPr>
      <w:rPr>
        <w:rFonts w:ascii="Wingdings 2" w:hAnsi="Wingdings 2" w:hint="default"/>
      </w:rPr>
    </w:lvl>
    <w:lvl w:ilvl="3" w:tplc="0D4C9B18" w:tentative="1">
      <w:start w:val="1"/>
      <w:numFmt w:val="bullet"/>
      <w:lvlText w:val=""/>
      <w:lvlJc w:val="left"/>
      <w:pPr>
        <w:tabs>
          <w:tab w:val="num" w:pos="2880"/>
        </w:tabs>
        <w:ind w:left="2880" w:hanging="360"/>
      </w:pPr>
      <w:rPr>
        <w:rFonts w:ascii="Wingdings 2" w:hAnsi="Wingdings 2" w:hint="default"/>
      </w:rPr>
    </w:lvl>
    <w:lvl w:ilvl="4" w:tplc="55A65818" w:tentative="1">
      <w:start w:val="1"/>
      <w:numFmt w:val="bullet"/>
      <w:lvlText w:val=""/>
      <w:lvlJc w:val="left"/>
      <w:pPr>
        <w:tabs>
          <w:tab w:val="num" w:pos="3600"/>
        </w:tabs>
        <w:ind w:left="3600" w:hanging="360"/>
      </w:pPr>
      <w:rPr>
        <w:rFonts w:ascii="Wingdings 2" w:hAnsi="Wingdings 2" w:hint="default"/>
      </w:rPr>
    </w:lvl>
    <w:lvl w:ilvl="5" w:tplc="E1B0A6B0" w:tentative="1">
      <w:start w:val="1"/>
      <w:numFmt w:val="bullet"/>
      <w:lvlText w:val=""/>
      <w:lvlJc w:val="left"/>
      <w:pPr>
        <w:tabs>
          <w:tab w:val="num" w:pos="4320"/>
        </w:tabs>
        <w:ind w:left="4320" w:hanging="360"/>
      </w:pPr>
      <w:rPr>
        <w:rFonts w:ascii="Wingdings 2" w:hAnsi="Wingdings 2" w:hint="default"/>
      </w:rPr>
    </w:lvl>
    <w:lvl w:ilvl="6" w:tplc="1688E1DE" w:tentative="1">
      <w:start w:val="1"/>
      <w:numFmt w:val="bullet"/>
      <w:lvlText w:val=""/>
      <w:lvlJc w:val="left"/>
      <w:pPr>
        <w:tabs>
          <w:tab w:val="num" w:pos="5040"/>
        </w:tabs>
        <w:ind w:left="5040" w:hanging="360"/>
      </w:pPr>
      <w:rPr>
        <w:rFonts w:ascii="Wingdings 2" w:hAnsi="Wingdings 2" w:hint="default"/>
      </w:rPr>
    </w:lvl>
    <w:lvl w:ilvl="7" w:tplc="8754167C" w:tentative="1">
      <w:start w:val="1"/>
      <w:numFmt w:val="bullet"/>
      <w:lvlText w:val=""/>
      <w:lvlJc w:val="left"/>
      <w:pPr>
        <w:tabs>
          <w:tab w:val="num" w:pos="5760"/>
        </w:tabs>
        <w:ind w:left="5760" w:hanging="360"/>
      </w:pPr>
      <w:rPr>
        <w:rFonts w:ascii="Wingdings 2" w:hAnsi="Wingdings 2" w:hint="default"/>
      </w:rPr>
    </w:lvl>
    <w:lvl w:ilvl="8" w:tplc="D94CEE74" w:tentative="1">
      <w:start w:val="1"/>
      <w:numFmt w:val="bullet"/>
      <w:lvlText w:val=""/>
      <w:lvlJc w:val="left"/>
      <w:pPr>
        <w:tabs>
          <w:tab w:val="num" w:pos="6480"/>
        </w:tabs>
        <w:ind w:left="6480" w:hanging="360"/>
      </w:pPr>
      <w:rPr>
        <w:rFonts w:ascii="Wingdings 2" w:hAnsi="Wingdings 2"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D1B7FC1"/>
    <w:multiLevelType w:val="hybridMultilevel"/>
    <w:tmpl w:val="C1F8F76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7524AEB"/>
    <w:multiLevelType w:val="hybridMultilevel"/>
    <w:tmpl w:val="9D7ACCAC"/>
    <w:lvl w:ilvl="0" w:tplc="7A5CA34A">
      <w:start w:val="1"/>
      <w:numFmt w:val="bullet"/>
      <w:lvlText w:val=""/>
      <w:lvlJc w:val="left"/>
      <w:pPr>
        <w:tabs>
          <w:tab w:val="num" w:pos="720"/>
        </w:tabs>
        <w:ind w:left="720" w:hanging="360"/>
      </w:pPr>
      <w:rPr>
        <w:rFonts w:ascii="Wingdings 2" w:hAnsi="Wingdings 2" w:hint="default"/>
      </w:rPr>
    </w:lvl>
    <w:lvl w:ilvl="1" w:tplc="CC40508C" w:tentative="1">
      <w:start w:val="1"/>
      <w:numFmt w:val="bullet"/>
      <w:lvlText w:val=""/>
      <w:lvlJc w:val="left"/>
      <w:pPr>
        <w:tabs>
          <w:tab w:val="num" w:pos="1440"/>
        </w:tabs>
        <w:ind w:left="1440" w:hanging="360"/>
      </w:pPr>
      <w:rPr>
        <w:rFonts w:ascii="Wingdings 2" w:hAnsi="Wingdings 2" w:hint="default"/>
      </w:rPr>
    </w:lvl>
    <w:lvl w:ilvl="2" w:tplc="6DD05EE8" w:tentative="1">
      <w:start w:val="1"/>
      <w:numFmt w:val="bullet"/>
      <w:lvlText w:val=""/>
      <w:lvlJc w:val="left"/>
      <w:pPr>
        <w:tabs>
          <w:tab w:val="num" w:pos="2160"/>
        </w:tabs>
        <w:ind w:left="2160" w:hanging="360"/>
      </w:pPr>
      <w:rPr>
        <w:rFonts w:ascii="Wingdings 2" w:hAnsi="Wingdings 2" w:hint="default"/>
      </w:rPr>
    </w:lvl>
    <w:lvl w:ilvl="3" w:tplc="66DC8190" w:tentative="1">
      <w:start w:val="1"/>
      <w:numFmt w:val="bullet"/>
      <w:lvlText w:val=""/>
      <w:lvlJc w:val="left"/>
      <w:pPr>
        <w:tabs>
          <w:tab w:val="num" w:pos="2880"/>
        </w:tabs>
        <w:ind w:left="2880" w:hanging="360"/>
      </w:pPr>
      <w:rPr>
        <w:rFonts w:ascii="Wingdings 2" w:hAnsi="Wingdings 2" w:hint="default"/>
      </w:rPr>
    </w:lvl>
    <w:lvl w:ilvl="4" w:tplc="FB64D59A" w:tentative="1">
      <w:start w:val="1"/>
      <w:numFmt w:val="bullet"/>
      <w:lvlText w:val=""/>
      <w:lvlJc w:val="left"/>
      <w:pPr>
        <w:tabs>
          <w:tab w:val="num" w:pos="3600"/>
        </w:tabs>
        <w:ind w:left="3600" w:hanging="360"/>
      </w:pPr>
      <w:rPr>
        <w:rFonts w:ascii="Wingdings 2" w:hAnsi="Wingdings 2" w:hint="default"/>
      </w:rPr>
    </w:lvl>
    <w:lvl w:ilvl="5" w:tplc="0CEC1524" w:tentative="1">
      <w:start w:val="1"/>
      <w:numFmt w:val="bullet"/>
      <w:lvlText w:val=""/>
      <w:lvlJc w:val="left"/>
      <w:pPr>
        <w:tabs>
          <w:tab w:val="num" w:pos="4320"/>
        </w:tabs>
        <w:ind w:left="4320" w:hanging="360"/>
      </w:pPr>
      <w:rPr>
        <w:rFonts w:ascii="Wingdings 2" w:hAnsi="Wingdings 2" w:hint="default"/>
      </w:rPr>
    </w:lvl>
    <w:lvl w:ilvl="6" w:tplc="893EA5A4" w:tentative="1">
      <w:start w:val="1"/>
      <w:numFmt w:val="bullet"/>
      <w:lvlText w:val=""/>
      <w:lvlJc w:val="left"/>
      <w:pPr>
        <w:tabs>
          <w:tab w:val="num" w:pos="5040"/>
        </w:tabs>
        <w:ind w:left="5040" w:hanging="360"/>
      </w:pPr>
      <w:rPr>
        <w:rFonts w:ascii="Wingdings 2" w:hAnsi="Wingdings 2" w:hint="default"/>
      </w:rPr>
    </w:lvl>
    <w:lvl w:ilvl="7" w:tplc="FCA85A3E" w:tentative="1">
      <w:start w:val="1"/>
      <w:numFmt w:val="bullet"/>
      <w:lvlText w:val=""/>
      <w:lvlJc w:val="left"/>
      <w:pPr>
        <w:tabs>
          <w:tab w:val="num" w:pos="5760"/>
        </w:tabs>
        <w:ind w:left="5760" w:hanging="360"/>
      </w:pPr>
      <w:rPr>
        <w:rFonts w:ascii="Wingdings 2" w:hAnsi="Wingdings 2" w:hint="default"/>
      </w:rPr>
    </w:lvl>
    <w:lvl w:ilvl="8" w:tplc="5CA80A58"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BD7D3A"/>
    <w:multiLevelType w:val="hybridMultilevel"/>
    <w:tmpl w:val="BEB82D60"/>
    <w:lvl w:ilvl="0" w:tplc="1C4A906C">
      <w:start w:val="1"/>
      <w:numFmt w:val="bullet"/>
      <w:lvlText w:val=""/>
      <w:lvlJc w:val="left"/>
      <w:pPr>
        <w:tabs>
          <w:tab w:val="num" w:pos="720"/>
        </w:tabs>
        <w:ind w:left="720" w:hanging="360"/>
      </w:pPr>
      <w:rPr>
        <w:rFonts w:ascii="Wingdings 2" w:hAnsi="Wingdings 2" w:hint="default"/>
      </w:rPr>
    </w:lvl>
    <w:lvl w:ilvl="1" w:tplc="261A16D2" w:tentative="1">
      <w:start w:val="1"/>
      <w:numFmt w:val="bullet"/>
      <w:lvlText w:val=""/>
      <w:lvlJc w:val="left"/>
      <w:pPr>
        <w:tabs>
          <w:tab w:val="num" w:pos="1440"/>
        </w:tabs>
        <w:ind w:left="1440" w:hanging="360"/>
      </w:pPr>
      <w:rPr>
        <w:rFonts w:ascii="Wingdings 2" w:hAnsi="Wingdings 2" w:hint="default"/>
      </w:rPr>
    </w:lvl>
    <w:lvl w:ilvl="2" w:tplc="E250C0C4" w:tentative="1">
      <w:start w:val="1"/>
      <w:numFmt w:val="bullet"/>
      <w:lvlText w:val=""/>
      <w:lvlJc w:val="left"/>
      <w:pPr>
        <w:tabs>
          <w:tab w:val="num" w:pos="2160"/>
        </w:tabs>
        <w:ind w:left="2160" w:hanging="360"/>
      </w:pPr>
      <w:rPr>
        <w:rFonts w:ascii="Wingdings 2" w:hAnsi="Wingdings 2" w:hint="default"/>
      </w:rPr>
    </w:lvl>
    <w:lvl w:ilvl="3" w:tplc="A7340970" w:tentative="1">
      <w:start w:val="1"/>
      <w:numFmt w:val="bullet"/>
      <w:lvlText w:val=""/>
      <w:lvlJc w:val="left"/>
      <w:pPr>
        <w:tabs>
          <w:tab w:val="num" w:pos="2880"/>
        </w:tabs>
        <w:ind w:left="2880" w:hanging="360"/>
      </w:pPr>
      <w:rPr>
        <w:rFonts w:ascii="Wingdings 2" w:hAnsi="Wingdings 2" w:hint="default"/>
      </w:rPr>
    </w:lvl>
    <w:lvl w:ilvl="4" w:tplc="629E9D48" w:tentative="1">
      <w:start w:val="1"/>
      <w:numFmt w:val="bullet"/>
      <w:lvlText w:val=""/>
      <w:lvlJc w:val="left"/>
      <w:pPr>
        <w:tabs>
          <w:tab w:val="num" w:pos="3600"/>
        </w:tabs>
        <w:ind w:left="3600" w:hanging="360"/>
      </w:pPr>
      <w:rPr>
        <w:rFonts w:ascii="Wingdings 2" w:hAnsi="Wingdings 2" w:hint="default"/>
      </w:rPr>
    </w:lvl>
    <w:lvl w:ilvl="5" w:tplc="72628B14" w:tentative="1">
      <w:start w:val="1"/>
      <w:numFmt w:val="bullet"/>
      <w:lvlText w:val=""/>
      <w:lvlJc w:val="left"/>
      <w:pPr>
        <w:tabs>
          <w:tab w:val="num" w:pos="4320"/>
        </w:tabs>
        <w:ind w:left="4320" w:hanging="360"/>
      </w:pPr>
      <w:rPr>
        <w:rFonts w:ascii="Wingdings 2" w:hAnsi="Wingdings 2" w:hint="default"/>
      </w:rPr>
    </w:lvl>
    <w:lvl w:ilvl="6" w:tplc="16E23548" w:tentative="1">
      <w:start w:val="1"/>
      <w:numFmt w:val="bullet"/>
      <w:lvlText w:val=""/>
      <w:lvlJc w:val="left"/>
      <w:pPr>
        <w:tabs>
          <w:tab w:val="num" w:pos="5040"/>
        </w:tabs>
        <w:ind w:left="5040" w:hanging="360"/>
      </w:pPr>
      <w:rPr>
        <w:rFonts w:ascii="Wingdings 2" w:hAnsi="Wingdings 2" w:hint="default"/>
      </w:rPr>
    </w:lvl>
    <w:lvl w:ilvl="7" w:tplc="7C8A37FC" w:tentative="1">
      <w:start w:val="1"/>
      <w:numFmt w:val="bullet"/>
      <w:lvlText w:val=""/>
      <w:lvlJc w:val="left"/>
      <w:pPr>
        <w:tabs>
          <w:tab w:val="num" w:pos="5760"/>
        </w:tabs>
        <w:ind w:left="5760" w:hanging="360"/>
      </w:pPr>
      <w:rPr>
        <w:rFonts w:ascii="Wingdings 2" w:hAnsi="Wingdings 2" w:hint="default"/>
      </w:rPr>
    </w:lvl>
    <w:lvl w:ilvl="8" w:tplc="263A0824"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2"/>
  </w:num>
  <w:num w:numId="11">
    <w:abstractNumId w:val="11"/>
  </w:num>
  <w:num w:numId="12">
    <w:abstractNumId w:val="34"/>
  </w:num>
  <w:num w:numId="13">
    <w:abstractNumId w:val="40"/>
  </w:num>
  <w:num w:numId="14">
    <w:abstractNumId w:val="44"/>
  </w:num>
  <w:num w:numId="15">
    <w:abstractNumId w:val="36"/>
  </w:num>
  <w:num w:numId="16">
    <w:abstractNumId w:val="33"/>
  </w:num>
  <w:num w:numId="17">
    <w:abstractNumId w:val="9"/>
  </w:num>
  <w:num w:numId="18">
    <w:abstractNumId w:val="35"/>
  </w:num>
  <w:num w:numId="19">
    <w:abstractNumId w:val="26"/>
  </w:num>
  <w:num w:numId="20">
    <w:abstractNumId w:val="8"/>
  </w:num>
  <w:num w:numId="21">
    <w:abstractNumId w:val="46"/>
  </w:num>
  <w:num w:numId="22">
    <w:abstractNumId w:val="20"/>
  </w:num>
  <w:num w:numId="23">
    <w:abstractNumId w:val="41"/>
  </w:num>
  <w:num w:numId="24">
    <w:abstractNumId w:val="43"/>
  </w:num>
  <w:num w:numId="25">
    <w:abstractNumId w:val="31"/>
  </w:num>
  <w:num w:numId="26">
    <w:abstractNumId w:val="18"/>
  </w:num>
  <w:num w:numId="27">
    <w:abstractNumId w:val="4"/>
  </w:num>
  <w:num w:numId="28">
    <w:abstractNumId w:val="12"/>
  </w:num>
  <w:num w:numId="29">
    <w:abstractNumId w:val="32"/>
  </w:num>
  <w:num w:numId="30">
    <w:abstractNumId w:val="38"/>
  </w:num>
  <w:num w:numId="31">
    <w:abstractNumId w:val="29"/>
  </w:num>
  <w:num w:numId="32">
    <w:abstractNumId w:val="3"/>
  </w:num>
  <w:num w:numId="33">
    <w:abstractNumId w:val="28"/>
  </w:num>
  <w:num w:numId="34">
    <w:abstractNumId w:val="23"/>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4"/>
  </w:num>
  <w:num w:numId="42">
    <w:abstractNumId w:val="45"/>
  </w:num>
  <w:num w:numId="43">
    <w:abstractNumId w:val="42"/>
  </w:num>
  <w:num w:numId="44">
    <w:abstractNumId w:val="5"/>
  </w:num>
  <w:num w:numId="45">
    <w:abstractNumId w:val="0"/>
  </w:num>
  <w:num w:numId="46">
    <w:abstractNumId w:val="25"/>
  </w:num>
  <w:num w:numId="47">
    <w:abstractNumId w:val="1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08F6"/>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E3C2B"/>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67BC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B6CD4"/>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26E8"/>
    <w:rsid w:val="006F3060"/>
    <w:rsid w:val="006F4C0E"/>
    <w:rsid w:val="006F7460"/>
    <w:rsid w:val="00700968"/>
    <w:rsid w:val="00701318"/>
    <w:rsid w:val="0070207E"/>
    <w:rsid w:val="007026B1"/>
    <w:rsid w:val="00702B5F"/>
    <w:rsid w:val="00702F59"/>
    <w:rsid w:val="0070347C"/>
    <w:rsid w:val="007046A8"/>
    <w:rsid w:val="007047A6"/>
    <w:rsid w:val="0070755B"/>
    <w:rsid w:val="00707BB5"/>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00EC"/>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7AF"/>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4217"/>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2C1C"/>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5B2A"/>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0040100">
      <w:bodyDiv w:val="1"/>
      <w:marLeft w:val="0"/>
      <w:marRight w:val="0"/>
      <w:marTop w:val="0"/>
      <w:marBottom w:val="0"/>
      <w:divBdr>
        <w:top w:val="none" w:sz="0" w:space="0" w:color="auto"/>
        <w:left w:val="none" w:sz="0" w:space="0" w:color="auto"/>
        <w:bottom w:val="none" w:sz="0" w:space="0" w:color="auto"/>
        <w:right w:val="none" w:sz="0" w:space="0" w:color="auto"/>
      </w:divBdr>
      <w:divsChild>
        <w:div w:id="1738088152">
          <w:marLeft w:val="576"/>
          <w:marRight w:val="0"/>
          <w:marTop w:val="120"/>
          <w:marBottom w:val="0"/>
          <w:divBdr>
            <w:top w:val="none" w:sz="0" w:space="0" w:color="auto"/>
            <w:left w:val="none" w:sz="0" w:space="0" w:color="auto"/>
            <w:bottom w:val="none" w:sz="0" w:space="0" w:color="auto"/>
            <w:right w:val="none" w:sz="0" w:space="0" w:color="auto"/>
          </w:divBdr>
        </w:div>
        <w:div w:id="1613900047">
          <w:marLeft w:val="576"/>
          <w:marRight w:val="0"/>
          <w:marTop w:val="120"/>
          <w:marBottom w:val="0"/>
          <w:divBdr>
            <w:top w:val="none" w:sz="0" w:space="0" w:color="auto"/>
            <w:left w:val="none" w:sz="0" w:space="0" w:color="auto"/>
            <w:bottom w:val="none" w:sz="0" w:space="0" w:color="auto"/>
            <w:right w:val="none" w:sz="0" w:space="0" w:color="auto"/>
          </w:divBdr>
        </w:div>
        <w:div w:id="816412659">
          <w:marLeft w:val="576"/>
          <w:marRight w:val="0"/>
          <w:marTop w:val="120"/>
          <w:marBottom w:val="0"/>
          <w:divBdr>
            <w:top w:val="none" w:sz="0" w:space="0" w:color="auto"/>
            <w:left w:val="none" w:sz="0" w:space="0" w:color="auto"/>
            <w:bottom w:val="none" w:sz="0" w:space="0" w:color="auto"/>
            <w:right w:val="none" w:sz="0" w:space="0" w:color="auto"/>
          </w:divBdr>
        </w:div>
        <w:div w:id="1093161103">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1032887">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6273992">
      <w:bodyDiv w:val="1"/>
      <w:marLeft w:val="0"/>
      <w:marRight w:val="0"/>
      <w:marTop w:val="0"/>
      <w:marBottom w:val="0"/>
      <w:divBdr>
        <w:top w:val="none" w:sz="0" w:space="0" w:color="auto"/>
        <w:left w:val="none" w:sz="0" w:space="0" w:color="auto"/>
        <w:bottom w:val="none" w:sz="0" w:space="0" w:color="auto"/>
        <w:right w:val="none" w:sz="0" w:space="0" w:color="auto"/>
      </w:divBdr>
      <w:divsChild>
        <w:div w:id="341929817">
          <w:marLeft w:val="576"/>
          <w:marRight w:val="0"/>
          <w:marTop w:val="120"/>
          <w:marBottom w:val="0"/>
          <w:divBdr>
            <w:top w:val="none" w:sz="0" w:space="0" w:color="auto"/>
            <w:left w:val="none" w:sz="0" w:space="0" w:color="auto"/>
            <w:bottom w:val="none" w:sz="0" w:space="0" w:color="auto"/>
            <w:right w:val="none" w:sz="0" w:space="0" w:color="auto"/>
          </w:divBdr>
        </w:div>
        <w:div w:id="1456679163">
          <w:marLeft w:val="576"/>
          <w:marRight w:val="0"/>
          <w:marTop w:val="120"/>
          <w:marBottom w:val="0"/>
          <w:divBdr>
            <w:top w:val="none" w:sz="0" w:space="0" w:color="auto"/>
            <w:left w:val="none" w:sz="0" w:space="0" w:color="auto"/>
            <w:bottom w:val="none" w:sz="0" w:space="0" w:color="auto"/>
            <w:right w:val="none" w:sz="0" w:space="0" w:color="auto"/>
          </w:divBdr>
        </w:div>
        <w:div w:id="738020833">
          <w:marLeft w:val="576"/>
          <w:marRight w:val="0"/>
          <w:marTop w:val="120"/>
          <w:marBottom w:val="0"/>
          <w:divBdr>
            <w:top w:val="none" w:sz="0" w:space="0" w:color="auto"/>
            <w:left w:val="none" w:sz="0" w:space="0" w:color="auto"/>
            <w:bottom w:val="none" w:sz="0" w:space="0" w:color="auto"/>
            <w:right w:val="none" w:sz="0" w:space="0" w:color="auto"/>
          </w:divBdr>
        </w:div>
        <w:div w:id="1390960264">
          <w:marLeft w:val="576"/>
          <w:marRight w:val="0"/>
          <w:marTop w:val="120"/>
          <w:marBottom w:val="0"/>
          <w:divBdr>
            <w:top w:val="none" w:sz="0" w:space="0" w:color="auto"/>
            <w:left w:val="none" w:sz="0" w:space="0" w:color="auto"/>
            <w:bottom w:val="none" w:sz="0" w:space="0" w:color="auto"/>
            <w:right w:val="none" w:sz="0" w:space="0" w:color="auto"/>
          </w:divBdr>
        </w:div>
        <w:div w:id="469253469">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9877675">
      <w:bodyDiv w:val="1"/>
      <w:marLeft w:val="0"/>
      <w:marRight w:val="0"/>
      <w:marTop w:val="0"/>
      <w:marBottom w:val="0"/>
      <w:divBdr>
        <w:top w:val="none" w:sz="0" w:space="0" w:color="auto"/>
        <w:left w:val="none" w:sz="0" w:space="0" w:color="auto"/>
        <w:bottom w:val="none" w:sz="0" w:space="0" w:color="auto"/>
        <w:right w:val="none" w:sz="0" w:space="0" w:color="auto"/>
      </w:divBdr>
      <w:divsChild>
        <w:div w:id="1866479550">
          <w:marLeft w:val="576"/>
          <w:marRight w:val="0"/>
          <w:marTop w:val="120"/>
          <w:marBottom w:val="0"/>
          <w:divBdr>
            <w:top w:val="none" w:sz="0" w:space="0" w:color="auto"/>
            <w:left w:val="none" w:sz="0" w:space="0" w:color="auto"/>
            <w:bottom w:val="none" w:sz="0" w:space="0" w:color="auto"/>
            <w:right w:val="none" w:sz="0" w:space="0" w:color="auto"/>
          </w:divBdr>
        </w:div>
        <w:div w:id="19936856">
          <w:marLeft w:val="576"/>
          <w:marRight w:val="0"/>
          <w:marTop w:val="120"/>
          <w:marBottom w:val="0"/>
          <w:divBdr>
            <w:top w:val="none" w:sz="0" w:space="0" w:color="auto"/>
            <w:left w:val="none" w:sz="0" w:space="0" w:color="auto"/>
            <w:bottom w:val="none" w:sz="0" w:space="0" w:color="auto"/>
            <w:right w:val="none" w:sz="0" w:space="0" w:color="auto"/>
          </w:divBdr>
        </w:div>
        <w:div w:id="1728334037">
          <w:marLeft w:val="576"/>
          <w:marRight w:val="0"/>
          <w:marTop w:val="120"/>
          <w:marBottom w:val="0"/>
          <w:divBdr>
            <w:top w:val="none" w:sz="0" w:space="0" w:color="auto"/>
            <w:left w:val="none" w:sz="0" w:space="0" w:color="auto"/>
            <w:bottom w:val="none" w:sz="0" w:space="0" w:color="auto"/>
            <w:right w:val="none" w:sz="0" w:space="0" w:color="auto"/>
          </w:divBdr>
        </w:div>
        <w:div w:id="768547393">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8900819">
      <w:bodyDiv w:val="1"/>
      <w:marLeft w:val="0"/>
      <w:marRight w:val="0"/>
      <w:marTop w:val="0"/>
      <w:marBottom w:val="0"/>
      <w:divBdr>
        <w:top w:val="none" w:sz="0" w:space="0" w:color="auto"/>
        <w:left w:val="none" w:sz="0" w:space="0" w:color="auto"/>
        <w:bottom w:val="none" w:sz="0" w:space="0" w:color="auto"/>
        <w:right w:val="none" w:sz="0" w:space="0" w:color="auto"/>
      </w:divBdr>
      <w:divsChild>
        <w:div w:id="2044478995">
          <w:marLeft w:val="576"/>
          <w:marRight w:val="0"/>
          <w:marTop w:val="120"/>
          <w:marBottom w:val="0"/>
          <w:divBdr>
            <w:top w:val="none" w:sz="0" w:space="0" w:color="auto"/>
            <w:left w:val="none" w:sz="0" w:space="0" w:color="auto"/>
            <w:bottom w:val="none" w:sz="0" w:space="0" w:color="auto"/>
            <w:right w:val="none" w:sz="0" w:space="0" w:color="auto"/>
          </w:divBdr>
        </w:div>
        <w:div w:id="1799563439">
          <w:marLeft w:val="576"/>
          <w:marRight w:val="0"/>
          <w:marTop w:val="120"/>
          <w:marBottom w:val="0"/>
          <w:divBdr>
            <w:top w:val="none" w:sz="0" w:space="0" w:color="auto"/>
            <w:left w:val="none" w:sz="0" w:space="0" w:color="auto"/>
            <w:bottom w:val="none" w:sz="0" w:space="0" w:color="auto"/>
            <w:right w:val="none" w:sz="0" w:space="0" w:color="auto"/>
          </w:divBdr>
        </w:div>
        <w:div w:id="1189181979">
          <w:marLeft w:val="576"/>
          <w:marRight w:val="0"/>
          <w:marTop w:val="120"/>
          <w:marBottom w:val="0"/>
          <w:divBdr>
            <w:top w:val="none" w:sz="0" w:space="0" w:color="auto"/>
            <w:left w:val="none" w:sz="0" w:space="0" w:color="auto"/>
            <w:bottom w:val="none" w:sz="0" w:space="0" w:color="auto"/>
            <w:right w:val="none" w:sz="0" w:space="0" w:color="auto"/>
          </w:divBdr>
        </w:div>
        <w:div w:id="29853550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1229089">
      <w:bodyDiv w:val="1"/>
      <w:marLeft w:val="0"/>
      <w:marRight w:val="0"/>
      <w:marTop w:val="0"/>
      <w:marBottom w:val="0"/>
      <w:divBdr>
        <w:top w:val="none" w:sz="0" w:space="0" w:color="auto"/>
        <w:left w:val="none" w:sz="0" w:space="0" w:color="auto"/>
        <w:bottom w:val="none" w:sz="0" w:space="0" w:color="auto"/>
        <w:right w:val="none" w:sz="0" w:space="0" w:color="auto"/>
      </w:divBdr>
      <w:divsChild>
        <w:div w:id="912202613">
          <w:marLeft w:val="576"/>
          <w:marRight w:val="0"/>
          <w:marTop w:val="120"/>
          <w:marBottom w:val="0"/>
          <w:divBdr>
            <w:top w:val="none" w:sz="0" w:space="0" w:color="auto"/>
            <w:left w:val="none" w:sz="0" w:space="0" w:color="auto"/>
            <w:bottom w:val="none" w:sz="0" w:space="0" w:color="auto"/>
            <w:right w:val="none" w:sz="0" w:space="0" w:color="auto"/>
          </w:divBdr>
        </w:div>
        <w:div w:id="1934043719">
          <w:marLeft w:val="576"/>
          <w:marRight w:val="0"/>
          <w:marTop w:val="120"/>
          <w:marBottom w:val="0"/>
          <w:divBdr>
            <w:top w:val="none" w:sz="0" w:space="0" w:color="auto"/>
            <w:left w:val="none" w:sz="0" w:space="0" w:color="auto"/>
            <w:bottom w:val="none" w:sz="0" w:space="0" w:color="auto"/>
            <w:right w:val="none" w:sz="0" w:space="0" w:color="auto"/>
          </w:divBdr>
        </w:div>
        <w:div w:id="1865317125">
          <w:marLeft w:val="576"/>
          <w:marRight w:val="0"/>
          <w:marTop w:val="120"/>
          <w:marBottom w:val="0"/>
          <w:divBdr>
            <w:top w:val="none" w:sz="0" w:space="0" w:color="auto"/>
            <w:left w:val="none" w:sz="0" w:space="0" w:color="auto"/>
            <w:bottom w:val="none" w:sz="0" w:space="0" w:color="auto"/>
            <w:right w:val="none" w:sz="0" w:space="0" w:color="auto"/>
          </w:divBdr>
        </w:div>
        <w:div w:id="328018626">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2741307">
      <w:bodyDiv w:val="1"/>
      <w:marLeft w:val="0"/>
      <w:marRight w:val="0"/>
      <w:marTop w:val="0"/>
      <w:marBottom w:val="0"/>
      <w:divBdr>
        <w:top w:val="none" w:sz="0" w:space="0" w:color="auto"/>
        <w:left w:val="none" w:sz="0" w:space="0" w:color="auto"/>
        <w:bottom w:val="none" w:sz="0" w:space="0" w:color="auto"/>
        <w:right w:val="none" w:sz="0" w:space="0" w:color="auto"/>
      </w:divBdr>
      <w:divsChild>
        <w:div w:id="2102068322">
          <w:marLeft w:val="576"/>
          <w:marRight w:val="0"/>
          <w:marTop w:val="120"/>
          <w:marBottom w:val="0"/>
          <w:divBdr>
            <w:top w:val="none" w:sz="0" w:space="0" w:color="auto"/>
            <w:left w:val="none" w:sz="0" w:space="0" w:color="auto"/>
            <w:bottom w:val="none" w:sz="0" w:space="0" w:color="auto"/>
            <w:right w:val="none" w:sz="0" w:space="0" w:color="auto"/>
          </w:divBdr>
        </w:div>
        <w:div w:id="455873512">
          <w:marLeft w:val="576"/>
          <w:marRight w:val="0"/>
          <w:marTop w:val="120"/>
          <w:marBottom w:val="0"/>
          <w:divBdr>
            <w:top w:val="none" w:sz="0" w:space="0" w:color="auto"/>
            <w:left w:val="none" w:sz="0" w:space="0" w:color="auto"/>
            <w:bottom w:val="none" w:sz="0" w:space="0" w:color="auto"/>
            <w:right w:val="none" w:sz="0" w:space="0" w:color="auto"/>
          </w:divBdr>
        </w:div>
        <w:div w:id="1195576789">
          <w:marLeft w:val="576"/>
          <w:marRight w:val="0"/>
          <w:marTop w:val="120"/>
          <w:marBottom w:val="0"/>
          <w:divBdr>
            <w:top w:val="none" w:sz="0" w:space="0" w:color="auto"/>
            <w:left w:val="none" w:sz="0" w:space="0" w:color="auto"/>
            <w:bottom w:val="none" w:sz="0" w:space="0" w:color="auto"/>
            <w:right w:val="none" w:sz="0" w:space="0" w:color="auto"/>
          </w:divBdr>
        </w:div>
        <w:div w:id="582447849">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8767705">
      <w:bodyDiv w:val="1"/>
      <w:marLeft w:val="0"/>
      <w:marRight w:val="0"/>
      <w:marTop w:val="0"/>
      <w:marBottom w:val="0"/>
      <w:divBdr>
        <w:top w:val="none" w:sz="0" w:space="0" w:color="auto"/>
        <w:left w:val="none" w:sz="0" w:space="0" w:color="auto"/>
        <w:bottom w:val="none" w:sz="0" w:space="0" w:color="auto"/>
        <w:right w:val="none" w:sz="0" w:space="0" w:color="auto"/>
      </w:divBdr>
      <w:divsChild>
        <w:div w:id="1634630092">
          <w:marLeft w:val="576"/>
          <w:marRight w:val="0"/>
          <w:marTop w:val="120"/>
          <w:marBottom w:val="0"/>
          <w:divBdr>
            <w:top w:val="none" w:sz="0" w:space="0" w:color="auto"/>
            <w:left w:val="none" w:sz="0" w:space="0" w:color="auto"/>
            <w:bottom w:val="none" w:sz="0" w:space="0" w:color="auto"/>
            <w:right w:val="none" w:sz="0" w:space="0" w:color="auto"/>
          </w:divBdr>
        </w:div>
        <w:div w:id="782267981">
          <w:marLeft w:val="576"/>
          <w:marRight w:val="0"/>
          <w:marTop w:val="120"/>
          <w:marBottom w:val="0"/>
          <w:divBdr>
            <w:top w:val="none" w:sz="0" w:space="0" w:color="auto"/>
            <w:left w:val="none" w:sz="0" w:space="0" w:color="auto"/>
            <w:bottom w:val="none" w:sz="0" w:space="0" w:color="auto"/>
            <w:right w:val="none" w:sz="0" w:space="0" w:color="auto"/>
          </w:divBdr>
        </w:div>
        <w:div w:id="547450970">
          <w:marLeft w:val="576"/>
          <w:marRight w:val="0"/>
          <w:marTop w:val="120"/>
          <w:marBottom w:val="0"/>
          <w:divBdr>
            <w:top w:val="none" w:sz="0" w:space="0" w:color="auto"/>
            <w:left w:val="none" w:sz="0" w:space="0" w:color="auto"/>
            <w:bottom w:val="none" w:sz="0" w:space="0" w:color="auto"/>
            <w:right w:val="none" w:sz="0" w:space="0" w:color="auto"/>
          </w:divBdr>
        </w:div>
        <w:div w:id="1353607362">
          <w:marLeft w:val="576"/>
          <w:marRight w:val="0"/>
          <w:marTop w:val="120"/>
          <w:marBottom w:val="0"/>
          <w:divBdr>
            <w:top w:val="none" w:sz="0" w:space="0" w:color="auto"/>
            <w:left w:val="none" w:sz="0" w:space="0" w:color="auto"/>
            <w:bottom w:val="none" w:sz="0" w:space="0" w:color="auto"/>
            <w:right w:val="none" w:sz="0" w:space="0" w:color="auto"/>
          </w:divBdr>
        </w:div>
        <w:div w:id="1955819221">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12</Pages>
  <Words>1482</Words>
  <Characters>8449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2021-10-26T13:45:00Z</dcterms:modified>
</cp:coreProperties>
</file>