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636651" w:rsidRDefault="00845895" w:rsidP="00636651">
      <w:pPr>
        <w:spacing w:line="360" w:lineRule="auto"/>
        <w:jc w:val="center"/>
        <w:rPr>
          <w:rFonts w:ascii="Times New Roman" w:hAnsi="Times New Roman" w:cs="Times New Roman"/>
          <w:b/>
          <w:bCs/>
          <w:sz w:val="144"/>
          <w:szCs w:val="144"/>
        </w:rPr>
      </w:pPr>
    </w:p>
    <w:p w:rsidR="00CF3C1B" w:rsidRPr="00636651" w:rsidRDefault="00636651" w:rsidP="00636651">
      <w:pPr>
        <w:spacing w:line="360" w:lineRule="auto"/>
        <w:jc w:val="center"/>
        <w:rPr>
          <w:rFonts w:ascii="Times New Roman" w:hAnsi="Times New Roman" w:cs="Times New Roman"/>
          <w:b/>
          <w:bCs/>
          <w:sz w:val="144"/>
          <w:szCs w:val="144"/>
        </w:rPr>
      </w:pPr>
      <w:r w:rsidRPr="00636651">
        <w:rPr>
          <w:rFonts w:ascii="Times New Roman" w:hAnsi="Times New Roman" w:cs="Times New Roman"/>
          <w:b/>
          <w:bCs/>
          <w:color w:val="000000"/>
          <w:sz w:val="56"/>
          <w:szCs w:val="56"/>
        </w:rPr>
        <w:t>Labour analyser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36651" w:rsidRDefault="0063665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E3722" w:rsidRDefault="00EE3722" w:rsidP="00E53AA4">
      <w:pPr>
        <w:spacing w:line="360" w:lineRule="auto"/>
        <w:jc w:val="both"/>
        <w:rPr>
          <w:rFonts w:ascii="Times New Roman" w:hAnsi="Times New Roman" w:cs="Times New Roman"/>
          <w:b/>
          <w:sz w:val="52"/>
          <w:szCs w:val="52"/>
        </w:rPr>
      </w:pPr>
      <w:r w:rsidRPr="00EE3722">
        <w:rPr>
          <w:rFonts w:ascii="Times New Roman" w:hAnsi="Times New Roman" w:cs="Times New Roman"/>
          <w:sz w:val="32"/>
          <w:szCs w:val="32"/>
        </w:rPr>
        <w:t>The identification of labour market issues in both developed and developing economies critically rests on the availability of data, information and analysis. Labour market information and analysis (LMIA) provides an essential basis for employment and labour policies, and informs the design, implementation, monitoring and evaluation of policies that are better focused and targeted. LMIA also contributes to a reduction in the transaction costs of labour markets as it helps overcome incomplete information of labour market agents.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EE3722" w:rsidRDefault="00EE3722"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47155" w:rsidRDefault="009D22DD" w:rsidP="0094715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47155">
        <w:rPr>
          <w:rFonts w:ascii="Times New Roman" w:hAnsi="Times New Roman" w:cs="Times New Roman"/>
          <w:sz w:val="32"/>
          <w:szCs w:val="32"/>
          <w:lang w:val="en-IN"/>
        </w:rPr>
        <w:t xml:space="preserve">The formal economy is more likely to offer some protection in the form of labour market regulations and some access to formal systems of social protection, both </w:t>
      </w:r>
      <w:r w:rsidRPr="00947155">
        <w:rPr>
          <w:rFonts w:ascii="Times New Roman" w:hAnsi="Times New Roman" w:cs="Times New Roman"/>
          <w:sz w:val="32"/>
          <w:szCs w:val="32"/>
          <w:lang w:val="en-IN"/>
        </w:rPr>
        <w:t xml:space="preserve">virtually non-existent in the informal economy. </w:t>
      </w:r>
    </w:p>
    <w:p w:rsidR="00000000" w:rsidRPr="00947155" w:rsidRDefault="009D22DD" w:rsidP="0094715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47155">
        <w:rPr>
          <w:rFonts w:ascii="Times New Roman" w:hAnsi="Times New Roman" w:cs="Times New Roman"/>
          <w:sz w:val="32"/>
          <w:szCs w:val="32"/>
          <w:lang w:val="en-IN"/>
        </w:rPr>
        <w:t>Some of these opportunities may already exist, but they need to be upgraded, or new jobs involving higher technology and skill levels need to be created.</w:t>
      </w:r>
    </w:p>
    <w:p w:rsidR="00000000" w:rsidRPr="00947155" w:rsidRDefault="009D22DD" w:rsidP="0094715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47155">
        <w:rPr>
          <w:rFonts w:ascii="Times New Roman" w:hAnsi="Times New Roman" w:cs="Times New Roman"/>
          <w:sz w:val="32"/>
          <w:szCs w:val="32"/>
          <w:lang w:val="en-IN"/>
        </w:rPr>
        <w:t>Data from tax audits or labour inspections, when th</w:t>
      </w:r>
      <w:r w:rsidRPr="00947155">
        <w:rPr>
          <w:rFonts w:ascii="Times New Roman" w:hAnsi="Times New Roman" w:cs="Times New Roman"/>
          <w:sz w:val="32"/>
          <w:szCs w:val="32"/>
          <w:lang w:val="en-IN"/>
        </w:rPr>
        <w:t>ey exist and are publicly available, can also be used to quantify informality although, since they are not usually conducted on a representative sample, it is difficult to extrapolate the results to the population of interest.</w:t>
      </w:r>
      <w:r w:rsidRPr="00947155">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47155" w:rsidRDefault="009D22DD" w:rsidP="00947155">
      <w:pPr>
        <w:numPr>
          <w:ilvl w:val="0"/>
          <w:numId w:val="45"/>
        </w:numPr>
        <w:spacing w:line="360" w:lineRule="auto"/>
        <w:jc w:val="both"/>
        <w:rPr>
          <w:rFonts w:ascii="Times New Roman" w:hAnsi="Times New Roman" w:cs="Times New Roman"/>
          <w:bCs/>
          <w:sz w:val="32"/>
          <w:szCs w:val="32"/>
          <w:lang w:val="en-IN"/>
        </w:rPr>
      </w:pPr>
      <w:r w:rsidRPr="00947155">
        <w:rPr>
          <w:rFonts w:ascii="Times New Roman" w:hAnsi="Times New Roman" w:cs="Times New Roman"/>
          <w:bCs/>
          <w:sz w:val="32"/>
          <w:szCs w:val="32"/>
          <w:lang w:val="en-IN"/>
        </w:rPr>
        <w:t>This facilitates building t</w:t>
      </w:r>
      <w:r w:rsidRPr="00947155">
        <w:rPr>
          <w:rFonts w:ascii="Times New Roman" w:hAnsi="Times New Roman" w:cs="Times New Roman"/>
          <w:bCs/>
          <w:sz w:val="32"/>
          <w:szCs w:val="32"/>
          <w:lang w:val="en-IN"/>
        </w:rPr>
        <w:t xml:space="preserve">he sample of informal production units on which to implement the second survey and thus helps overcome one of the major problems in sampling informal firms, namely that they do not usually appear in official registries. </w:t>
      </w:r>
    </w:p>
    <w:p w:rsidR="00000000" w:rsidRPr="00947155" w:rsidRDefault="009D22DD" w:rsidP="00947155">
      <w:pPr>
        <w:numPr>
          <w:ilvl w:val="0"/>
          <w:numId w:val="45"/>
        </w:numPr>
        <w:spacing w:line="360" w:lineRule="auto"/>
        <w:jc w:val="both"/>
        <w:rPr>
          <w:rFonts w:ascii="Times New Roman" w:hAnsi="Times New Roman" w:cs="Times New Roman"/>
          <w:bCs/>
          <w:sz w:val="32"/>
          <w:szCs w:val="32"/>
          <w:lang w:val="en-IN"/>
        </w:rPr>
      </w:pPr>
      <w:r w:rsidRPr="00947155">
        <w:rPr>
          <w:rFonts w:ascii="Times New Roman" w:hAnsi="Times New Roman" w:cs="Times New Roman"/>
          <w:bCs/>
          <w:sz w:val="32"/>
          <w:szCs w:val="32"/>
          <w:lang w:val="en-IN"/>
        </w:rPr>
        <w:lastRenderedPageBreak/>
        <w:t>Such problems as measurement error</w:t>
      </w:r>
      <w:r w:rsidRPr="00947155">
        <w:rPr>
          <w:rFonts w:ascii="Times New Roman" w:hAnsi="Times New Roman" w:cs="Times New Roman"/>
          <w:bCs/>
          <w:sz w:val="32"/>
          <w:szCs w:val="32"/>
          <w:lang w:val="en-IN"/>
        </w:rPr>
        <w:t xml:space="preserve"> in the aggregate education data and the endogeneity of both human and physical capital plague estimates of education’s impact on growth. </w:t>
      </w:r>
    </w:p>
    <w:p w:rsidR="00F94960" w:rsidRPr="00947155" w:rsidRDefault="009D22DD" w:rsidP="00E53AA4">
      <w:pPr>
        <w:numPr>
          <w:ilvl w:val="0"/>
          <w:numId w:val="45"/>
        </w:numPr>
        <w:spacing w:line="360" w:lineRule="auto"/>
        <w:jc w:val="both"/>
        <w:rPr>
          <w:rFonts w:ascii="Times New Roman" w:hAnsi="Times New Roman" w:cs="Times New Roman"/>
          <w:bCs/>
          <w:sz w:val="32"/>
          <w:szCs w:val="32"/>
          <w:lang w:val="en-IN"/>
        </w:rPr>
      </w:pPr>
      <w:r w:rsidRPr="00947155">
        <w:rPr>
          <w:rFonts w:ascii="Times New Roman" w:hAnsi="Times New Roman" w:cs="Times New Roman"/>
          <w:bCs/>
          <w:sz w:val="32"/>
          <w:szCs w:val="32"/>
          <w:lang w:val="en-IN"/>
        </w:rPr>
        <w:t>Some authors have argued that the causality is from growth to education, as periods of sustainable growth generate r</w:t>
      </w:r>
      <w:r w:rsidRPr="00947155">
        <w:rPr>
          <w:rFonts w:ascii="Times New Roman" w:hAnsi="Times New Roman" w:cs="Times New Roman"/>
          <w:bCs/>
          <w:sz w:val="32"/>
          <w:szCs w:val="32"/>
          <w:lang w:val="en-IN"/>
        </w:rPr>
        <w:t>esources that can be invested in education. Most recent studies, nevertheless, do find education to have a substantial impact on growth, even after correcting for the estimation problems.</w:t>
      </w:r>
      <w:r w:rsidRPr="00947155">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47155" w:rsidRPr="00947155" w:rsidRDefault="00947155" w:rsidP="00947155">
      <w:pPr>
        <w:pStyle w:val="NormalWeb"/>
        <w:numPr>
          <w:ilvl w:val="0"/>
          <w:numId w:val="46"/>
        </w:numPr>
        <w:spacing w:before="0" w:beforeAutospacing="0" w:after="0" w:afterAutospacing="0" w:line="360" w:lineRule="auto"/>
        <w:ind w:left="426"/>
        <w:jc w:val="both"/>
        <w:rPr>
          <w:sz w:val="32"/>
          <w:szCs w:val="32"/>
        </w:rPr>
      </w:pPr>
      <w:r w:rsidRPr="00947155">
        <w:rPr>
          <w:sz w:val="32"/>
          <w:szCs w:val="32"/>
        </w:rPr>
        <w:t>When informality is due to exclusion from the formal economy, the policy response usually proposed in the literature is a mix of interventions aimed at increasing the productivity of firms and the employability of informal workers, together with measures specifically aimed at poverty alleviation as well as measures to increase aggregate demand.</w:t>
      </w:r>
    </w:p>
    <w:p w:rsidR="00947155" w:rsidRPr="00947155" w:rsidRDefault="00947155" w:rsidP="00947155">
      <w:pPr>
        <w:pStyle w:val="NormalWeb"/>
        <w:numPr>
          <w:ilvl w:val="0"/>
          <w:numId w:val="46"/>
        </w:numPr>
        <w:spacing w:before="0" w:beforeAutospacing="0" w:after="0" w:afterAutospacing="0" w:line="360" w:lineRule="auto"/>
        <w:ind w:left="426"/>
        <w:jc w:val="both"/>
        <w:rPr>
          <w:sz w:val="32"/>
          <w:szCs w:val="32"/>
        </w:rPr>
      </w:pPr>
      <w:r w:rsidRPr="00947155">
        <w:rPr>
          <w:sz w:val="32"/>
          <w:szCs w:val="32"/>
        </w:rPr>
        <w:t>Proposed activities may range from support for specific aspects (analysis) to comprehensive project development, including support for policy development.</w:t>
      </w:r>
    </w:p>
    <w:p w:rsidR="003A5D44" w:rsidRDefault="00947155" w:rsidP="00E53AA4">
      <w:pPr>
        <w:pStyle w:val="NormalWeb"/>
        <w:numPr>
          <w:ilvl w:val="0"/>
          <w:numId w:val="46"/>
        </w:numPr>
        <w:spacing w:before="0" w:beforeAutospacing="0" w:after="0" w:afterAutospacing="0" w:line="360" w:lineRule="auto"/>
        <w:ind w:left="426"/>
        <w:jc w:val="both"/>
        <w:rPr>
          <w:sz w:val="32"/>
          <w:szCs w:val="32"/>
        </w:rPr>
      </w:pPr>
      <w:r w:rsidRPr="00947155">
        <w:rPr>
          <w:sz w:val="32"/>
          <w:szCs w:val="32"/>
        </w:rPr>
        <w:t>However, the main purpose of LMIA systems that have been established outside academia is the production of information and analysis for policy-makers and other labour market stakeholders.</w:t>
      </w:r>
    </w:p>
    <w:p w:rsidR="00947155" w:rsidRDefault="00947155" w:rsidP="00947155">
      <w:pPr>
        <w:pStyle w:val="NormalWeb"/>
        <w:spacing w:before="0" w:beforeAutospacing="0" w:after="0" w:afterAutospacing="0" w:line="360" w:lineRule="auto"/>
        <w:jc w:val="both"/>
        <w:rPr>
          <w:sz w:val="32"/>
          <w:szCs w:val="32"/>
        </w:rPr>
      </w:pPr>
    </w:p>
    <w:p w:rsidR="00947155" w:rsidRPr="00947155" w:rsidRDefault="00947155" w:rsidP="00947155">
      <w:pPr>
        <w:pStyle w:val="NormalWeb"/>
        <w:spacing w:before="0" w:beforeAutospacing="0" w:after="0" w:afterAutospacing="0" w:line="360" w:lineRule="auto"/>
        <w:jc w:val="both"/>
        <w:rPr>
          <w:sz w:val="32"/>
          <w:szCs w:val="32"/>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631AAB" w:rsidRDefault="009D22DD" w:rsidP="00631AA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31AAB">
        <w:rPr>
          <w:rFonts w:ascii="Times New Roman" w:eastAsia="AdvGulliv-R" w:hAnsi="Times New Roman" w:cs="Times New Roman"/>
          <w:bCs/>
          <w:sz w:val="32"/>
          <w:szCs w:val="32"/>
          <w:lang w:val="en-IN"/>
        </w:rPr>
        <w:t>An employer may take advantage of a hiring subsidy to take on new staff altho</w:t>
      </w:r>
      <w:r w:rsidRPr="00631AAB">
        <w:rPr>
          <w:rFonts w:ascii="Times New Roman" w:eastAsia="AdvGulliv-R" w:hAnsi="Times New Roman" w:cs="Times New Roman"/>
          <w:bCs/>
          <w:sz w:val="32"/>
          <w:szCs w:val="32"/>
          <w:lang w:val="en-IN"/>
        </w:rPr>
        <w:t>ugh they would have done so anyway.</w:t>
      </w:r>
    </w:p>
    <w:p w:rsidR="00000000" w:rsidRPr="00631AAB" w:rsidRDefault="009D22DD" w:rsidP="00631AA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31AAB">
        <w:rPr>
          <w:rFonts w:ascii="Times New Roman" w:eastAsia="AdvGulliv-R" w:hAnsi="Times New Roman" w:cs="Times New Roman"/>
          <w:bCs/>
          <w:sz w:val="32"/>
          <w:szCs w:val="32"/>
          <w:lang w:val="en-IN"/>
        </w:rPr>
        <w:t xml:space="preserve">Other firms, because of their small size and low level of organization or limited managerial capacity, may not be able to benefit from the potential advantages of belonging to the formal sector, including market access </w:t>
      </w:r>
      <w:r w:rsidRPr="00631AAB">
        <w:rPr>
          <w:rFonts w:ascii="Times New Roman" w:eastAsia="AdvGulliv-R" w:hAnsi="Times New Roman" w:cs="Times New Roman"/>
          <w:bCs/>
          <w:sz w:val="32"/>
          <w:szCs w:val="32"/>
          <w:lang w:val="en-IN"/>
        </w:rPr>
        <w:t xml:space="preserve">or the possibility to tap into formal credit channels. </w:t>
      </w:r>
    </w:p>
    <w:p w:rsidR="00000000" w:rsidRPr="00631AAB" w:rsidRDefault="009D22DD" w:rsidP="00631AA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31AAB">
        <w:rPr>
          <w:rFonts w:ascii="Times New Roman" w:eastAsia="AdvGulliv-R" w:hAnsi="Times New Roman" w:cs="Times New Roman"/>
          <w:bCs/>
          <w:sz w:val="32"/>
          <w:szCs w:val="32"/>
          <w:lang w:val="en-IN"/>
        </w:rPr>
        <w:t>Household-based labour force surveys offer a unique advantage to obtain information on the labour market of a country and its structure.</w:t>
      </w:r>
    </w:p>
    <w:p w:rsidR="00000000" w:rsidRPr="00631AAB" w:rsidRDefault="009D22DD" w:rsidP="00631AA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31AAB">
        <w:rPr>
          <w:rFonts w:ascii="Times New Roman" w:eastAsia="AdvGulliv-R" w:hAnsi="Times New Roman" w:cs="Times New Roman"/>
          <w:bCs/>
          <w:sz w:val="32"/>
          <w:szCs w:val="32"/>
          <w:lang w:val="en-IN"/>
        </w:rPr>
        <w:t>It also considers the impact of vocational training as a tool</w:t>
      </w:r>
      <w:r w:rsidRPr="00631AAB">
        <w:rPr>
          <w:rFonts w:ascii="Times New Roman" w:eastAsia="AdvGulliv-R" w:hAnsi="Times New Roman" w:cs="Times New Roman"/>
          <w:bCs/>
          <w:sz w:val="32"/>
          <w:szCs w:val="32"/>
          <w:lang w:val="en-IN"/>
        </w:rPr>
        <w:t xml:space="preserve"> to provide specific human capital that is useful for performance in the labour market.</w:t>
      </w:r>
    </w:p>
    <w:p w:rsidR="00B31569" w:rsidRPr="00631AAB" w:rsidRDefault="009D22DD"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31AAB">
        <w:rPr>
          <w:rFonts w:ascii="Times New Roman" w:eastAsia="AdvGulliv-R" w:hAnsi="Times New Roman" w:cs="Times New Roman"/>
          <w:bCs/>
          <w:sz w:val="32"/>
          <w:szCs w:val="32"/>
          <w:lang w:val="en-IN"/>
        </w:rPr>
        <w:t xml:space="preserve">Moreover, these studies often assess the single effect of EPL on various labour market performances.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C37B7" w:rsidRDefault="003C37B7" w:rsidP="00E53AA4">
            <w:pPr>
              <w:tabs>
                <w:tab w:val="left" w:pos="720"/>
              </w:tabs>
              <w:spacing w:after="100" w:line="360" w:lineRule="auto"/>
              <w:jc w:val="both"/>
              <w:rPr>
                <w:rFonts w:ascii="Times New Roman" w:hAnsi="Times New Roman" w:cs="Times New Roman"/>
                <w:sz w:val="28"/>
                <w:szCs w:val="28"/>
              </w:rPr>
            </w:pPr>
            <w:r w:rsidRPr="003C37B7">
              <w:rPr>
                <w:rFonts w:ascii="Times New Roman" w:hAnsi="Times New Roman" w:cs="Times New Roman"/>
                <w:sz w:val="28"/>
                <w:szCs w:val="28"/>
              </w:rPr>
              <w:t>Employment-led growth and growth-led employment in the recovery</w:t>
            </w:r>
          </w:p>
        </w:tc>
        <w:tc>
          <w:tcPr>
            <w:tcW w:w="3192" w:type="dxa"/>
          </w:tcPr>
          <w:p w:rsidR="000C407B" w:rsidRPr="003C37B7" w:rsidRDefault="003C37B7" w:rsidP="003C37B7">
            <w:pPr>
              <w:tabs>
                <w:tab w:val="left" w:pos="720"/>
              </w:tabs>
              <w:spacing w:after="100" w:line="360" w:lineRule="auto"/>
              <w:jc w:val="both"/>
              <w:rPr>
                <w:rFonts w:ascii="Times New Roman" w:hAnsi="Times New Roman" w:cs="Times New Roman"/>
                <w:sz w:val="28"/>
                <w:szCs w:val="28"/>
              </w:rPr>
            </w:pPr>
            <w:r w:rsidRPr="003C37B7">
              <w:rPr>
                <w:rFonts w:ascii="Times New Roman" w:hAnsi="Times New Roman" w:cs="Times New Roman"/>
                <w:sz w:val="28"/>
                <w:szCs w:val="28"/>
              </w:rPr>
              <w:t xml:space="preserve">Campbell, D. 2011. </w:t>
            </w:r>
          </w:p>
        </w:tc>
        <w:tc>
          <w:tcPr>
            <w:tcW w:w="3192" w:type="dxa"/>
          </w:tcPr>
          <w:p w:rsidR="000C407B" w:rsidRPr="003C37B7" w:rsidRDefault="003C37B7" w:rsidP="00E53AA4">
            <w:pPr>
              <w:tabs>
                <w:tab w:val="left" w:pos="720"/>
              </w:tabs>
              <w:spacing w:after="100" w:line="360" w:lineRule="auto"/>
              <w:jc w:val="both"/>
              <w:rPr>
                <w:rFonts w:ascii="Times New Roman" w:hAnsi="Times New Roman" w:cs="Times New Roman"/>
                <w:sz w:val="28"/>
                <w:szCs w:val="28"/>
              </w:rPr>
            </w:pPr>
            <w:r w:rsidRPr="003C37B7">
              <w:rPr>
                <w:rFonts w:ascii="Times New Roman" w:hAnsi="Times New Roman" w:cs="Times New Roman"/>
                <w:sz w:val="28"/>
                <w:szCs w:val="28"/>
              </w:rPr>
              <w:t>The central problem of employment-led growth is that it is characterized by widespread underemployment, survivalist activities, and persistent poverty.</w:t>
            </w:r>
          </w:p>
        </w:tc>
      </w:tr>
      <w:tr w:rsidR="000C407B" w:rsidTr="000C407B">
        <w:trPr>
          <w:trHeight w:val="2942"/>
        </w:trPr>
        <w:tc>
          <w:tcPr>
            <w:tcW w:w="3192" w:type="dxa"/>
          </w:tcPr>
          <w:p w:rsidR="000C407B" w:rsidRPr="003C37B7" w:rsidRDefault="003C37B7" w:rsidP="00E53AA4">
            <w:pPr>
              <w:tabs>
                <w:tab w:val="left" w:pos="720"/>
              </w:tabs>
              <w:spacing w:after="100" w:line="360" w:lineRule="auto"/>
              <w:jc w:val="both"/>
              <w:rPr>
                <w:rFonts w:ascii="Times New Roman" w:hAnsi="Times New Roman" w:cs="Times New Roman"/>
                <w:sz w:val="28"/>
                <w:szCs w:val="28"/>
              </w:rPr>
            </w:pPr>
            <w:r w:rsidRPr="003C37B7">
              <w:rPr>
                <w:rFonts w:ascii="Times New Roman" w:hAnsi="Times New Roman" w:cs="Times New Roman"/>
                <w:sz w:val="28"/>
                <w:szCs w:val="28"/>
              </w:rPr>
              <w:lastRenderedPageBreak/>
              <w:t>Employment-to-population ratio</w:t>
            </w:r>
          </w:p>
        </w:tc>
        <w:tc>
          <w:tcPr>
            <w:tcW w:w="3192" w:type="dxa"/>
          </w:tcPr>
          <w:p w:rsidR="000C407B" w:rsidRPr="003C37B7" w:rsidRDefault="003C37B7" w:rsidP="003C37B7">
            <w:pPr>
              <w:tabs>
                <w:tab w:val="left" w:pos="720"/>
              </w:tabs>
              <w:spacing w:after="100" w:line="360" w:lineRule="auto"/>
              <w:jc w:val="both"/>
              <w:rPr>
                <w:rFonts w:ascii="Times New Roman" w:hAnsi="Times New Roman" w:cs="Times New Roman"/>
                <w:sz w:val="28"/>
                <w:szCs w:val="28"/>
              </w:rPr>
            </w:pPr>
            <w:r w:rsidRPr="003C37B7">
              <w:rPr>
                <w:rFonts w:ascii="Times New Roman" w:hAnsi="Times New Roman" w:cs="Times New Roman"/>
                <w:sz w:val="28"/>
                <w:szCs w:val="28"/>
              </w:rPr>
              <w:t xml:space="preserve">Elder, S. 2011. </w:t>
            </w:r>
          </w:p>
        </w:tc>
        <w:tc>
          <w:tcPr>
            <w:tcW w:w="3192" w:type="dxa"/>
          </w:tcPr>
          <w:p w:rsidR="000C407B" w:rsidRPr="003C37B7" w:rsidRDefault="003C37B7" w:rsidP="00E53AA4">
            <w:pPr>
              <w:tabs>
                <w:tab w:val="left" w:pos="720"/>
              </w:tabs>
              <w:spacing w:after="100" w:line="360" w:lineRule="auto"/>
              <w:jc w:val="both"/>
              <w:rPr>
                <w:rFonts w:ascii="Times New Roman" w:hAnsi="Times New Roman" w:cs="Times New Roman"/>
                <w:sz w:val="28"/>
                <w:szCs w:val="28"/>
              </w:rPr>
            </w:pPr>
            <w:r w:rsidRPr="003C37B7">
              <w:rPr>
                <w:rFonts w:ascii="Times New Roman" w:hAnsi="Times New Roman" w:cs="Times New Roman"/>
                <w:sz w:val="28"/>
                <w:szCs w:val="28"/>
              </w:rPr>
              <w:t>A high ratio means that a large proportion of a country’s population is employed, while a low ratio means that a large share of the population is not involved directly in market-related activities, because they are either unemployed or (more likely) out of the labour force altogether.</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3C37B7" w:rsidRDefault="003C37B7"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C37B7" w:rsidRDefault="003C37B7" w:rsidP="00E53AA4">
      <w:pPr>
        <w:spacing w:line="360" w:lineRule="auto"/>
        <w:jc w:val="both"/>
        <w:rPr>
          <w:rFonts w:ascii="Times New Roman" w:hAnsi="Times New Roman" w:cs="Times New Roman"/>
          <w:b/>
          <w:sz w:val="28"/>
          <w:szCs w:val="28"/>
        </w:rPr>
      </w:pPr>
    </w:p>
    <w:p w:rsidR="003C37B7" w:rsidRDefault="003C37B7" w:rsidP="00E53AA4">
      <w:pPr>
        <w:spacing w:line="360" w:lineRule="auto"/>
        <w:jc w:val="both"/>
        <w:rPr>
          <w:rFonts w:ascii="Times New Roman" w:hAnsi="Times New Roman" w:cs="Times New Roman"/>
          <w:b/>
          <w:sz w:val="28"/>
          <w:szCs w:val="28"/>
        </w:rPr>
      </w:pPr>
    </w:p>
    <w:p w:rsidR="003C37B7" w:rsidRDefault="003C37B7"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A09AF" w:rsidP="00E53AA4">
      <w:pPr>
        <w:spacing w:after="0" w:line="360" w:lineRule="auto"/>
        <w:jc w:val="both"/>
        <w:rPr>
          <w:rFonts w:ascii="Times New Roman" w:hAnsi="Times New Roman" w:cs="Times New Roman"/>
        </w:rPr>
      </w:pPr>
      <w:r w:rsidRPr="002A09AF">
        <w:rPr>
          <w:rFonts w:ascii="Times New Roman" w:hAnsi="Times New Roman" w:cs="Times New Roman"/>
        </w:rPr>
        <w:drawing>
          <wp:inline distT="0" distB="0" distL="0" distR="0">
            <wp:extent cx="5943600" cy="4165600"/>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41656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2A09AF" w:rsidRDefault="002A09AF" w:rsidP="00E53AA4">
      <w:pPr>
        <w:spacing w:before="100" w:after="100" w:line="360" w:lineRule="auto"/>
        <w:jc w:val="both"/>
        <w:rPr>
          <w:rFonts w:ascii="Times New Roman" w:hAnsi="Times New Roman" w:cs="Times New Roman"/>
          <w:b/>
          <w:noProof/>
          <w:sz w:val="28"/>
          <w:szCs w:val="28"/>
        </w:rPr>
      </w:pPr>
    </w:p>
    <w:p w:rsidR="002A09AF" w:rsidRDefault="002A09A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A5603" w:rsidRPr="00DA5603" w:rsidRDefault="00DA5603" w:rsidP="00DA5603">
      <w:pPr>
        <w:pStyle w:val="BodyText"/>
        <w:rPr>
          <w:bCs/>
          <w:iCs/>
          <w:sz w:val="32"/>
          <w:szCs w:val="32"/>
          <w:lang w:val="en-IN"/>
        </w:rPr>
      </w:pPr>
      <w:r w:rsidRPr="00DA5603">
        <w:rPr>
          <w:bCs/>
          <w:iCs/>
          <w:sz w:val="32"/>
          <w:szCs w:val="32"/>
          <w:lang w:val="en-IN"/>
        </w:rPr>
        <w:t xml:space="preserve">    In implementing labour market policies, policy-makers should keep in mind the following principles: the policy response should build on existing measures; the interventions should match the objectives, for example, they should react to the drop in labour demand or set longer-term goals; the relative costs and benefits of different policies should be weighed. The response is also development dependent: due to financial and technical constraints, the set of options available to OECD countries is far larger than that suitable for emerging and developing economies, particularly low-income countries. Nonetheless, this does not imply that labour market policies do not have a role to play in the latter group; rather, it suggests that these countries may require financial and technical assistance to expand policies.</w:t>
      </w:r>
      <w:r w:rsidRPr="00DA5603">
        <w:rPr>
          <w:bCs/>
          <w:iCs/>
          <w:sz w:val="32"/>
          <w:szCs w:val="32"/>
        </w:rPr>
        <w:t xml:space="preserve"> </w:t>
      </w:r>
    </w:p>
    <w:p w:rsidR="001F1E5A" w:rsidRDefault="001F1E5A" w:rsidP="00E53AA4">
      <w:pPr>
        <w:pStyle w:val="BodyText"/>
        <w:rPr>
          <w:bCs/>
          <w:iCs/>
          <w:sz w:val="32"/>
          <w:szCs w:val="32"/>
        </w:rPr>
      </w:pPr>
    </w:p>
    <w:p w:rsidR="00DA5603" w:rsidRDefault="00DA5603" w:rsidP="00E53AA4">
      <w:pPr>
        <w:pStyle w:val="BodyText"/>
        <w:rPr>
          <w:bCs/>
          <w:iCs/>
          <w:sz w:val="32"/>
          <w:szCs w:val="32"/>
        </w:rPr>
      </w:pPr>
    </w:p>
    <w:p w:rsidR="00DA5603" w:rsidRDefault="00DA5603" w:rsidP="00E53AA4">
      <w:pPr>
        <w:pStyle w:val="BodyText"/>
        <w:rPr>
          <w:bCs/>
          <w:iCs/>
          <w:sz w:val="32"/>
          <w:szCs w:val="32"/>
        </w:rPr>
      </w:pPr>
    </w:p>
    <w:p w:rsidR="00DA5603" w:rsidRDefault="00DA5603" w:rsidP="00E53AA4">
      <w:pPr>
        <w:pStyle w:val="BodyText"/>
        <w:rPr>
          <w:bCs/>
          <w:iCs/>
          <w:sz w:val="32"/>
          <w:szCs w:val="32"/>
        </w:rPr>
      </w:pPr>
    </w:p>
    <w:p w:rsidR="00DA5603" w:rsidRDefault="00DA5603" w:rsidP="00E53AA4">
      <w:pPr>
        <w:pStyle w:val="BodyText"/>
        <w:rPr>
          <w:bCs/>
          <w:iCs/>
          <w:sz w:val="32"/>
          <w:szCs w:val="32"/>
        </w:rPr>
      </w:pPr>
    </w:p>
    <w:p w:rsidR="00DA5603" w:rsidRDefault="00DA5603" w:rsidP="00E53AA4">
      <w:pPr>
        <w:pStyle w:val="BodyText"/>
        <w:rPr>
          <w:bCs/>
          <w:iCs/>
          <w:sz w:val="32"/>
          <w:szCs w:val="32"/>
        </w:rPr>
      </w:pPr>
    </w:p>
    <w:p w:rsidR="00DA5603" w:rsidRDefault="00DA5603" w:rsidP="00E53AA4">
      <w:pPr>
        <w:pStyle w:val="BodyText"/>
        <w:rPr>
          <w:bCs/>
          <w:iCs/>
          <w:sz w:val="32"/>
          <w:szCs w:val="32"/>
        </w:rPr>
      </w:pPr>
    </w:p>
    <w:p w:rsidR="00DA5603" w:rsidRDefault="00DA5603" w:rsidP="00E53AA4">
      <w:pPr>
        <w:pStyle w:val="BodyText"/>
        <w:rPr>
          <w:bCs/>
          <w:iCs/>
          <w:sz w:val="32"/>
          <w:szCs w:val="32"/>
        </w:rPr>
      </w:pPr>
    </w:p>
    <w:p w:rsidR="00DA5603" w:rsidRPr="00DA5603" w:rsidRDefault="00DA5603" w:rsidP="00E53AA4">
      <w:pPr>
        <w:pStyle w:val="BodyText"/>
        <w:rPr>
          <w:bCs/>
          <w:iCs/>
          <w:sz w:val="32"/>
          <w:szCs w:val="32"/>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A5603" w:rsidRDefault="009D22DD" w:rsidP="00DA5603">
      <w:pPr>
        <w:pStyle w:val="BodyText"/>
        <w:numPr>
          <w:ilvl w:val="0"/>
          <w:numId w:val="42"/>
        </w:numPr>
        <w:rPr>
          <w:sz w:val="32"/>
          <w:szCs w:val="32"/>
          <w:lang w:val="en-IN"/>
        </w:rPr>
      </w:pPr>
      <w:r w:rsidRPr="00DA5603">
        <w:rPr>
          <w:sz w:val="32"/>
          <w:szCs w:val="32"/>
          <w:lang w:val="en-IN"/>
        </w:rPr>
        <w:t>Buberwa, N.; Matsumoto, M. 2009. Tanzania’s analysis of MDG employment indicators, paper presented at the ILO Technical Seminar on Strengthening Labour Market Information to Mo</w:t>
      </w:r>
      <w:r w:rsidRPr="00DA5603">
        <w:rPr>
          <w:sz w:val="32"/>
          <w:szCs w:val="32"/>
          <w:lang w:val="en-IN"/>
        </w:rPr>
        <w:t xml:space="preserve">nitor Progress on Decent Work in Africa, Addis Ababa, 20-24 July. </w:t>
      </w:r>
    </w:p>
    <w:p w:rsidR="00000000" w:rsidRPr="00DA5603" w:rsidRDefault="009D22DD" w:rsidP="00DA5603">
      <w:pPr>
        <w:pStyle w:val="BodyText"/>
        <w:numPr>
          <w:ilvl w:val="0"/>
          <w:numId w:val="42"/>
        </w:numPr>
        <w:rPr>
          <w:sz w:val="32"/>
          <w:szCs w:val="32"/>
          <w:lang w:val="en-IN"/>
        </w:rPr>
      </w:pPr>
      <w:r w:rsidRPr="00DA5603">
        <w:rPr>
          <w:sz w:val="32"/>
          <w:szCs w:val="32"/>
          <w:lang w:val="en-IN"/>
        </w:rPr>
        <w:t xml:space="preserve">Campbell, D. 2011. “Employment-led growth and growth-led employment in the recovery”, in ILO (ed.): The global crisis: Causes, responses and challenges (Geneva, ILO), Chapter 8. </w:t>
      </w:r>
    </w:p>
    <w:p w:rsidR="00000000" w:rsidRPr="00DA5603" w:rsidRDefault="009D22DD" w:rsidP="00DA5603">
      <w:pPr>
        <w:pStyle w:val="BodyText"/>
        <w:numPr>
          <w:ilvl w:val="0"/>
          <w:numId w:val="42"/>
        </w:numPr>
        <w:rPr>
          <w:sz w:val="32"/>
          <w:szCs w:val="32"/>
          <w:lang w:val="en-IN"/>
        </w:rPr>
      </w:pPr>
      <w:r w:rsidRPr="00DA5603">
        <w:rPr>
          <w:sz w:val="32"/>
          <w:szCs w:val="32"/>
          <w:lang w:val="en-IN"/>
        </w:rPr>
        <w:t>Cazes, S</w:t>
      </w:r>
      <w:r w:rsidRPr="00DA5603">
        <w:rPr>
          <w:sz w:val="32"/>
          <w:szCs w:val="32"/>
          <w:lang w:val="en-IN"/>
        </w:rPr>
        <w:t xml:space="preserve">.; Verick, S. 2010. What role for labour market policies and institutions in development? Enhancing security in developing countries and emerging economies, Employment Working Paper No. 67 (ILO, Geneva). </w:t>
      </w:r>
    </w:p>
    <w:p w:rsidR="00000000" w:rsidRPr="00DA5603" w:rsidRDefault="009D22DD" w:rsidP="00DA5603">
      <w:pPr>
        <w:pStyle w:val="BodyText"/>
        <w:numPr>
          <w:ilvl w:val="0"/>
          <w:numId w:val="42"/>
        </w:numPr>
        <w:rPr>
          <w:sz w:val="32"/>
          <w:szCs w:val="32"/>
          <w:lang w:val="en-IN"/>
        </w:rPr>
      </w:pPr>
      <w:r w:rsidRPr="00DA5603">
        <w:rPr>
          <w:sz w:val="32"/>
          <w:szCs w:val="32"/>
          <w:lang w:val="en-IN"/>
        </w:rPr>
        <w:t>D’Achon, E.; Pagès, N. 2011. “Burkina Faso. Employ</w:t>
      </w:r>
      <w:r w:rsidRPr="00DA5603">
        <w:rPr>
          <w:sz w:val="32"/>
          <w:szCs w:val="32"/>
          <w:lang w:val="en-IN"/>
        </w:rPr>
        <w:t>ment at the heart of the national development strategy: The role of the MDG employment indicators”, in T. Sparreboom and A. Albee (eds): Towards decent work in sub-Saharan Africa: Monitoring MDG employment indicators (Geneva, ILO), Chapter 8.</w:t>
      </w:r>
    </w:p>
    <w:p w:rsidR="00000000" w:rsidRPr="00DA5603" w:rsidRDefault="009D22DD" w:rsidP="00DA5603">
      <w:pPr>
        <w:pStyle w:val="BodyText"/>
        <w:numPr>
          <w:ilvl w:val="0"/>
          <w:numId w:val="42"/>
        </w:numPr>
        <w:rPr>
          <w:sz w:val="32"/>
          <w:szCs w:val="32"/>
          <w:lang w:val="en-IN"/>
        </w:rPr>
      </w:pPr>
      <w:r w:rsidRPr="00DA5603">
        <w:rPr>
          <w:sz w:val="32"/>
          <w:szCs w:val="32"/>
          <w:lang w:val="en-IN"/>
        </w:rPr>
        <w:t>El Achkar Hi</w:t>
      </w:r>
      <w:r w:rsidRPr="00DA5603">
        <w:rPr>
          <w:sz w:val="32"/>
          <w:szCs w:val="32"/>
          <w:lang w:val="en-IN"/>
        </w:rPr>
        <w:t>lal, S. 2011. Employment projection models – A concept note for ILO Trends (Geneva).</w:t>
      </w:r>
      <w:r w:rsidRPr="00DA5603">
        <w:rPr>
          <w:sz w:val="32"/>
          <w:szCs w:val="32"/>
        </w:rPr>
        <w:t xml:space="preserve"> </w:t>
      </w:r>
    </w:p>
    <w:p w:rsidR="00000000" w:rsidRPr="00DA5603" w:rsidRDefault="009D22DD" w:rsidP="00DA5603">
      <w:pPr>
        <w:pStyle w:val="BodyText"/>
        <w:numPr>
          <w:ilvl w:val="0"/>
          <w:numId w:val="42"/>
        </w:numPr>
        <w:rPr>
          <w:sz w:val="32"/>
          <w:szCs w:val="32"/>
          <w:lang w:val="en-IN"/>
        </w:rPr>
      </w:pPr>
      <w:r w:rsidRPr="00DA5603">
        <w:rPr>
          <w:sz w:val="32"/>
          <w:szCs w:val="32"/>
          <w:lang w:val="en-IN"/>
        </w:rPr>
        <w:t>Elder, S. 2011. “Employment-to-population ratio” in T. Sparreboom and A. Albee (eds): Towards decent work in sub-Saharan Africa: Monitoring MDG employment indicators (Ge</w:t>
      </w:r>
      <w:r w:rsidRPr="00DA5603">
        <w:rPr>
          <w:sz w:val="32"/>
          <w:szCs w:val="32"/>
          <w:lang w:val="en-IN"/>
        </w:rPr>
        <w:t xml:space="preserve">neva, ILO), Chapter 3. </w:t>
      </w:r>
    </w:p>
    <w:p w:rsidR="00000000" w:rsidRPr="00DA5603" w:rsidRDefault="009D22DD" w:rsidP="00DA5603">
      <w:pPr>
        <w:pStyle w:val="BodyText"/>
        <w:numPr>
          <w:ilvl w:val="0"/>
          <w:numId w:val="42"/>
        </w:numPr>
        <w:rPr>
          <w:sz w:val="32"/>
          <w:szCs w:val="32"/>
          <w:lang w:val="en-IN"/>
        </w:rPr>
      </w:pPr>
      <w:r w:rsidRPr="00DA5603">
        <w:rPr>
          <w:sz w:val="32"/>
          <w:szCs w:val="32"/>
          <w:lang w:val="en-IN"/>
        </w:rPr>
        <w:lastRenderedPageBreak/>
        <w:t xml:space="preserve">European Commission. 2011. Final Report: Technical assistance to support the establishment of the Botswana labour market observatory (Gaborone). </w:t>
      </w:r>
    </w:p>
    <w:p w:rsidR="00000000" w:rsidRPr="00DA5603" w:rsidRDefault="009D22DD" w:rsidP="00DA5603">
      <w:pPr>
        <w:pStyle w:val="BodyText"/>
        <w:numPr>
          <w:ilvl w:val="0"/>
          <w:numId w:val="42"/>
        </w:numPr>
        <w:rPr>
          <w:sz w:val="32"/>
          <w:szCs w:val="32"/>
          <w:lang w:val="en-IN"/>
        </w:rPr>
      </w:pPr>
      <w:r w:rsidRPr="00DA5603">
        <w:rPr>
          <w:sz w:val="32"/>
          <w:szCs w:val="32"/>
          <w:lang w:val="en-IN"/>
        </w:rPr>
        <w:t xml:space="preserve">Goldfarb, R.S.; Adams, A.V. 1993. Designing a system of labor market statistics and </w:t>
      </w:r>
      <w:r w:rsidRPr="00DA5603">
        <w:rPr>
          <w:sz w:val="32"/>
          <w:szCs w:val="32"/>
          <w:lang w:val="en-IN"/>
        </w:rPr>
        <w:t xml:space="preserve">information, World Bank Discussion Paper No. 205 (Washington, DC, World Bank). </w:t>
      </w:r>
    </w:p>
    <w:p w:rsidR="00000000" w:rsidRPr="00DA5603" w:rsidRDefault="009D22DD" w:rsidP="00DA5603">
      <w:pPr>
        <w:pStyle w:val="BodyText"/>
        <w:numPr>
          <w:ilvl w:val="0"/>
          <w:numId w:val="42"/>
        </w:numPr>
        <w:rPr>
          <w:sz w:val="32"/>
          <w:szCs w:val="32"/>
          <w:lang w:val="en-IN"/>
        </w:rPr>
      </w:pPr>
      <w:r w:rsidRPr="00DA5603">
        <w:rPr>
          <w:sz w:val="32"/>
          <w:szCs w:val="32"/>
          <w:lang w:val="en-IN"/>
        </w:rPr>
        <w:t>ILO. 1999. Report of the Director-General: Decent Work, International Labour Conference, 87th Session, Geneva, 1999 (Geneva).</w:t>
      </w:r>
    </w:p>
    <w:p w:rsidR="00000000" w:rsidRPr="00DA5603" w:rsidRDefault="009D22DD" w:rsidP="00DA5603">
      <w:pPr>
        <w:pStyle w:val="BodyText"/>
        <w:numPr>
          <w:ilvl w:val="0"/>
          <w:numId w:val="42"/>
        </w:numPr>
        <w:rPr>
          <w:sz w:val="32"/>
          <w:szCs w:val="32"/>
          <w:lang w:val="en-IN"/>
        </w:rPr>
      </w:pPr>
      <w:r w:rsidRPr="00DA5603">
        <w:rPr>
          <w:sz w:val="32"/>
          <w:szCs w:val="32"/>
          <w:lang w:val="en-IN"/>
        </w:rPr>
        <w:t>Meade, D.S. 2010. “Final macroeconomic and labou</w:t>
      </w:r>
      <w:r w:rsidRPr="00DA5603">
        <w:rPr>
          <w:sz w:val="32"/>
          <w:szCs w:val="32"/>
          <w:lang w:val="en-IN"/>
        </w:rPr>
        <w:t xml:space="preserve">r market projections” using Lotus (Inforum, College Park, MD, University of Maryland).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22DD" w:rsidRDefault="009D22DD" w:rsidP="003654DF">
      <w:pPr>
        <w:spacing w:after="0" w:line="240" w:lineRule="auto"/>
      </w:pPr>
      <w:r>
        <w:separator/>
      </w:r>
    </w:p>
  </w:endnote>
  <w:endnote w:type="continuationSeparator" w:id="1">
    <w:p w:rsidR="009D22DD" w:rsidRDefault="009D22D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22DD" w:rsidRDefault="009D22DD" w:rsidP="003654DF">
      <w:pPr>
        <w:spacing w:after="0" w:line="240" w:lineRule="auto"/>
      </w:pPr>
      <w:r>
        <w:separator/>
      </w:r>
    </w:p>
  </w:footnote>
  <w:footnote w:type="continuationSeparator" w:id="1">
    <w:p w:rsidR="009D22DD" w:rsidRDefault="009D22D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163E1">
        <w:pPr>
          <w:pStyle w:val="Header"/>
          <w:jc w:val="right"/>
        </w:pPr>
        <w:fldSimple w:instr=" PAGE   \* MERGEFORMAT ">
          <w:r w:rsidR="002A09AF">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FA337E"/>
    <w:multiLevelType w:val="hybridMultilevel"/>
    <w:tmpl w:val="676E55CA"/>
    <w:lvl w:ilvl="0" w:tplc="B37C3814">
      <w:start w:val="1"/>
      <w:numFmt w:val="bullet"/>
      <w:lvlText w:val=""/>
      <w:lvlJc w:val="left"/>
      <w:pPr>
        <w:tabs>
          <w:tab w:val="num" w:pos="720"/>
        </w:tabs>
        <w:ind w:left="720" w:hanging="360"/>
      </w:pPr>
      <w:rPr>
        <w:rFonts w:ascii="Wingdings 2" w:hAnsi="Wingdings 2" w:hint="default"/>
      </w:rPr>
    </w:lvl>
    <w:lvl w:ilvl="1" w:tplc="D1564B3A" w:tentative="1">
      <w:start w:val="1"/>
      <w:numFmt w:val="bullet"/>
      <w:lvlText w:val=""/>
      <w:lvlJc w:val="left"/>
      <w:pPr>
        <w:tabs>
          <w:tab w:val="num" w:pos="1440"/>
        </w:tabs>
        <w:ind w:left="1440" w:hanging="360"/>
      </w:pPr>
      <w:rPr>
        <w:rFonts w:ascii="Wingdings 2" w:hAnsi="Wingdings 2" w:hint="default"/>
      </w:rPr>
    </w:lvl>
    <w:lvl w:ilvl="2" w:tplc="6B86560C" w:tentative="1">
      <w:start w:val="1"/>
      <w:numFmt w:val="bullet"/>
      <w:lvlText w:val=""/>
      <w:lvlJc w:val="left"/>
      <w:pPr>
        <w:tabs>
          <w:tab w:val="num" w:pos="2160"/>
        </w:tabs>
        <w:ind w:left="2160" w:hanging="360"/>
      </w:pPr>
      <w:rPr>
        <w:rFonts w:ascii="Wingdings 2" w:hAnsi="Wingdings 2" w:hint="default"/>
      </w:rPr>
    </w:lvl>
    <w:lvl w:ilvl="3" w:tplc="76AAEFFA" w:tentative="1">
      <w:start w:val="1"/>
      <w:numFmt w:val="bullet"/>
      <w:lvlText w:val=""/>
      <w:lvlJc w:val="left"/>
      <w:pPr>
        <w:tabs>
          <w:tab w:val="num" w:pos="2880"/>
        </w:tabs>
        <w:ind w:left="2880" w:hanging="360"/>
      </w:pPr>
      <w:rPr>
        <w:rFonts w:ascii="Wingdings 2" w:hAnsi="Wingdings 2" w:hint="default"/>
      </w:rPr>
    </w:lvl>
    <w:lvl w:ilvl="4" w:tplc="C8CE2270" w:tentative="1">
      <w:start w:val="1"/>
      <w:numFmt w:val="bullet"/>
      <w:lvlText w:val=""/>
      <w:lvlJc w:val="left"/>
      <w:pPr>
        <w:tabs>
          <w:tab w:val="num" w:pos="3600"/>
        </w:tabs>
        <w:ind w:left="3600" w:hanging="360"/>
      </w:pPr>
      <w:rPr>
        <w:rFonts w:ascii="Wingdings 2" w:hAnsi="Wingdings 2" w:hint="default"/>
      </w:rPr>
    </w:lvl>
    <w:lvl w:ilvl="5" w:tplc="93D25AB8" w:tentative="1">
      <w:start w:val="1"/>
      <w:numFmt w:val="bullet"/>
      <w:lvlText w:val=""/>
      <w:lvlJc w:val="left"/>
      <w:pPr>
        <w:tabs>
          <w:tab w:val="num" w:pos="4320"/>
        </w:tabs>
        <w:ind w:left="4320" w:hanging="360"/>
      </w:pPr>
      <w:rPr>
        <w:rFonts w:ascii="Wingdings 2" w:hAnsi="Wingdings 2" w:hint="default"/>
      </w:rPr>
    </w:lvl>
    <w:lvl w:ilvl="6" w:tplc="B8E6E486" w:tentative="1">
      <w:start w:val="1"/>
      <w:numFmt w:val="bullet"/>
      <w:lvlText w:val=""/>
      <w:lvlJc w:val="left"/>
      <w:pPr>
        <w:tabs>
          <w:tab w:val="num" w:pos="5040"/>
        </w:tabs>
        <w:ind w:left="5040" w:hanging="360"/>
      </w:pPr>
      <w:rPr>
        <w:rFonts w:ascii="Wingdings 2" w:hAnsi="Wingdings 2" w:hint="default"/>
      </w:rPr>
    </w:lvl>
    <w:lvl w:ilvl="7" w:tplc="8EDAA3D6" w:tentative="1">
      <w:start w:val="1"/>
      <w:numFmt w:val="bullet"/>
      <w:lvlText w:val=""/>
      <w:lvlJc w:val="left"/>
      <w:pPr>
        <w:tabs>
          <w:tab w:val="num" w:pos="5760"/>
        </w:tabs>
        <w:ind w:left="5760" w:hanging="360"/>
      </w:pPr>
      <w:rPr>
        <w:rFonts w:ascii="Wingdings 2" w:hAnsi="Wingdings 2" w:hint="default"/>
      </w:rPr>
    </w:lvl>
    <w:lvl w:ilvl="8" w:tplc="D1EE0E58"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3B2865"/>
    <w:multiLevelType w:val="hybridMultilevel"/>
    <w:tmpl w:val="B81A372A"/>
    <w:lvl w:ilvl="0" w:tplc="93F234D8">
      <w:start w:val="1"/>
      <w:numFmt w:val="bullet"/>
      <w:lvlText w:val=""/>
      <w:lvlJc w:val="left"/>
      <w:pPr>
        <w:tabs>
          <w:tab w:val="num" w:pos="720"/>
        </w:tabs>
        <w:ind w:left="720" w:hanging="360"/>
      </w:pPr>
      <w:rPr>
        <w:rFonts w:ascii="Wingdings 2" w:hAnsi="Wingdings 2" w:hint="default"/>
      </w:rPr>
    </w:lvl>
    <w:lvl w:ilvl="1" w:tplc="CAD26374" w:tentative="1">
      <w:start w:val="1"/>
      <w:numFmt w:val="bullet"/>
      <w:lvlText w:val=""/>
      <w:lvlJc w:val="left"/>
      <w:pPr>
        <w:tabs>
          <w:tab w:val="num" w:pos="1440"/>
        </w:tabs>
        <w:ind w:left="1440" w:hanging="360"/>
      </w:pPr>
      <w:rPr>
        <w:rFonts w:ascii="Wingdings 2" w:hAnsi="Wingdings 2" w:hint="default"/>
      </w:rPr>
    </w:lvl>
    <w:lvl w:ilvl="2" w:tplc="F61407C4" w:tentative="1">
      <w:start w:val="1"/>
      <w:numFmt w:val="bullet"/>
      <w:lvlText w:val=""/>
      <w:lvlJc w:val="left"/>
      <w:pPr>
        <w:tabs>
          <w:tab w:val="num" w:pos="2160"/>
        </w:tabs>
        <w:ind w:left="2160" w:hanging="360"/>
      </w:pPr>
      <w:rPr>
        <w:rFonts w:ascii="Wingdings 2" w:hAnsi="Wingdings 2" w:hint="default"/>
      </w:rPr>
    </w:lvl>
    <w:lvl w:ilvl="3" w:tplc="3A9E4F06" w:tentative="1">
      <w:start w:val="1"/>
      <w:numFmt w:val="bullet"/>
      <w:lvlText w:val=""/>
      <w:lvlJc w:val="left"/>
      <w:pPr>
        <w:tabs>
          <w:tab w:val="num" w:pos="2880"/>
        </w:tabs>
        <w:ind w:left="2880" w:hanging="360"/>
      </w:pPr>
      <w:rPr>
        <w:rFonts w:ascii="Wingdings 2" w:hAnsi="Wingdings 2" w:hint="default"/>
      </w:rPr>
    </w:lvl>
    <w:lvl w:ilvl="4" w:tplc="04BCDE74" w:tentative="1">
      <w:start w:val="1"/>
      <w:numFmt w:val="bullet"/>
      <w:lvlText w:val=""/>
      <w:lvlJc w:val="left"/>
      <w:pPr>
        <w:tabs>
          <w:tab w:val="num" w:pos="3600"/>
        </w:tabs>
        <w:ind w:left="3600" w:hanging="360"/>
      </w:pPr>
      <w:rPr>
        <w:rFonts w:ascii="Wingdings 2" w:hAnsi="Wingdings 2" w:hint="default"/>
      </w:rPr>
    </w:lvl>
    <w:lvl w:ilvl="5" w:tplc="9820708E" w:tentative="1">
      <w:start w:val="1"/>
      <w:numFmt w:val="bullet"/>
      <w:lvlText w:val=""/>
      <w:lvlJc w:val="left"/>
      <w:pPr>
        <w:tabs>
          <w:tab w:val="num" w:pos="4320"/>
        </w:tabs>
        <w:ind w:left="4320" w:hanging="360"/>
      </w:pPr>
      <w:rPr>
        <w:rFonts w:ascii="Wingdings 2" w:hAnsi="Wingdings 2" w:hint="default"/>
      </w:rPr>
    </w:lvl>
    <w:lvl w:ilvl="6" w:tplc="5F080FE2" w:tentative="1">
      <w:start w:val="1"/>
      <w:numFmt w:val="bullet"/>
      <w:lvlText w:val=""/>
      <w:lvlJc w:val="left"/>
      <w:pPr>
        <w:tabs>
          <w:tab w:val="num" w:pos="5040"/>
        </w:tabs>
        <w:ind w:left="5040" w:hanging="360"/>
      </w:pPr>
      <w:rPr>
        <w:rFonts w:ascii="Wingdings 2" w:hAnsi="Wingdings 2" w:hint="default"/>
      </w:rPr>
    </w:lvl>
    <w:lvl w:ilvl="7" w:tplc="D750D77E" w:tentative="1">
      <w:start w:val="1"/>
      <w:numFmt w:val="bullet"/>
      <w:lvlText w:val=""/>
      <w:lvlJc w:val="left"/>
      <w:pPr>
        <w:tabs>
          <w:tab w:val="num" w:pos="5760"/>
        </w:tabs>
        <w:ind w:left="5760" w:hanging="360"/>
      </w:pPr>
      <w:rPr>
        <w:rFonts w:ascii="Wingdings 2" w:hAnsi="Wingdings 2" w:hint="default"/>
      </w:rPr>
    </w:lvl>
    <w:lvl w:ilvl="8" w:tplc="A936F82C" w:tentative="1">
      <w:start w:val="1"/>
      <w:numFmt w:val="bullet"/>
      <w:lvlText w:val=""/>
      <w:lvlJc w:val="left"/>
      <w:pPr>
        <w:tabs>
          <w:tab w:val="num" w:pos="6480"/>
        </w:tabs>
        <w:ind w:left="6480" w:hanging="360"/>
      </w:pPr>
      <w:rPr>
        <w:rFonts w:ascii="Wingdings 2" w:hAnsi="Wingdings 2"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CB64F59"/>
    <w:multiLevelType w:val="hybridMultilevel"/>
    <w:tmpl w:val="94749B9E"/>
    <w:lvl w:ilvl="0" w:tplc="91F8722A">
      <w:start w:val="1"/>
      <w:numFmt w:val="bullet"/>
      <w:lvlText w:val=""/>
      <w:lvlJc w:val="left"/>
      <w:pPr>
        <w:tabs>
          <w:tab w:val="num" w:pos="720"/>
        </w:tabs>
        <w:ind w:left="720" w:hanging="360"/>
      </w:pPr>
      <w:rPr>
        <w:rFonts w:ascii="Wingdings 2" w:hAnsi="Wingdings 2" w:hint="default"/>
      </w:rPr>
    </w:lvl>
    <w:lvl w:ilvl="1" w:tplc="329ACA18" w:tentative="1">
      <w:start w:val="1"/>
      <w:numFmt w:val="bullet"/>
      <w:lvlText w:val=""/>
      <w:lvlJc w:val="left"/>
      <w:pPr>
        <w:tabs>
          <w:tab w:val="num" w:pos="1440"/>
        </w:tabs>
        <w:ind w:left="1440" w:hanging="360"/>
      </w:pPr>
      <w:rPr>
        <w:rFonts w:ascii="Wingdings 2" w:hAnsi="Wingdings 2" w:hint="default"/>
      </w:rPr>
    </w:lvl>
    <w:lvl w:ilvl="2" w:tplc="968855BE" w:tentative="1">
      <w:start w:val="1"/>
      <w:numFmt w:val="bullet"/>
      <w:lvlText w:val=""/>
      <w:lvlJc w:val="left"/>
      <w:pPr>
        <w:tabs>
          <w:tab w:val="num" w:pos="2160"/>
        </w:tabs>
        <w:ind w:left="2160" w:hanging="360"/>
      </w:pPr>
      <w:rPr>
        <w:rFonts w:ascii="Wingdings 2" w:hAnsi="Wingdings 2" w:hint="default"/>
      </w:rPr>
    </w:lvl>
    <w:lvl w:ilvl="3" w:tplc="EB026CAC" w:tentative="1">
      <w:start w:val="1"/>
      <w:numFmt w:val="bullet"/>
      <w:lvlText w:val=""/>
      <w:lvlJc w:val="left"/>
      <w:pPr>
        <w:tabs>
          <w:tab w:val="num" w:pos="2880"/>
        </w:tabs>
        <w:ind w:left="2880" w:hanging="360"/>
      </w:pPr>
      <w:rPr>
        <w:rFonts w:ascii="Wingdings 2" w:hAnsi="Wingdings 2" w:hint="default"/>
      </w:rPr>
    </w:lvl>
    <w:lvl w:ilvl="4" w:tplc="5DDE6AF2" w:tentative="1">
      <w:start w:val="1"/>
      <w:numFmt w:val="bullet"/>
      <w:lvlText w:val=""/>
      <w:lvlJc w:val="left"/>
      <w:pPr>
        <w:tabs>
          <w:tab w:val="num" w:pos="3600"/>
        </w:tabs>
        <w:ind w:left="3600" w:hanging="360"/>
      </w:pPr>
      <w:rPr>
        <w:rFonts w:ascii="Wingdings 2" w:hAnsi="Wingdings 2" w:hint="default"/>
      </w:rPr>
    </w:lvl>
    <w:lvl w:ilvl="5" w:tplc="5E52DC32" w:tentative="1">
      <w:start w:val="1"/>
      <w:numFmt w:val="bullet"/>
      <w:lvlText w:val=""/>
      <w:lvlJc w:val="left"/>
      <w:pPr>
        <w:tabs>
          <w:tab w:val="num" w:pos="4320"/>
        </w:tabs>
        <w:ind w:left="4320" w:hanging="360"/>
      </w:pPr>
      <w:rPr>
        <w:rFonts w:ascii="Wingdings 2" w:hAnsi="Wingdings 2" w:hint="default"/>
      </w:rPr>
    </w:lvl>
    <w:lvl w:ilvl="6" w:tplc="E88A7688" w:tentative="1">
      <w:start w:val="1"/>
      <w:numFmt w:val="bullet"/>
      <w:lvlText w:val=""/>
      <w:lvlJc w:val="left"/>
      <w:pPr>
        <w:tabs>
          <w:tab w:val="num" w:pos="5040"/>
        </w:tabs>
        <w:ind w:left="5040" w:hanging="360"/>
      </w:pPr>
      <w:rPr>
        <w:rFonts w:ascii="Wingdings 2" w:hAnsi="Wingdings 2" w:hint="default"/>
      </w:rPr>
    </w:lvl>
    <w:lvl w:ilvl="7" w:tplc="D618EAC8" w:tentative="1">
      <w:start w:val="1"/>
      <w:numFmt w:val="bullet"/>
      <w:lvlText w:val=""/>
      <w:lvlJc w:val="left"/>
      <w:pPr>
        <w:tabs>
          <w:tab w:val="num" w:pos="5760"/>
        </w:tabs>
        <w:ind w:left="5760" w:hanging="360"/>
      </w:pPr>
      <w:rPr>
        <w:rFonts w:ascii="Wingdings 2" w:hAnsi="Wingdings 2" w:hint="default"/>
      </w:rPr>
    </w:lvl>
    <w:lvl w:ilvl="8" w:tplc="A54869D0"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C477A6B"/>
    <w:multiLevelType w:val="hybridMultilevel"/>
    <w:tmpl w:val="7BD415CC"/>
    <w:lvl w:ilvl="0" w:tplc="B3C2C5E6">
      <w:start w:val="1"/>
      <w:numFmt w:val="bullet"/>
      <w:lvlText w:val=""/>
      <w:lvlJc w:val="left"/>
      <w:pPr>
        <w:tabs>
          <w:tab w:val="num" w:pos="720"/>
        </w:tabs>
        <w:ind w:left="720" w:hanging="360"/>
      </w:pPr>
      <w:rPr>
        <w:rFonts w:ascii="Wingdings 2" w:hAnsi="Wingdings 2" w:hint="default"/>
      </w:rPr>
    </w:lvl>
    <w:lvl w:ilvl="1" w:tplc="95404B9E" w:tentative="1">
      <w:start w:val="1"/>
      <w:numFmt w:val="bullet"/>
      <w:lvlText w:val=""/>
      <w:lvlJc w:val="left"/>
      <w:pPr>
        <w:tabs>
          <w:tab w:val="num" w:pos="1440"/>
        </w:tabs>
        <w:ind w:left="1440" w:hanging="360"/>
      </w:pPr>
      <w:rPr>
        <w:rFonts w:ascii="Wingdings 2" w:hAnsi="Wingdings 2" w:hint="default"/>
      </w:rPr>
    </w:lvl>
    <w:lvl w:ilvl="2" w:tplc="6BF867B4" w:tentative="1">
      <w:start w:val="1"/>
      <w:numFmt w:val="bullet"/>
      <w:lvlText w:val=""/>
      <w:lvlJc w:val="left"/>
      <w:pPr>
        <w:tabs>
          <w:tab w:val="num" w:pos="2160"/>
        </w:tabs>
        <w:ind w:left="2160" w:hanging="360"/>
      </w:pPr>
      <w:rPr>
        <w:rFonts w:ascii="Wingdings 2" w:hAnsi="Wingdings 2" w:hint="default"/>
      </w:rPr>
    </w:lvl>
    <w:lvl w:ilvl="3" w:tplc="C5F4D270" w:tentative="1">
      <w:start w:val="1"/>
      <w:numFmt w:val="bullet"/>
      <w:lvlText w:val=""/>
      <w:lvlJc w:val="left"/>
      <w:pPr>
        <w:tabs>
          <w:tab w:val="num" w:pos="2880"/>
        </w:tabs>
        <w:ind w:left="2880" w:hanging="360"/>
      </w:pPr>
      <w:rPr>
        <w:rFonts w:ascii="Wingdings 2" w:hAnsi="Wingdings 2" w:hint="default"/>
      </w:rPr>
    </w:lvl>
    <w:lvl w:ilvl="4" w:tplc="96B64EDE" w:tentative="1">
      <w:start w:val="1"/>
      <w:numFmt w:val="bullet"/>
      <w:lvlText w:val=""/>
      <w:lvlJc w:val="left"/>
      <w:pPr>
        <w:tabs>
          <w:tab w:val="num" w:pos="3600"/>
        </w:tabs>
        <w:ind w:left="3600" w:hanging="360"/>
      </w:pPr>
      <w:rPr>
        <w:rFonts w:ascii="Wingdings 2" w:hAnsi="Wingdings 2" w:hint="default"/>
      </w:rPr>
    </w:lvl>
    <w:lvl w:ilvl="5" w:tplc="31201E2C" w:tentative="1">
      <w:start w:val="1"/>
      <w:numFmt w:val="bullet"/>
      <w:lvlText w:val=""/>
      <w:lvlJc w:val="left"/>
      <w:pPr>
        <w:tabs>
          <w:tab w:val="num" w:pos="4320"/>
        </w:tabs>
        <w:ind w:left="4320" w:hanging="360"/>
      </w:pPr>
      <w:rPr>
        <w:rFonts w:ascii="Wingdings 2" w:hAnsi="Wingdings 2" w:hint="default"/>
      </w:rPr>
    </w:lvl>
    <w:lvl w:ilvl="6" w:tplc="CCD21034" w:tentative="1">
      <w:start w:val="1"/>
      <w:numFmt w:val="bullet"/>
      <w:lvlText w:val=""/>
      <w:lvlJc w:val="left"/>
      <w:pPr>
        <w:tabs>
          <w:tab w:val="num" w:pos="5040"/>
        </w:tabs>
        <w:ind w:left="5040" w:hanging="360"/>
      </w:pPr>
      <w:rPr>
        <w:rFonts w:ascii="Wingdings 2" w:hAnsi="Wingdings 2" w:hint="default"/>
      </w:rPr>
    </w:lvl>
    <w:lvl w:ilvl="7" w:tplc="041AA058" w:tentative="1">
      <w:start w:val="1"/>
      <w:numFmt w:val="bullet"/>
      <w:lvlText w:val=""/>
      <w:lvlJc w:val="left"/>
      <w:pPr>
        <w:tabs>
          <w:tab w:val="num" w:pos="5760"/>
        </w:tabs>
        <w:ind w:left="5760" w:hanging="360"/>
      </w:pPr>
      <w:rPr>
        <w:rFonts w:ascii="Wingdings 2" w:hAnsi="Wingdings 2" w:hint="default"/>
      </w:rPr>
    </w:lvl>
    <w:lvl w:ilvl="8" w:tplc="B7D2A46A" w:tentative="1">
      <w:start w:val="1"/>
      <w:numFmt w:val="bullet"/>
      <w:lvlText w:val=""/>
      <w:lvlJc w:val="left"/>
      <w:pPr>
        <w:tabs>
          <w:tab w:val="num" w:pos="6480"/>
        </w:tabs>
        <w:ind w:left="6480" w:hanging="360"/>
      </w:pPr>
      <w:rPr>
        <w:rFonts w:ascii="Wingdings 2" w:hAnsi="Wingdings 2"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9485BCD"/>
    <w:multiLevelType w:val="hybridMultilevel"/>
    <w:tmpl w:val="47D2CEA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597AEA"/>
    <w:multiLevelType w:val="hybridMultilevel"/>
    <w:tmpl w:val="87729F8A"/>
    <w:lvl w:ilvl="0" w:tplc="F94EEC4C">
      <w:start w:val="1"/>
      <w:numFmt w:val="bullet"/>
      <w:lvlText w:val=""/>
      <w:lvlJc w:val="left"/>
      <w:pPr>
        <w:tabs>
          <w:tab w:val="num" w:pos="720"/>
        </w:tabs>
        <w:ind w:left="720" w:hanging="360"/>
      </w:pPr>
      <w:rPr>
        <w:rFonts w:ascii="Wingdings 2" w:hAnsi="Wingdings 2" w:hint="default"/>
      </w:rPr>
    </w:lvl>
    <w:lvl w:ilvl="1" w:tplc="C0FAE370" w:tentative="1">
      <w:start w:val="1"/>
      <w:numFmt w:val="bullet"/>
      <w:lvlText w:val=""/>
      <w:lvlJc w:val="left"/>
      <w:pPr>
        <w:tabs>
          <w:tab w:val="num" w:pos="1440"/>
        </w:tabs>
        <w:ind w:left="1440" w:hanging="360"/>
      </w:pPr>
      <w:rPr>
        <w:rFonts w:ascii="Wingdings 2" w:hAnsi="Wingdings 2" w:hint="default"/>
      </w:rPr>
    </w:lvl>
    <w:lvl w:ilvl="2" w:tplc="D81437AA" w:tentative="1">
      <w:start w:val="1"/>
      <w:numFmt w:val="bullet"/>
      <w:lvlText w:val=""/>
      <w:lvlJc w:val="left"/>
      <w:pPr>
        <w:tabs>
          <w:tab w:val="num" w:pos="2160"/>
        </w:tabs>
        <w:ind w:left="2160" w:hanging="360"/>
      </w:pPr>
      <w:rPr>
        <w:rFonts w:ascii="Wingdings 2" w:hAnsi="Wingdings 2" w:hint="default"/>
      </w:rPr>
    </w:lvl>
    <w:lvl w:ilvl="3" w:tplc="0186D562" w:tentative="1">
      <w:start w:val="1"/>
      <w:numFmt w:val="bullet"/>
      <w:lvlText w:val=""/>
      <w:lvlJc w:val="left"/>
      <w:pPr>
        <w:tabs>
          <w:tab w:val="num" w:pos="2880"/>
        </w:tabs>
        <w:ind w:left="2880" w:hanging="360"/>
      </w:pPr>
      <w:rPr>
        <w:rFonts w:ascii="Wingdings 2" w:hAnsi="Wingdings 2" w:hint="default"/>
      </w:rPr>
    </w:lvl>
    <w:lvl w:ilvl="4" w:tplc="9CB2C210" w:tentative="1">
      <w:start w:val="1"/>
      <w:numFmt w:val="bullet"/>
      <w:lvlText w:val=""/>
      <w:lvlJc w:val="left"/>
      <w:pPr>
        <w:tabs>
          <w:tab w:val="num" w:pos="3600"/>
        </w:tabs>
        <w:ind w:left="3600" w:hanging="360"/>
      </w:pPr>
      <w:rPr>
        <w:rFonts w:ascii="Wingdings 2" w:hAnsi="Wingdings 2" w:hint="default"/>
      </w:rPr>
    </w:lvl>
    <w:lvl w:ilvl="5" w:tplc="73C00558" w:tentative="1">
      <w:start w:val="1"/>
      <w:numFmt w:val="bullet"/>
      <w:lvlText w:val=""/>
      <w:lvlJc w:val="left"/>
      <w:pPr>
        <w:tabs>
          <w:tab w:val="num" w:pos="4320"/>
        </w:tabs>
        <w:ind w:left="4320" w:hanging="360"/>
      </w:pPr>
      <w:rPr>
        <w:rFonts w:ascii="Wingdings 2" w:hAnsi="Wingdings 2" w:hint="default"/>
      </w:rPr>
    </w:lvl>
    <w:lvl w:ilvl="6" w:tplc="3BDA7B30" w:tentative="1">
      <w:start w:val="1"/>
      <w:numFmt w:val="bullet"/>
      <w:lvlText w:val=""/>
      <w:lvlJc w:val="left"/>
      <w:pPr>
        <w:tabs>
          <w:tab w:val="num" w:pos="5040"/>
        </w:tabs>
        <w:ind w:left="5040" w:hanging="360"/>
      </w:pPr>
      <w:rPr>
        <w:rFonts w:ascii="Wingdings 2" w:hAnsi="Wingdings 2" w:hint="default"/>
      </w:rPr>
    </w:lvl>
    <w:lvl w:ilvl="7" w:tplc="607AB0E6" w:tentative="1">
      <w:start w:val="1"/>
      <w:numFmt w:val="bullet"/>
      <w:lvlText w:val=""/>
      <w:lvlJc w:val="left"/>
      <w:pPr>
        <w:tabs>
          <w:tab w:val="num" w:pos="5760"/>
        </w:tabs>
        <w:ind w:left="5760" w:hanging="360"/>
      </w:pPr>
      <w:rPr>
        <w:rFonts w:ascii="Wingdings 2" w:hAnsi="Wingdings 2" w:hint="default"/>
      </w:rPr>
    </w:lvl>
    <w:lvl w:ilvl="8" w:tplc="E598910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19"/>
  </w:num>
  <w:num w:numId="8">
    <w:abstractNumId w:val="4"/>
  </w:num>
  <w:num w:numId="9">
    <w:abstractNumId w:val="5"/>
  </w:num>
  <w:num w:numId="10">
    <w:abstractNumId w:val="1"/>
  </w:num>
  <w:num w:numId="11">
    <w:abstractNumId w:val="10"/>
  </w:num>
  <w:num w:numId="12">
    <w:abstractNumId w:val="34"/>
  </w:num>
  <w:num w:numId="13">
    <w:abstractNumId w:val="41"/>
  </w:num>
  <w:num w:numId="14">
    <w:abstractNumId w:val="45"/>
  </w:num>
  <w:num w:numId="15">
    <w:abstractNumId w:val="37"/>
  </w:num>
  <w:num w:numId="16">
    <w:abstractNumId w:val="33"/>
  </w:num>
  <w:num w:numId="17">
    <w:abstractNumId w:val="8"/>
  </w:num>
  <w:num w:numId="18">
    <w:abstractNumId w:val="35"/>
  </w:num>
  <w:num w:numId="19">
    <w:abstractNumId w:val="25"/>
  </w:num>
  <w:num w:numId="20">
    <w:abstractNumId w:val="6"/>
  </w:num>
  <w:num w:numId="21">
    <w:abstractNumId w:val="46"/>
  </w:num>
  <w:num w:numId="22">
    <w:abstractNumId w:val="18"/>
  </w:num>
  <w:num w:numId="23">
    <w:abstractNumId w:val="42"/>
  </w:num>
  <w:num w:numId="24">
    <w:abstractNumId w:val="44"/>
  </w:num>
  <w:num w:numId="25">
    <w:abstractNumId w:val="31"/>
  </w:num>
  <w:num w:numId="26">
    <w:abstractNumId w:val="17"/>
  </w:num>
  <w:num w:numId="27">
    <w:abstractNumId w:val="3"/>
  </w:num>
  <w:num w:numId="28">
    <w:abstractNumId w:val="11"/>
  </w:num>
  <w:num w:numId="29">
    <w:abstractNumId w:val="32"/>
  </w:num>
  <w:num w:numId="30">
    <w:abstractNumId w:val="39"/>
  </w:num>
  <w:num w:numId="31">
    <w:abstractNumId w:val="28"/>
  </w:num>
  <w:num w:numId="32">
    <w:abstractNumId w:val="2"/>
  </w:num>
  <w:num w:numId="33">
    <w:abstractNumId w:val="27"/>
  </w:num>
  <w:num w:numId="34">
    <w:abstractNumId w:val="22"/>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3"/>
  </w:num>
  <w:num w:numId="42">
    <w:abstractNumId w:val="24"/>
  </w:num>
  <w:num w:numId="43">
    <w:abstractNumId w:val="20"/>
  </w:num>
  <w:num w:numId="44">
    <w:abstractNumId w:val="30"/>
  </w:num>
  <w:num w:numId="45">
    <w:abstractNumId w:val="43"/>
  </w:num>
  <w:num w:numId="46">
    <w:abstractNumId w:val="36"/>
  </w:num>
  <w:num w:numId="47">
    <w:abstractNumId w:val="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163E1"/>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9AF"/>
    <w:rsid w:val="002A0D0B"/>
    <w:rsid w:val="002A4478"/>
    <w:rsid w:val="002A4681"/>
    <w:rsid w:val="002A5E89"/>
    <w:rsid w:val="002A6F0D"/>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37B7"/>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1AAB"/>
    <w:rsid w:val="00632C86"/>
    <w:rsid w:val="00632FBD"/>
    <w:rsid w:val="00633EDE"/>
    <w:rsid w:val="006360DE"/>
    <w:rsid w:val="00636651"/>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47155"/>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22DD"/>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603"/>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722"/>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5830656">
      <w:bodyDiv w:val="1"/>
      <w:marLeft w:val="0"/>
      <w:marRight w:val="0"/>
      <w:marTop w:val="0"/>
      <w:marBottom w:val="0"/>
      <w:divBdr>
        <w:top w:val="none" w:sz="0" w:space="0" w:color="auto"/>
        <w:left w:val="none" w:sz="0" w:space="0" w:color="auto"/>
        <w:bottom w:val="none" w:sz="0" w:space="0" w:color="auto"/>
        <w:right w:val="none" w:sz="0" w:space="0" w:color="auto"/>
      </w:divBdr>
      <w:divsChild>
        <w:div w:id="683360247">
          <w:marLeft w:val="576"/>
          <w:marRight w:val="0"/>
          <w:marTop w:val="120"/>
          <w:marBottom w:val="0"/>
          <w:divBdr>
            <w:top w:val="none" w:sz="0" w:space="0" w:color="auto"/>
            <w:left w:val="none" w:sz="0" w:space="0" w:color="auto"/>
            <w:bottom w:val="none" w:sz="0" w:space="0" w:color="auto"/>
            <w:right w:val="none" w:sz="0" w:space="0" w:color="auto"/>
          </w:divBdr>
        </w:div>
        <w:div w:id="1935936910">
          <w:marLeft w:val="576"/>
          <w:marRight w:val="0"/>
          <w:marTop w:val="120"/>
          <w:marBottom w:val="0"/>
          <w:divBdr>
            <w:top w:val="none" w:sz="0" w:space="0" w:color="auto"/>
            <w:left w:val="none" w:sz="0" w:space="0" w:color="auto"/>
            <w:bottom w:val="none" w:sz="0" w:space="0" w:color="auto"/>
            <w:right w:val="none" w:sz="0" w:space="0" w:color="auto"/>
          </w:divBdr>
        </w:div>
        <w:div w:id="259073538">
          <w:marLeft w:val="576"/>
          <w:marRight w:val="0"/>
          <w:marTop w:val="120"/>
          <w:marBottom w:val="0"/>
          <w:divBdr>
            <w:top w:val="none" w:sz="0" w:space="0" w:color="auto"/>
            <w:left w:val="none" w:sz="0" w:space="0" w:color="auto"/>
            <w:bottom w:val="none" w:sz="0" w:space="0" w:color="auto"/>
            <w:right w:val="none" w:sz="0" w:space="0" w:color="auto"/>
          </w:divBdr>
        </w:div>
        <w:div w:id="631862804">
          <w:marLeft w:val="576"/>
          <w:marRight w:val="0"/>
          <w:marTop w:val="120"/>
          <w:marBottom w:val="0"/>
          <w:divBdr>
            <w:top w:val="none" w:sz="0" w:space="0" w:color="auto"/>
            <w:left w:val="none" w:sz="0" w:space="0" w:color="auto"/>
            <w:bottom w:val="none" w:sz="0" w:space="0" w:color="auto"/>
            <w:right w:val="none" w:sz="0" w:space="0" w:color="auto"/>
          </w:divBdr>
        </w:div>
        <w:div w:id="2051494735">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9797745">
      <w:bodyDiv w:val="1"/>
      <w:marLeft w:val="0"/>
      <w:marRight w:val="0"/>
      <w:marTop w:val="0"/>
      <w:marBottom w:val="0"/>
      <w:divBdr>
        <w:top w:val="none" w:sz="0" w:space="0" w:color="auto"/>
        <w:left w:val="none" w:sz="0" w:space="0" w:color="auto"/>
        <w:bottom w:val="none" w:sz="0" w:space="0" w:color="auto"/>
        <w:right w:val="none" w:sz="0" w:space="0" w:color="auto"/>
      </w:divBdr>
      <w:divsChild>
        <w:div w:id="632685395">
          <w:marLeft w:val="576"/>
          <w:marRight w:val="0"/>
          <w:marTop w:val="120"/>
          <w:marBottom w:val="0"/>
          <w:divBdr>
            <w:top w:val="none" w:sz="0" w:space="0" w:color="auto"/>
            <w:left w:val="none" w:sz="0" w:space="0" w:color="auto"/>
            <w:bottom w:val="none" w:sz="0" w:space="0" w:color="auto"/>
            <w:right w:val="none" w:sz="0" w:space="0" w:color="auto"/>
          </w:divBdr>
        </w:div>
        <w:div w:id="515578106">
          <w:marLeft w:val="576"/>
          <w:marRight w:val="0"/>
          <w:marTop w:val="120"/>
          <w:marBottom w:val="0"/>
          <w:divBdr>
            <w:top w:val="none" w:sz="0" w:space="0" w:color="auto"/>
            <w:left w:val="none" w:sz="0" w:space="0" w:color="auto"/>
            <w:bottom w:val="none" w:sz="0" w:space="0" w:color="auto"/>
            <w:right w:val="none" w:sz="0" w:space="0" w:color="auto"/>
          </w:divBdr>
        </w:div>
        <w:div w:id="1215658457">
          <w:marLeft w:val="576"/>
          <w:marRight w:val="0"/>
          <w:marTop w:val="120"/>
          <w:marBottom w:val="0"/>
          <w:divBdr>
            <w:top w:val="none" w:sz="0" w:space="0" w:color="auto"/>
            <w:left w:val="none" w:sz="0" w:space="0" w:color="auto"/>
            <w:bottom w:val="none" w:sz="0" w:space="0" w:color="auto"/>
            <w:right w:val="none" w:sz="0" w:space="0" w:color="auto"/>
          </w:divBdr>
        </w:div>
      </w:divsChild>
    </w:div>
    <w:div w:id="654384372">
      <w:bodyDiv w:val="1"/>
      <w:marLeft w:val="0"/>
      <w:marRight w:val="0"/>
      <w:marTop w:val="0"/>
      <w:marBottom w:val="0"/>
      <w:divBdr>
        <w:top w:val="none" w:sz="0" w:space="0" w:color="auto"/>
        <w:left w:val="none" w:sz="0" w:space="0" w:color="auto"/>
        <w:bottom w:val="none" w:sz="0" w:space="0" w:color="auto"/>
        <w:right w:val="none" w:sz="0" w:space="0" w:color="auto"/>
      </w:divBdr>
      <w:divsChild>
        <w:div w:id="215625011">
          <w:marLeft w:val="576"/>
          <w:marRight w:val="0"/>
          <w:marTop w:val="120"/>
          <w:marBottom w:val="0"/>
          <w:divBdr>
            <w:top w:val="none" w:sz="0" w:space="0" w:color="auto"/>
            <w:left w:val="none" w:sz="0" w:space="0" w:color="auto"/>
            <w:bottom w:val="none" w:sz="0" w:space="0" w:color="auto"/>
            <w:right w:val="none" w:sz="0" w:space="0" w:color="auto"/>
          </w:divBdr>
        </w:div>
        <w:div w:id="297491355">
          <w:marLeft w:val="576"/>
          <w:marRight w:val="0"/>
          <w:marTop w:val="120"/>
          <w:marBottom w:val="0"/>
          <w:divBdr>
            <w:top w:val="none" w:sz="0" w:space="0" w:color="auto"/>
            <w:left w:val="none" w:sz="0" w:space="0" w:color="auto"/>
            <w:bottom w:val="none" w:sz="0" w:space="0" w:color="auto"/>
            <w:right w:val="none" w:sz="0" w:space="0" w:color="auto"/>
          </w:divBdr>
        </w:div>
        <w:div w:id="1632127913">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48801011">
      <w:bodyDiv w:val="1"/>
      <w:marLeft w:val="0"/>
      <w:marRight w:val="0"/>
      <w:marTop w:val="0"/>
      <w:marBottom w:val="0"/>
      <w:divBdr>
        <w:top w:val="none" w:sz="0" w:space="0" w:color="auto"/>
        <w:left w:val="none" w:sz="0" w:space="0" w:color="auto"/>
        <w:bottom w:val="none" w:sz="0" w:space="0" w:color="auto"/>
        <w:right w:val="none" w:sz="0" w:space="0" w:color="auto"/>
      </w:divBdr>
      <w:divsChild>
        <w:div w:id="1567912073">
          <w:marLeft w:val="576"/>
          <w:marRight w:val="0"/>
          <w:marTop w:val="120"/>
          <w:marBottom w:val="0"/>
          <w:divBdr>
            <w:top w:val="none" w:sz="0" w:space="0" w:color="auto"/>
            <w:left w:val="none" w:sz="0" w:space="0" w:color="auto"/>
            <w:bottom w:val="none" w:sz="0" w:space="0" w:color="auto"/>
            <w:right w:val="none" w:sz="0" w:space="0" w:color="auto"/>
          </w:divBdr>
        </w:div>
        <w:div w:id="1455171527">
          <w:marLeft w:val="576"/>
          <w:marRight w:val="0"/>
          <w:marTop w:val="120"/>
          <w:marBottom w:val="0"/>
          <w:divBdr>
            <w:top w:val="none" w:sz="0" w:space="0" w:color="auto"/>
            <w:left w:val="none" w:sz="0" w:space="0" w:color="auto"/>
            <w:bottom w:val="none" w:sz="0" w:space="0" w:color="auto"/>
            <w:right w:val="none" w:sz="0" w:space="0" w:color="auto"/>
          </w:divBdr>
        </w:div>
        <w:div w:id="81222894">
          <w:marLeft w:val="576"/>
          <w:marRight w:val="0"/>
          <w:marTop w:val="120"/>
          <w:marBottom w:val="0"/>
          <w:divBdr>
            <w:top w:val="none" w:sz="0" w:space="0" w:color="auto"/>
            <w:left w:val="none" w:sz="0" w:space="0" w:color="auto"/>
            <w:bottom w:val="none" w:sz="0" w:space="0" w:color="auto"/>
            <w:right w:val="none" w:sz="0" w:space="0" w:color="auto"/>
          </w:divBdr>
        </w:div>
        <w:div w:id="928974929">
          <w:marLeft w:val="576"/>
          <w:marRight w:val="0"/>
          <w:marTop w:val="120"/>
          <w:marBottom w:val="0"/>
          <w:divBdr>
            <w:top w:val="none" w:sz="0" w:space="0" w:color="auto"/>
            <w:left w:val="none" w:sz="0" w:space="0" w:color="auto"/>
            <w:bottom w:val="none" w:sz="0" w:space="0" w:color="auto"/>
            <w:right w:val="none" w:sz="0" w:space="0" w:color="auto"/>
          </w:divBdr>
        </w:div>
        <w:div w:id="372965551">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29878573">
      <w:bodyDiv w:val="1"/>
      <w:marLeft w:val="0"/>
      <w:marRight w:val="0"/>
      <w:marTop w:val="0"/>
      <w:marBottom w:val="0"/>
      <w:divBdr>
        <w:top w:val="none" w:sz="0" w:space="0" w:color="auto"/>
        <w:left w:val="none" w:sz="0" w:space="0" w:color="auto"/>
        <w:bottom w:val="none" w:sz="0" w:space="0" w:color="auto"/>
        <w:right w:val="none" w:sz="0" w:space="0" w:color="auto"/>
      </w:divBdr>
      <w:divsChild>
        <w:div w:id="1568684206">
          <w:marLeft w:val="576"/>
          <w:marRight w:val="0"/>
          <w:marTop w:val="120"/>
          <w:marBottom w:val="0"/>
          <w:divBdr>
            <w:top w:val="none" w:sz="0" w:space="0" w:color="auto"/>
            <w:left w:val="none" w:sz="0" w:space="0" w:color="auto"/>
            <w:bottom w:val="none" w:sz="0" w:space="0" w:color="auto"/>
            <w:right w:val="none" w:sz="0" w:space="0" w:color="auto"/>
          </w:divBdr>
        </w:div>
        <w:div w:id="349650472">
          <w:marLeft w:val="576"/>
          <w:marRight w:val="0"/>
          <w:marTop w:val="120"/>
          <w:marBottom w:val="0"/>
          <w:divBdr>
            <w:top w:val="none" w:sz="0" w:space="0" w:color="auto"/>
            <w:left w:val="none" w:sz="0" w:space="0" w:color="auto"/>
            <w:bottom w:val="none" w:sz="0" w:space="0" w:color="auto"/>
            <w:right w:val="none" w:sz="0" w:space="0" w:color="auto"/>
          </w:divBdr>
        </w:div>
        <w:div w:id="252319754">
          <w:marLeft w:val="576"/>
          <w:marRight w:val="0"/>
          <w:marTop w:val="120"/>
          <w:marBottom w:val="0"/>
          <w:divBdr>
            <w:top w:val="none" w:sz="0" w:space="0" w:color="auto"/>
            <w:left w:val="none" w:sz="0" w:space="0" w:color="auto"/>
            <w:bottom w:val="none" w:sz="0" w:space="0" w:color="auto"/>
            <w:right w:val="none" w:sz="0" w:space="0" w:color="auto"/>
          </w:divBdr>
        </w:div>
        <w:div w:id="1137601161">
          <w:marLeft w:val="576"/>
          <w:marRight w:val="0"/>
          <w:marTop w:val="120"/>
          <w:marBottom w:val="0"/>
          <w:divBdr>
            <w:top w:val="none" w:sz="0" w:space="0" w:color="auto"/>
            <w:left w:val="none" w:sz="0" w:space="0" w:color="auto"/>
            <w:bottom w:val="none" w:sz="0" w:space="0" w:color="auto"/>
            <w:right w:val="none" w:sz="0" w:space="0" w:color="auto"/>
          </w:divBdr>
        </w:div>
        <w:div w:id="87519449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1932212">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0572996">
      <w:bodyDiv w:val="1"/>
      <w:marLeft w:val="0"/>
      <w:marRight w:val="0"/>
      <w:marTop w:val="0"/>
      <w:marBottom w:val="0"/>
      <w:divBdr>
        <w:top w:val="none" w:sz="0" w:space="0" w:color="auto"/>
        <w:left w:val="none" w:sz="0" w:space="0" w:color="auto"/>
        <w:bottom w:val="none" w:sz="0" w:space="0" w:color="auto"/>
        <w:right w:val="none" w:sz="0" w:space="0" w:color="auto"/>
      </w:divBdr>
      <w:divsChild>
        <w:div w:id="81878024">
          <w:marLeft w:val="576"/>
          <w:marRight w:val="0"/>
          <w:marTop w:val="120"/>
          <w:marBottom w:val="0"/>
          <w:divBdr>
            <w:top w:val="none" w:sz="0" w:space="0" w:color="auto"/>
            <w:left w:val="none" w:sz="0" w:space="0" w:color="auto"/>
            <w:bottom w:val="none" w:sz="0" w:space="0" w:color="auto"/>
            <w:right w:val="none" w:sz="0" w:space="0" w:color="auto"/>
          </w:divBdr>
        </w:div>
        <w:div w:id="1038815828">
          <w:marLeft w:val="576"/>
          <w:marRight w:val="0"/>
          <w:marTop w:val="120"/>
          <w:marBottom w:val="0"/>
          <w:divBdr>
            <w:top w:val="none" w:sz="0" w:space="0" w:color="auto"/>
            <w:left w:val="none" w:sz="0" w:space="0" w:color="auto"/>
            <w:bottom w:val="none" w:sz="0" w:space="0" w:color="auto"/>
            <w:right w:val="none" w:sz="0" w:space="0" w:color="auto"/>
          </w:divBdr>
        </w:div>
        <w:div w:id="788935556">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3600</TotalTime>
  <Pages>14</Pages>
  <Words>1647</Words>
  <Characters>9394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2021-10-11T16:09:00Z</dcterms:modified>
</cp:coreProperties>
</file>