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154A8" w:rsidRDefault="009154A8" w:rsidP="009154A8">
      <w:pPr>
        <w:spacing w:line="360" w:lineRule="auto"/>
        <w:jc w:val="center"/>
        <w:rPr>
          <w:rFonts w:ascii="Times New Roman" w:hAnsi="Times New Roman" w:cs="Times New Roman"/>
          <w:b/>
          <w:bCs/>
          <w:sz w:val="144"/>
          <w:szCs w:val="144"/>
        </w:rPr>
      </w:pPr>
      <w:r w:rsidRPr="009154A8">
        <w:rPr>
          <w:rFonts w:ascii="Times New Roman" w:hAnsi="Times New Roman" w:cs="Times New Roman"/>
          <w:b/>
          <w:bCs/>
          <w:sz w:val="56"/>
          <w:szCs w:val="56"/>
        </w:rPr>
        <w:t>Virtual class room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154A8" w:rsidRDefault="009154A8" w:rsidP="00E53AA4">
      <w:pPr>
        <w:spacing w:line="360" w:lineRule="auto"/>
        <w:jc w:val="both"/>
        <w:rPr>
          <w:rFonts w:ascii="Times New Roman" w:hAnsi="Times New Roman" w:cs="Times New Roman"/>
          <w:b/>
          <w:sz w:val="44"/>
          <w:szCs w:val="44"/>
        </w:rPr>
      </w:pPr>
    </w:p>
    <w:p w:rsidR="009154A8" w:rsidRDefault="009154A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24D61" w:rsidRDefault="00E24D61" w:rsidP="00E53AA4">
      <w:pPr>
        <w:spacing w:line="360" w:lineRule="auto"/>
        <w:jc w:val="both"/>
        <w:rPr>
          <w:rFonts w:ascii="Times New Roman" w:hAnsi="Times New Roman" w:cs="Times New Roman"/>
          <w:b/>
          <w:sz w:val="52"/>
          <w:szCs w:val="52"/>
        </w:rPr>
      </w:pPr>
      <w:r w:rsidRPr="00E24D61">
        <w:rPr>
          <w:rFonts w:ascii="Times New Roman" w:hAnsi="Times New Roman" w:cs="Times New Roman"/>
          <w:sz w:val="32"/>
          <w:szCs w:val="32"/>
        </w:rPr>
        <w:t>For lecturers who are used to presenting face-to-face, facilitating online classes through a virtual classroom interface proposes several new challenges. At the same time the affordances of the media offer many opportunities to improve the quality of students’ learning. This paper outlines the pedagogical lessons derived from convening a first year introductory programming unit through a series of twelve, two-hour online classes. General virtual classroom strategies as well as those particular to computer science are described. Approaches to developing students’ virtual classroom competencies, approaches to groupwork, and the implications of virtual classrooms for professional development and research are also discussed.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E24D6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E24D61" w:rsidRDefault="00E24D61" w:rsidP="00E24D61">
      <w:pPr>
        <w:tabs>
          <w:tab w:val="left" w:pos="6210"/>
        </w:tabs>
        <w:spacing w:line="360" w:lineRule="auto"/>
        <w:jc w:val="both"/>
        <w:rPr>
          <w:rFonts w:ascii="Times New Roman" w:hAnsi="Times New Roman" w:cs="Times New Roman"/>
          <w:sz w:val="40"/>
          <w:szCs w:val="40"/>
        </w:rPr>
      </w:pPr>
    </w:p>
    <w:p w:rsidR="00E24D61" w:rsidRDefault="00E24D61" w:rsidP="00E24D6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A3B2E" w:rsidRDefault="00D13D77" w:rsidP="009A3B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3B2E">
        <w:rPr>
          <w:rFonts w:ascii="Times New Roman" w:hAnsi="Times New Roman" w:cs="Times New Roman"/>
          <w:sz w:val="32"/>
          <w:szCs w:val="32"/>
          <w:lang w:val="en-IN"/>
        </w:rPr>
        <w:t>The artificial division between lecture, tutorial and laboratory class need no longer exist; conceptual presentations and practical demonstrations can be woven to</w:t>
      </w:r>
      <w:r w:rsidRPr="009A3B2E">
        <w:rPr>
          <w:rFonts w:ascii="Times New Roman" w:hAnsi="Times New Roman" w:cs="Times New Roman"/>
          <w:sz w:val="32"/>
          <w:szCs w:val="32"/>
          <w:lang w:val="en-IN"/>
        </w:rPr>
        <w:t xml:space="preserve">gether seamlessly. </w:t>
      </w:r>
    </w:p>
    <w:p w:rsidR="00000000" w:rsidRPr="009A3B2E" w:rsidRDefault="00D13D77" w:rsidP="009A3B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3B2E">
        <w:rPr>
          <w:rFonts w:ascii="Times New Roman" w:hAnsi="Times New Roman" w:cs="Times New Roman"/>
          <w:sz w:val="32"/>
          <w:szCs w:val="32"/>
          <w:lang w:val="en-IN"/>
        </w:rPr>
        <w:t xml:space="preserve">It seems that this is hope for both teachers and learners to overcome all the problems existing in the traditional cleanroom and many people even are trying to use as much as virtual technology as possible in the real campus. </w:t>
      </w:r>
    </w:p>
    <w:p w:rsidR="00000000" w:rsidRPr="009A3B2E" w:rsidRDefault="00D13D77" w:rsidP="009A3B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3B2E">
        <w:rPr>
          <w:rFonts w:ascii="Times New Roman" w:hAnsi="Times New Roman" w:cs="Times New Roman"/>
          <w:sz w:val="32"/>
          <w:szCs w:val="32"/>
          <w:lang w:val="en-IN"/>
        </w:rPr>
        <w:t xml:space="preserve">Although the technology for anonymous polling could also exist in a typical classroom, this requires equipment not commonly available, while it is common in all virtual classroom environments. </w:t>
      </w:r>
    </w:p>
    <w:p w:rsidR="00000000" w:rsidRPr="009A3B2E" w:rsidRDefault="00D13D77" w:rsidP="009A3B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A3B2E">
        <w:rPr>
          <w:rFonts w:ascii="Times New Roman" w:hAnsi="Times New Roman" w:cs="Times New Roman"/>
          <w:sz w:val="32"/>
          <w:szCs w:val="32"/>
          <w:lang w:val="en-IN"/>
        </w:rPr>
        <w:t>This is typical when technology is introduced in a practice w</w:t>
      </w:r>
      <w:r w:rsidRPr="009A3B2E">
        <w:rPr>
          <w:rFonts w:ascii="Times New Roman" w:hAnsi="Times New Roman" w:cs="Times New Roman"/>
          <w:sz w:val="32"/>
          <w:szCs w:val="32"/>
          <w:lang w:val="en-IN"/>
        </w:rPr>
        <w:t xml:space="preserve">hich exists for many years.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A3B2E" w:rsidRDefault="00D13D77" w:rsidP="009A3B2E">
      <w:pPr>
        <w:numPr>
          <w:ilvl w:val="0"/>
          <w:numId w:val="45"/>
        </w:numPr>
        <w:spacing w:line="360" w:lineRule="auto"/>
        <w:jc w:val="both"/>
        <w:rPr>
          <w:rFonts w:ascii="Times New Roman" w:hAnsi="Times New Roman" w:cs="Times New Roman"/>
          <w:bCs/>
          <w:sz w:val="32"/>
          <w:szCs w:val="32"/>
          <w:lang w:val="en-IN"/>
        </w:rPr>
      </w:pPr>
      <w:r w:rsidRPr="009A3B2E">
        <w:rPr>
          <w:rFonts w:ascii="Times New Roman" w:hAnsi="Times New Roman" w:cs="Times New Roman"/>
          <w:bCs/>
          <w:sz w:val="32"/>
          <w:szCs w:val="32"/>
          <w:lang w:val="en-IN"/>
        </w:rPr>
        <w:t xml:space="preserve">In a virtual classroom the ability to model programming skills using the screen sharing facility is available at all times. </w:t>
      </w:r>
    </w:p>
    <w:p w:rsidR="00000000" w:rsidRPr="009A3B2E" w:rsidRDefault="00D13D77" w:rsidP="009A3B2E">
      <w:pPr>
        <w:numPr>
          <w:ilvl w:val="0"/>
          <w:numId w:val="45"/>
        </w:numPr>
        <w:spacing w:line="360" w:lineRule="auto"/>
        <w:jc w:val="both"/>
        <w:rPr>
          <w:rFonts w:ascii="Times New Roman" w:hAnsi="Times New Roman" w:cs="Times New Roman"/>
          <w:bCs/>
          <w:sz w:val="32"/>
          <w:szCs w:val="32"/>
          <w:lang w:val="en-IN"/>
        </w:rPr>
      </w:pPr>
      <w:r w:rsidRPr="009A3B2E">
        <w:rPr>
          <w:rFonts w:ascii="Times New Roman" w:hAnsi="Times New Roman" w:cs="Times New Roman"/>
          <w:bCs/>
          <w:sz w:val="32"/>
          <w:szCs w:val="32"/>
          <w:lang w:val="en-IN"/>
        </w:rPr>
        <w:t>‘Expert modeling’  allows computer science educators to impart attitudes, thought processes, problem</w:t>
      </w:r>
      <w:r w:rsidRPr="009A3B2E">
        <w:rPr>
          <w:rFonts w:ascii="Times New Roman" w:hAnsi="Times New Roman" w:cs="Times New Roman"/>
          <w:bCs/>
          <w:sz w:val="32"/>
          <w:szCs w:val="32"/>
          <w:lang w:val="en-IN"/>
        </w:rPr>
        <w:t xml:space="preserve"> solving techniques, and a whole range of other underlying skills that are not made explicit or </w:t>
      </w:r>
      <w:r w:rsidRPr="009A3B2E">
        <w:rPr>
          <w:rFonts w:ascii="Times New Roman" w:hAnsi="Times New Roman" w:cs="Times New Roman"/>
          <w:bCs/>
          <w:sz w:val="32"/>
          <w:szCs w:val="32"/>
          <w:lang w:val="en-IN"/>
        </w:rPr>
        <w:lastRenderedPageBreak/>
        <w:t>at least not embedded in their context when other methods of teaching are employed.</w:t>
      </w:r>
    </w:p>
    <w:p w:rsidR="00F94960" w:rsidRPr="009A3B2E" w:rsidRDefault="00D13D77" w:rsidP="00E53AA4">
      <w:pPr>
        <w:numPr>
          <w:ilvl w:val="0"/>
          <w:numId w:val="45"/>
        </w:numPr>
        <w:spacing w:line="360" w:lineRule="auto"/>
        <w:jc w:val="both"/>
        <w:rPr>
          <w:rFonts w:ascii="Times New Roman" w:hAnsi="Times New Roman" w:cs="Times New Roman"/>
          <w:bCs/>
          <w:sz w:val="32"/>
          <w:szCs w:val="32"/>
          <w:lang w:val="en-IN"/>
        </w:rPr>
      </w:pPr>
      <w:r w:rsidRPr="009A3B2E">
        <w:rPr>
          <w:rFonts w:ascii="Times New Roman" w:hAnsi="Times New Roman" w:cs="Times New Roman"/>
          <w:bCs/>
          <w:sz w:val="32"/>
          <w:szCs w:val="32"/>
          <w:lang w:val="en-IN"/>
        </w:rPr>
        <w:t>Developing student’s virtual classroom competencies not only improves their</w:t>
      </w:r>
      <w:r w:rsidRPr="009A3B2E">
        <w:rPr>
          <w:rFonts w:ascii="Times New Roman" w:hAnsi="Times New Roman" w:cs="Times New Roman"/>
          <w:bCs/>
          <w:sz w:val="32"/>
          <w:szCs w:val="32"/>
          <w:lang w:val="en-IN"/>
        </w:rPr>
        <w:t xml:space="preserve"> capacity to learn in the short term, but also develops generic online skills in negotiate meaning, sharing information, and collaborative problem solve online.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A3B2E" w:rsidRPr="009A3B2E" w:rsidRDefault="009A3B2E" w:rsidP="009A3B2E">
      <w:pPr>
        <w:pStyle w:val="NormalWeb"/>
        <w:numPr>
          <w:ilvl w:val="0"/>
          <w:numId w:val="46"/>
        </w:numPr>
        <w:spacing w:before="0" w:beforeAutospacing="0" w:after="0" w:afterAutospacing="0" w:line="360" w:lineRule="auto"/>
        <w:ind w:left="426"/>
        <w:jc w:val="both"/>
        <w:rPr>
          <w:sz w:val="32"/>
          <w:szCs w:val="32"/>
        </w:rPr>
      </w:pPr>
      <w:r w:rsidRPr="009A3B2E">
        <w:rPr>
          <w:sz w:val="32"/>
          <w:szCs w:val="32"/>
        </w:rPr>
        <w:t>We propose a theoretical model of teaching skills to enhance student engagement in a VC setting.</w:t>
      </w:r>
    </w:p>
    <w:p w:rsidR="009A3B2E" w:rsidRPr="009A3B2E" w:rsidRDefault="009A3B2E" w:rsidP="009A3B2E">
      <w:pPr>
        <w:pStyle w:val="NormalWeb"/>
        <w:numPr>
          <w:ilvl w:val="0"/>
          <w:numId w:val="46"/>
        </w:numPr>
        <w:spacing w:before="0" w:beforeAutospacing="0" w:after="0" w:afterAutospacing="0" w:line="360" w:lineRule="auto"/>
        <w:ind w:left="426"/>
        <w:jc w:val="both"/>
        <w:rPr>
          <w:sz w:val="32"/>
          <w:szCs w:val="32"/>
        </w:rPr>
      </w:pPr>
      <w:r w:rsidRPr="009A3B2E">
        <w:rPr>
          <w:sz w:val="32"/>
          <w:szCs w:val="32"/>
        </w:rPr>
        <w:t>As part of their responsibilities, one peer had to review the allocated student’s presentation and the notes before the actual activity and also the peer was to propose three questions to be discussed after the presentation.</w:t>
      </w:r>
    </w:p>
    <w:p w:rsidR="009A3B2E" w:rsidRPr="009A3B2E" w:rsidRDefault="009A3B2E" w:rsidP="009A3B2E">
      <w:pPr>
        <w:pStyle w:val="NormalWeb"/>
        <w:numPr>
          <w:ilvl w:val="0"/>
          <w:numId w:val="46"/>
        </w:numPr>
        <w:spacing w:before="0" w:beforeAutospacing="0" w:after="0" w:afterAutospacing="0" w:line="360" w:lineRule="auto"/>
        <w:ind w:left="426"/>
        <w:jc w:val="both"/>
        <w:rPr>
          <w:sz w:val="32"/>
          <w:szCs w:val="32"/>
        </w:rPr>
      </w:pPr>
      <w:r w:rsidRPr="009A3B2E">
        <w:rPr>
          <w:sz w:val="32"/>
          <w:szCs w:val="32"/>
        </w:rPr>
        <w:t>Goal-driven evaluation is consistent with this learning approach, which is based on the fulfilment of learning objectives by means of the proposed activities and exercises.</w:t>
      </w:r>
    </w:p>
    <w:p w:rsidR="003A5D44" w:rsidRPr="009A3B2E" w:rsidRDefault="009A3B2E" w:rsidP="00E53AA4">
      <w:pPr>
        <w:pStyle w:val="NormalWeb"/>
        <w:numPr>
          <w:ilvl w:val="0"/>
          <w:numId w:val="46"/>
        </w:numPr>
        <w:spacing w:before="0" w:beforeAutospacing="0" w:after="0" w:afterAutospacing="0" w:line="360" w:lineRule="auto"/>
        <w:ind w:left="426"/>
        <w:jc w:val="both"/>
        <w:rPr>
          <w:sz w:val="32"/>
          <w:szCs w:val="32"/>
        </w:rPr>
      </w:pPr>
      <w:r w:rsidRPr="009A3B2E">
        <w:rPr>
          <w:sz w:val="32"/>
          <w:szCs w:val="32"/>
        </w:rPr>
        <w:t>Engagement is not something inner and static, but open to modifications as an effect of social relationships, the formative environment and the proposed tasks.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A3B2E" w:rsidRDefault="00D13D77" w:rsidP="009A3B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3B2E">
        <w:rPr>
          <w:rFonts w:ascii="Times New Roman" w:eastAsia="AdvGulliv-R" w:hAnsi="Times New Roman" w:cs="Times New Roman"/>
          <w:bCs/>
          <w:sz w:val="32"/>
          <w:szCs w:val="32"/>
          <w:lang w:val="en-IN"/>
        </w:rPr>
        <w:t>Presenters can take advantage of the f</w:t>
      </w:r>
      <w:r w:rsidRPr="009A3B2E">
        <w:rPr>
          <w:rFonts w:ascii="Times New Roman" w:eastAsia="AdvGulliv-R" w:hAnsi="Times New Roman" w:cs="Times New Roman"/>
          <w:bCs/>
          <w:sz w:val="32"/>
          <w:szCs w:val="32"/>
          <w:lang w:val="en-IN"/>
        </w:rPr>
        <w:t>act that there is no interference between text chat and their audio broadcast to receive feedback and questions from the class while they are presenting.</w:t>
      </w:r>
      <w:r w:rsidRPr="009A3B2E">
        <w:rPr>
          <w:rFonts w:ascii="Times New Roman" w:eastAsia="AdvGulliv-R" w:hAnsi="Times New Roman" w:cs="Times New Roman"/>
          <w:bCs/>
          <w:sz w:val="32"/>
          <w:szCs w:val="32"/>
        </w:rPr>
        <w:t xml:space="preserve"> </w:t>
      </w:r>
    </w:p>
    <w:p w:rsidR="00000000" w:rsidRPr="009A3B2E" w:rsidRDefault="00D13D77" w:rsidP="009A3B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3B2E">
        <w:rPr>
          <w:rFonts w:ascii="Times New Roman" w:eastAsia="AdvGulliv-R" w:hAnsi="Times New Roman" w:cs="Times New Roman"/>
          <w:bCs/>
          <w:sz w:val="32"/>
          <w:szCs w:val="32"/>
          <w:lang w:val="en-IN"/>
        </w:rPr>
        <w:lastRenderedPageBreak/>
        <w:t>As such, careful consideration is required to choose the mode of course delivery that promotes great</w:t>
      </w:r>
      <w:r w:rsidRPr="009A3B2E">
        <w:rPr>
          <w:rFonts w:ascii="Times New Roman" w:eastAsia="AdvGulliv-R" w:hAnsi="Times New Roman" w:cs="Times New Roman"/>
          <w:bCs/>
          <w:sz w:val="32"/>
          <w:szCs w:val="32"/>
          <w:lang w:val="en-IN"/>
        </w:rPr>
        <w:t xml:space="preserve">est cognitive efficiency. </w:t>
      </w:r>
    </w:p>
    <w:p w:rsidR="00000000" w:rsidRPr="009A3B2E" w:rsidRDefault="00D13D77" w:rsidP="009A3B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3B2E">
        <w:rPr>
          <w:rFonts w:ascii="Times New Roman" w:eastAsia="AdvGulliv-R" w:hAnsi="Times New Roman" w:cs="Times New Roman"/>
          <w:bCs/>
          <w:sz w:val="32"/>
          <w:szCs w:val="32"/>
          <w:lang w:val="en-IN"/>
        </w:rPr>
        <w:t xml:space="preserve">Permission to make digital or hard copies of all or part of this work for personal or classroom use is granted without fee provided that copies are not made or distributed for profit or commercial advantage and that copies bear </w:t>
      </w:r>
      <w:r w:rsidRPr="009A3B2E">
        <w:rPr>
          <w:rFonts w:ascii="Times New Roman" w:eastAsia="AdvGulliv-R" w:hAnsi="Times New Roman" w:cs="Times New Roman"/>
          <w:bCs/>
          <w:sz w:val="32"/>
          <w:szCs w:val="32"/>
          <w:lang w:val="en-IN"/>
        </w:rPr>
        <w:t>this notice and the full citation on the first page.</w:t>
      </w:r>
    </w:p>
    <w:p w:rsidR="00000000" w:rsidRPr="009A3B2E" w:rsidRDefault="00D13D77" w:rsidP="009A3B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3B2E">
        <w:rPr>
          <w:rFonts w:ascii="Times New Roman" w:eastAsia="AdvGulliv-R" w:hAnsi="Times New Roman" w:cs="Times New Roman"/>
          <w:bCs/>
          <w:sz w:val="32"/>
          <w:szCs w:val="32"/>
          <w:lang w:val="en-IN"/>
        </w:rPr>
        <w:t>This “dual coding” tactic has the added advantages of providing a marker in the text chat archive for the particular concept being addressed, allowing students to process discourse at their own pace, an</w:t>
      </w:r>
      <w:r w:rsidRPr="009A3B2E">
        <w:rPr>
          <w:rFonts w:ascii="Times New Roman" w:eastAsia="AdvGulliv-R" w:hAnsi="Times New Roman" w:cs="Times New Roman"/>
          <w:bCs/>
          <w:sz w:val="32"/>
          <w:szCs w:val="32"/>
          <w:lang w:val="en-IN"/>
        </w:rPr>
        <w:t>d catering to both textual and auditory learning styles.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84C31" w:rsidRDefault="00584C31" w:rsidP="00E53AA4">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The Impact of Virtual Classroom Laboratories in Computer Science Education</w:t>
            </w:r>
          </w:p>
        </w:tc>
        <w:tc>
          <w:tcPr>
            <w:tcW w:w="3192" w:type="dxa"/>
          </w:tcPr>
          <w:p w:rsidR="000C407B" w:rsidRPr="00584C31" w:rsidRDefault="00584C31" w:rsidP="00584C31">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 xml:space="preserve">Bower, M., and Richards, D. </w:t>
            </w:r>
          </w:p>
        </w:tc>
        <w:tc>
          <w:tcPr>
            <w:tcW w:w="3192" w:type="dxa"/>
          </w:tcPr>
          <w:p w:rsidR="000C407B" w:rsidRPr="00584C31" w:rsidRDefault="00584C31" w:rsidP="00E53AA4">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color w:val="333333"/>
                <w:sz w:val="28"/>
                <w:szCs w:val="28"/>
                <w:shd w:val="clear" w:color="auto" w:fill="FFFFFF"/>
              </w:rPr>
              <w:t>In order to gauge the pedagogical implications of conducting Computer Science practical sessions remotely, the Division of ICS at Macquarie University conducted a formal experiment using a virtual classroom environment called Macromedia Breeze Live. </w:t>
            </w:r>
          </w:p>
        </w:tc>
      </w:tr>
      <w:tr w:rsidR="000C407B" w:rsidTr="000C407B">
        <w:trPr>
          <w:trHeight w:val="2942"/>
        </w:trPr>
        <w:tc>
          <w:tcPr>
            <w:tcW w:w="3192" w:type="dxa"/>
          </w:tcPr>
          <w:p w:rsidR="000C407B" w:rsidRPr="00584C31" w:rsidRDefault="00584C31" w:rsidP="00E53AA4">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lastRenderedPageBreak/>
              <w:t>Differences in approaches to learning: An overview</w:t>
            </w:r>
          </w:p>
        </w:tc>
        <w:tc>
          <w:tcPr>
            <w:tcW w:w="3192" w:type="dxa"/>
          </w:tcPr>
          <w:p w:rsidR="000C407B" w:rsidRPr="00584C31" w:rsidRDefault="00584C31" w:rsidP="00584C31">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 xml:space="preserve">Bransford, J. D., Stein, B. S., Vye, N. J., Franks, J. J., Auble, P. M., Mezynski, K. J., and Perfetto, G. A., </w:t>
            </w:r>
          </w:p>
        </w:tc>
        <w:tc>
          <w:tcPr>
            <w:tcW w:w="3192" w:type="dxa"/>
          </w:tcPr>
          <w:p w:rsidR="000C407B" w:rsidRPr="00584C31" w:rsidRDefault="00584C31" w:rsidP="00E53AA4">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While dealing with various approaches, you will study the elements of behaviouristic, cognitive and humanistic approach to learning that have emerged in recent years.</w:t>
            </w:r>
          </w:p>
        </w:tc>
      </w:tr>
      <w:tr w:rsidR="000C407B" w:rsidTr="000C407B">
        <w:tc>
          <w:tcPr>
            <w:tcW w:w="3192" w:type="dxa"/>
          </w:tcPr>
          <w:p w:rsidR="000C407B" w:rsidRPr="00584C31" w:rsidRDefault="00584C31" w:rsidP="00E53AA4">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Dual coding theory and education</w:t>
            </w:r>
          </w:p>
        </w:tc>
        <w:tc>
          <w:tcPr>
            <w:tcW w:w="3192" w:type="dxa"/>
          </w:tcPr>
          <w:p w:rsidR="000C407B" w:rsidRPr="00584C31" w:rsidRDefault="00584C31" w:rsidP="00584C31">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 xml:space="preserve">Clark, J. M., and Paivio, A., </w:t>
            </w:r>
          </w:p>
        </w:tc>
        <w:tc>
          <w:tcPr>
            <w:tcW w:w="3192" w:type="dxa"/>
          </w:tcPr>
          <w:p w:rsidR="000C407B" w:rsidRPr="00584C31" w:rsidRDefault="00584C31" w:rsidP="00E53AA4">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color w:val="333333"/>
                <w:sz w:val="28"/>
                <w:szCs w:val="28"/>
                <w:shd w:val="clear" w:color="auto" w:fill="FFFFFF"/>
              </w:rPr>
              <w:t>Dual coding theory (DCT) explains human behavior and experience in terms of dynamic associative processes that operate on a rich network of modality-specific verbal and nonverbal (or imagery) representations.</w:t>
            </w:r>
          </w:p>
        </w:tc>
      </w:tr>
      <w:tr w:rsidR="000C407B" w:rsidTr="000C407B">
        <w:tc>
          <w:tcPr>
            <w:tcW w:w="3192" w:type="dxa"/>
          </w:tcPr>
          <w:p w:rsidR="000C407B" w:rsidRPr="00584C31" w:rsidRDefault="00584C31" w:rsidP="00E53AA4">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Cognitive Efficiency: Toward a Revised Theory of Media</w:t>
            </w:r>
          </w:p>
        </w:tc>
        <w:tc>
          <w:tcPr>
            <w:tcW w:w="3192" w:type="dxa"/>
          </w:tcPr>
          <w:p w:rsidR="000C407B" w:rsidRPr="00584C31" w:rsidRDefault="00584C31" w:rsidP="00584C31">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 xml:space="preserve">Cobb, T., </w:t>
            </w:r>
          </w:p>
        </w:tc>
        <w:tc>
          <w:tcPr>
            <w:tcW w:w="3192" w:type="dxa"/>
          </w:tcPr>
          <w:p w:rsidR="000C407B" w:rsidRPr="00584C31" w:rsidRDefault="00584C31" w:rsidP="00E53AA4">
            <w:pPr>
              <w:tabs>
                <w:tab w:val="left" w:pos="720"/>
              </w:tabs>
              <w:spacing w:after="100" w:line="360" w:lineRule="auto"/>
              <w:jc w:val="both"/>
              <w:rPr>
                <w:rFonts w:ascii="Times New Roman" w:hAnsi="Times New Roman" w:cs="Times New Roman"/>
                <w:sz w:val="28"/>
                <w:szCs w:val="28"/>
              </w:rPr>
            </w:pPr>
            <w:r w:rsidRPr="00584C31">
              <w:rPr>
                <w:rFonts w:ascii="Times New Roman" w:hAnsi="Times New Roman" w:cs="Times New Roman"/>
                <w:sz w:val="28"/>
                <w:szCs w:val="28"/>
              </w:rPr>
              <w:t>Media and learning can then be reconnected in limited ways that do not compromise any of Clark's main points, and doing this will bring media work into line with current research into the role of surface information codes.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F10A6" w:rsidRDefault="004F10A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F10A6" w:rsidRDefault="004F10A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F10A6" w:rsidP="00E53AA4">
      <w:pPr>
        <w:spacing w:after="0" w:line="360" w:lineRule="auto"/>
        <w:jc w:val="both"/>
        <w:rPr>
          <w:rFonts w:ascii="Times New Roman" w:hAnsi="Times New Roman" w:cs="Times New Roman"/>
        </w:rPr>
      </w:pPr>
      <w:r w:rsidRPr="004F10A6">
        <w:rPr>
          <w:rFonts w:ascii="Times New Roman" w:hAnsi="Times New Roman" w:cs="Times New Roman"/>
        </w:rPr>
        <w:drawing>
          <wp:inline distT="0" distB="0" distL="0" distR="0">
            <wp:extent cx="5943600" cy="430403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F10A6" w:rsidRDefault="004F10A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83489" w:rsidRPr="00547D97" w:rsidRDefault="00683489" w:rsidP="00683489">
      <w:pPr>
        <w:pStyle w:val="BodyText"/>
        <w:rPr>
          <w:bCs/>
          <w:iCs/>
          <w:sz w:val="32"/>
          <w:szCs w:val="32"/>
          <w:lang w:val="en-IN"/>
        </w:rPr>
      </w:pPr>
      <w:r w:rsidRPr="00547D97">
        <w:rPr>
          <w:bCs/>
          <w:iCs/>
          <w:sz w:val="32"/>
          <w:szCs w:val="32"/>
          <w:lang w:val="en-IN"/>
        </w:rPr>
        <w:t xml:space="preserve">    The good news is that the general principles underlying effective online teaching appear to be primarily the same as those for delivering face-to-face. Educators still need to design appropriately pitched tasks with suitable sequence and scope, execute a well timed delivery, provide appropriate motivation, facilitate interaction and so on. However, the way in which those principles are implemented in a virtual classroom is entirely different, due to the affordances and limitations of the medium. Academics who wish to deliver computer science education online require a new set of technical skills and an appreciation of the mechanics of virtual classrooms in order to implement pedagogy successfully. It is hoped that by sharing the experiences and knowledge gained through teaching introductory programming through a virtual classroom interface that other academics presented with a similar task in the future may deliver more effective educational experiences to their students. </w:t>
      </w:r>
    </w:p>
    <w:p w:rsidR="001F1E5A" w:rsidRDefault="001F1E5A" w:rsidP="00E53AA4">
      <w:pPr>
        <w:pStyle w:val="BodyText"/>
        <w:rPr>
          <w:b/>
          <w:iCs/>
          <w:sz w:val="28"/>
          <w:szCs w:val="28"/>
        </w:rPr>
      </w:pPr>
    </w:p>
    <w:p w:rsidR="00547D97" w:rsidRDefault="00547D97" w:rsidP="00E53AA4">
      <w:pPr>
        <w:pStyle w:val="BodyText"/>
        <w:rPr>
          <w:b/>
          <w:iCs/>
          <w:sz w:val="28"/>
          <w:szCs w:val="28"/>
        </w:rPr>
      </w:pPr>
    </w:p>
    <w:p w:rsidR="00547D97" w:rsidRDefault="00547D97" w:rsidP="00E53AA4">
      <w:pPr>
        <w:pStyle w:val="BodyText"/>
        <w:rPr>
          <w:b/>
          <w:iCs/>
          <w:sz w:val="28"/>
          <w:szCs w:val="28"/>
        </w:rPr>
      </w:pPr>
    </w:p>
    <w:p w:rsidR="00547D97" w:rsidRDefault="00547D97" w:rsidP="00E53AA4">
      <w:pPr>
        <w:pStyle w:val="BodyText"/>
        <w:rPr>
          <w:b/>
          <w:iCs/>
          <w:sz w:val="28"/>
          <w:szCs w:val="28"/>
        </w:rPr>
      </w:pPr>
    </w:p>
    <w:p w:rsidR="00547D97" w:rsidRDefault="00547D97" w:rsidP="00E53AA4">
      <w:pPr>
        <w:pStyle w:val="BodyText"/>
        <w:rPr>
          <w:b/>
          <w:iCs/>
          <w:sz w:val="28"/>
          <w:szCs w:val="28"/>
        </w:rPr>
      </w:pPr>
    </w:p>
    <w:p w:rsidR="00547D97" w:rsidRDefault="00547D97" w:rsidP="00E53AA4">
      <w:pPr>
        <w:pStyle w:val="BodyText"/>
        <w:rPr>
          <w:b/>
          <w:iCs/>
          <w:sz w:val="28"/>
          <w:szCs w:val="28"/>
        </w:rPr>
      </w:pPr>
    </w:p>
    <w:p w:rsidR="00547D97" w:rsidRDefault="00547D97" w:rsidP="00E53AA4">
      <w:pPr>
        <w:pStyle w:val="BodyText"/>
        <w:rPr>
          <w:b/>
          <w:iCs/>
          <w:sz w:val="28"/>
          <w:szCs w:val="28"/>
        </w:rPr>
      </w:pPr>
    </w:p>
    <w:p w:rsidR="003C0F6F" w:rsidRDefault="003C0F6F" w:rsidP="00E53AA4">
      <w:pPr>
        <w:pStyle w:val="BodyText"/>
        <w:rPr>
          <w:b/>
          <w:iCs/>
          <w:sz w:val="28"/>
          <w:szCs w:val="28"/>
        </w:rPr>
      </w:pPr>
    </w:p>
    <w:p w:rsidR="00547D97" w:rsidRDefault="00547D9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D24CD" w:rsidRDefault="00D13D77" w:rsidP="00ED24CD">
      <w:pPr>
        <w:pStyle w:val="BodyText"/>
        <w:numPr>
          <w:ilvl w:val="0"/>
          <w:numId w:val="42"/>
        </w:numPr>
        <w:rPr>
          <w:sz w:val="32"/>
          <w:szCs w:val="32"/>
          <w:lang w:val="en-IN"/>
        </w:rPr>
      </w:pPr>
      <w:r w:rsidRPr="00ED24CD">
        <w:rPr>
          <w:sz w:val="32"/>
          <w:szCs w:val="32"/>
          <w:lang w:val="en-IN"/>
        </w:rPr>
        <w:t>[1] B</w:t>
      </w:r>
      <w:r w:rsidRPr="00ED24CD">
        <w:rPr>
          <w:sz w:val="32"/>
          <w:szCs w:val="32"/>
          <w:lang w:val="en-IN"/>
        </w:rPr>
        <w:t xml:space="preserve">ower, M., and Richards, D. The Impact of Virtual Classroom Laboratories in Computer Science Education. In Thirty-Sixth SIGCSE Technical Symposium of Computer Science Education. (St. Louis, Missouri, USA). ACM Press 2005, 292-296. </w:t>
      </w:r>
    </w:p>
    <w:p w:rsidR="00000000" w:rsidRPr="00ED24CD" w:rsidRDefault="00D13D77" w:rsidP="00ED24CD">
      <w:pPr>
        <w:pStyle w:val="BodyText"/>
        <w:numPr>
          <w:ilvl w:val="0"/>
          <w:numId w:val="42"/>
        </w:numPr>
        <w:rPr>
          <w:sz w:val="32"/>
          <w:szCs w:val="32"/>
          <w:lang w:val="en-IN"/>
        </w:rPr>
      </w:pPr>
      <w:r w:rsidRPr="00ED24CD">
        <w:rPr>
          <w:sz w:val="32"/>
          <w:szCs w:val="32"/>
          <w:lang w:val="en-IN"/>
        </w:rPr>
        <w:t>[2] Bransford, J. D., St</w:t>
      </w:r>
      <w:r w:rsidRPr="00ED24CD">
        <w:rPr>
          <w:sz w:val="32"/>
          <w:szCs w:val="32"/>
          <w:lang w:val="en-IN"/>
        </w:rPr>
        <w:t xml:space="preserve">ein, B. S., Vye, N. J., Franks, J. J., Auble, P. M., Mezynski, K. J., and Perfetto, G. A., Differences in approaches to learning: An overview. Journal of Experimental Psychology: General, 3, (1982), 390-398. </w:t>
      </w:r>
    </w:p>
    <w:p w:rsidR="00000000" w:rsidRPr="00ED24CD" w:rsidRDefault="00D13D77" w:rsidP="00ED24CD">
      <w:pPr>
        <w:pStyle w:val="BodyText"/>
        <w:numPr>
          <w:ilvl w:val="0"/>
          <w:numId w:val="42"/>
        </w:numPr>
        <w:rPr>
          <w:sz w:val="32"/>
          <w:szCs w:val="32"/>
          <w:lang w:val="en-IN"/>
        </w:rPr>
      </w:pPr>
      <w:r w:rsidRPr="00ED24CD">
        <w:rPr>
          <w:sz w:val="32"/>
          <w:szCs w:val="32"/>
          <w:lang w:val="en-IN"/>
        </w:rPr>
        <w:t xml:space="preserve">[3] Clark, J. M., and Paivio, A., Dual coding </w:t>
      </w:r>
      <w:r w:rsidRPr="00ED24CD">
        <w:rPr>
          <w:sz w:val="32"/>
          <w:szCs w:val="32"/>
          <w:lang w:val="en-IN"/>
        </w:rPr>
        <w:t xml:space="preserve">theory and education. Educational Psychology Review, 3, 3 (1991), 149-170. </w:t>
      </w:r>
    </w:p>
    <w:p w:rsidR="00000000" w:rsidRPr="00ED24CD" w:rsidRDefault="00D13D77" w:rsidP="00ED24CD">
      <w:pPr>
        <w:pStyle w:val="BodyText"/>
        <w:numPr>
          <w:ilvl w:val="0"/>
          <w:numId w:val="42"/>
        </w:numPr>
        <w:rPr>
          <w:sz w:val="32"/>
          <w:szCs w:val="32"/>
          <w:lang w:val="en-IN"/>
        </w:rPr>
      </w:pPr>
      <w:r w:rsidRPr="00ED24CD">
        <w:rPr>
          <w:sz w:val="32"/>
          <w:szCs w:val="32"/>
          <w:lang w:val="en-IN"/>
        </w:rPr>
        <w:t xml:space="preserve">[4] Cobb, T., Cognitive Efficiency: Toward a Revised Theory of Media. Educational Technology Research and Development, 45, 4 (1997), 21-35. </w:t>
      </w:r>
    </w:p>
    <w:p w:rsidR="00000000" w:rsidRPr="00ED24CD" w:rsidRDefault="00D13D77" w:rsidP="00ED24CD">
      <w:pPr>
        <w:pStyle w:val="BodyText"/>
        <w:numPr>
          <w:ilvl w:val="0"/>
          <w:numId w:val="42"/>
        </w:numPr>
        <w:rPr>
          <w:sz w:val="32"/>
          <w:szCs w:val="32"/>
          <w:lang w:val="en-IN"/>
        </w:rPr>
      </w:pPr>
      <w:r w:rsidRPr="00ED24CD">
        <w:rPr>
          <w:sz w:val="32"/>
          <w:szCs w:val="32"/>
          <w:lang w:val="en-IN"/>
        </w:rPr>
        <w:t>[5] Collins, A., Brown, J., and Holum</w:t>
      </w:r>
      <w:r w:rsidRPr="00ED24CD">
        <w:rPr>
          <w:sz w:val="32"/>
          <w:szCs w:val="32"/>
          <w:lang w:val="en-IN"/>
        </w:rPr>
        <w:t>, A., Cognitive apprenticeship: Making thinking visible. American Educator, 6, 11 (1991), 38-46</w:t>
      </w:r>
      <w:r w:rsidRPr="00ED24CD">
        <w:rPr>
          <w:sz w:val="32"/>
          <w:szCs w:val="32"/>
        </w:rPr>
        <w:t xml:space="preserve"> </w:t>
      </w:r>
    </w:p>
    <w:p w:rsidR="00000000" w:rsidRPr="00ED24CD" w:rsidRDefault="00D13D77" w:rsidP="00ED24CD">
      <w:pPr>
        <w:pStyle w:val="BodyText"/>
        <w:numPr>
          <w:ilvl w:val="0"/>
          <w:numId w:val="42"/>
        </w:numPr>
        <w:rPr>
          <w:sz w:val="32"/>
          <w:szCs w:val="32"/>
          <w:lang w:val="en-IN"/>
        </w:rPr>
      </w:pPr>
      <w:r w:rsidRPr="00ED24CD">
        <w:rPr>
          <w:sz w:val="32"/>
          <w:szCs w:val="32"/>
          <w:lang w:val="en-IN"/>
        </w:rPr>
        <w:t xml:space="preserve">[6] Craik, F. I. M., and Lockhart, R. S., Levels of processing: A framework for memory research. Journal of Verbal Thinking and Verbal Behaviour, 11, (1972), </w:t>
      </w:r>
      <w:r w:rsidRPr="00ED24CD">
        <w:rPr>
          <w:sz w:val="32"/>
          <w:szCs w:val="32"/>
          <w:lang w:val="en-IN"/>
        </w:rPr>
        <w:t xml:space="preserve">671-684. </w:t>
      </w:r>
    </w:p>
    <w:p w:rsidR="00000000" w:rsidRPr="00ED24CD" w:rsidRDefault="00D13D77" w:rsidP="00ED24CD">
      <w:pPr>
        <w:pStyle w:val="BodyText"/>
        <w:numPr>
          <w:ilvl w:val="0"/>
          <w:numId w:val="42"/>
        </w:numPr>
        <w:rPr>
          <w:sz w:val="32"/>
          <w:szCs w:val="32"/>
          <w:lang w:val="en-IN"/>
        </w:rPr>
      </w:pPr>
      <w:r w:rsidRPr="00ED24CD">
        <w:rPr>
          <w:sz w:val="32"/>
          <w:szCs w:val="32"/>
          <w:lang w:val="en-IN"/>
        </w:rPr>
        <w:t xml:space="preserve">[7] Fåhræus, E. R., Bridgeman, N., Rugelj, J., Chamberlain, B., and Fuller, U. Teaching with Electronic Collaborative Learning Groups: Report of the ITiCSE'99 Working Group on Creative </w:t>
      </w:r>
      <w:r w:rsidRPr="00ED24CD">
        <w:rPr>
          <w:sz w:val="32"/>
          <w:szCs w:val="32"/>
          <w:lang w:val="en-IN"/>
        </w:rPr>
        <w:lastRenderedPageBreak/>
        <w:t>Teaching of Electronic Collaborative Learning Groups. In Ann</w:t>
      </w:r>
      <w:r w:rsidRPr="00ED24CD">
        <w:rPr>
          <w:sz w:val="32"/>
          <w:szCs w:val="32"/>
          <w:lang w:val="en-IN"/>
        </w:rPr>
        <w:t xml:space="preserve">ual Joint Conference Integrating Technology into Computer Science Education. (Cracow, Poland). ACM, NY, USA 1999, 121-128. </w:t>
      </w:r>
    </w:p>
    <w:p w:rsidR="00000000" w:rsidRPr="00ED24CD" w:rsidRDefault="00D13D77" w:rsidP="00ED24CD">
      <w:pPr>
        <w:pStyle w:val="BodyText"/>
        <w:numPr>
          <w:ilvl w:val="0"/>
          <w:numId w:val="42"/>
        </w:numPr>
        <w:rPr>
          <w:sz w:val="32"/>
          <w:szCs w:val="32"/>
          <w:lang w:val="en-IN"/>
        </w:rPr>
      </w:pPr>
      <w:r w:rsidRPr="00ED24CD">
        <w:rPr>
          <w:sz w:val="32"/>
          <w:szCs w:val="32"/>
          <w:lang w:val="en-IN"/>
        </w:rPr>
        <w:t xml:space="preserve">[8] Fisher, G. (1996) Making Learning a Part of Life - Beyond the "Gift Wrapping" approach to Technology. Last accessed [Available </w:t>
      </w:r>
      <w:r w:rsidRPr="00ED24CD">
        <w:rPr>
          <w:sz w:val="32"/>
          <w:szCs w:val="32"/>
          <w:lang w:val="en-IN"/>
        </w:rPr>
        <w:t xml:space="preserve">at: http://www.cs.colorado.edu/~l3d/presentations/gf-wlf/] </w:t>
      </w:r>
    </w:p>
    <w:p w:rsidR="00000000" w:rsidRPr="00ED24CD" w:rsidRDefault="00D13D77" w:rsidP="00ED24CD">
      <w:pPr>
        <w:pStyle w:val="BodyText"/>
        <w:numPr>
          <w:ilvl w:val="0"/>
          <w:numId w:val="42"/>
        </w:numPr>
        <w:rPr>
          <w:sz w:val="32"/>
          <w:szCs w:val="32"/>
          <w:lang w:val="en-IN"/>
        </w:rPr>
      </w:pPr>
      <w:r w:rsidRPr="00ED24CD">
        <w:rPr>
          <w:sz w:val="32"/>
          <w:szCs w:val="32"/>
          <w:lang w:val="en-IN"/>
        </w:rPr>
        <w:t xml:space="preserve">[9] Hatcher, S. Reading between the lines: Metacommunicative aspects of online education. In 111th Annual Conference of the American Psychological Association. (Toronto, Canada). 2003, 1-11. </w:t>
      </w:r>
    </w:p>
    <w:p w:rsidR="00000000" w:rsidRPr="00ED24CD" w:rsidRDefault="00D13D77" w:rsidP="00ED24CD">
      <w:pPr>
        <w:pStyle w:val="BodyText"/>
        <w:numPr>
          <w:ilvl w:val="0"/>
          <w:numId w:val="42"/>
        </w:numPr>
        <w:rPr>
          <w:sz w:val="32"/>
          <w:szCs w:val="32"/>
          <w:lang w:val="en-IN"/>
        </w:rPr>
      </w:pPr>
      <w:r w:rsidRPr="00ED24CD">
        <w:rPr>
          <w:sz w:val="32"/>
          <w:szCs w:val="32"/>
          <w:lang w:val="en-IN"/>
        </w:rPr>
        <w:t>[1</w:t>
      </w:r>
      <w:r w:rsidRPr="00ED24CD">
        <w:rPr>
          <w:sz w:val="32"/>
          <w:szCs w:val="32"/>
          <w:lang w:val="en-IN"/>
        </w:rPr>
        <w:t xml:space="preserve">0] Knowles, The Adult Learner: A Neglected Species. 3rd ed. Gulf Publishing. Houston, 1984.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3D77" w:rsidRDefault="00D13D77" w:rsidP="003654DF">
      <w:pPr>
        <w:spacing w:after="0" w:line="240" w:lineRule="auto"/>
      </w:pPr>
      <w:r>
        <w:separator/>
      </w:r>
    </w:p>
  </w:endnote>
  <w:endnote w:type="continuationSeparator" w:id="1">
    <w:p w:rsidR="00D13D77" w:rsidRDefault="00D13D7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3D77" w:rsidRDefault="00D13D77" w:rsidP="003654DF">
      <w:pPr>
        <w:spacing w:after="0" w:line="240" w:lineRule="auto"/>
      </w:pPr>
      <w:r>
        <w:separator/>
      </w:r>
    </w:p>
  </w:footnote>
  <w:footnote w:type="continuationSeparator" w:id="1">
    <w:p w:rsidR="00D13D77" w:rsidRDefault="00D13D7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63E3B">
        <w:pPr>
          <w:pStyle w:val="Header"/>
          <w:jc w:val="right"/>
        </w:pPr>
        <w:fldSimple w:instr=" PAGE   \* MERGEFORMAT ">
          <w:r w:rsidR="004F10A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CC69AA"/>
    <w:multiLevelType w:val="hybridMultilevel"/>
    <w:tmpl w:val="E73EDA68"/>
    <w:lvl w:ilvl="0" w:tplc="6884241C">
      <w:start w:val="1"/>
      <w:numFmt w:val="bullet"/>
      <w:lvlText w:val=""/>
      <w:lvlJc w:val="left"/>
      <w:pPr>
        <w:tabs>
          <w:tab w:val="num" w:pos="720"/>
        </w:tabs>
        <w:ind w:left="720" w:hanging="360"/>
      </w:pPr>
      <w:rPr>
        <w:rFonts w:ascii="Wingdings 2" w:hAnsi="Wingdings 2" w:hint="default"/>
      </w:rPr>
    </w:lvl>
    <w:lvl w:ilvl="1" w:tplc="C0561890" w:tentative="1">
      <w:start w:val="1"/>
      <w:numFmt w:val="bullet"/>
      <w:lvlText w:val=""/>
      <w:lvlJc w:val="left"/>
      <w:pPr>
        <w:tabs>
          <w:tab w:val="num" w:pos="1440"/>
        </w:tabs>
        <w:ind w:left="1440" w:hanging="360"/>
      </w:pPr>
      <w:rPr>
        <w:rFonts w:ascii="Wingdings 2" w:hAnsi="Wingdings 2" w:hint="default"/>
      </w:rPr>
    </w:lvl>
    <w:lvl w:ilvl="2" w:tplc="CADE27D8" w:tentative="1">
      <w:start w:val="1"/>
      <w:numFmt w:val="bullet"/>
      <w:lvlText w:val=""/>
      <w:lvlJc w:val="left"/>
      <w:pPr>
        <w:tabs>
          <w:tab w:val="num" w:pos="2160"/>
        </w:tabs>
        <w:ind w:left="2160" w:hanging="360"/>
      </w:pPr>
      <w:rPr>
        <w:rFonts w:ascii="Wingdings 2" w:hAnsi="Wingdings 2" w:hint="default"/>
      </w:rPr>
    </w:lvl>
    <w:lvl w:ilvl="3" w:tplc="DFA2D638" w:tentative="1">
      <w:start w:val="1"/>
      <w:numFmt w:val="bullet"/>
      <w:lvlText w:val=""/>
      <w:lvlJc w:val="left"/>
      <w:pPr>
        <w:tabs>
          <w:tab w:val="num" w:pos="2880"/>
        </w:tabs>
        <w:ind w:left="2880" w:hanging="360"/>
      </w:pPr>
      <w:rPr>
        <w:rFonts w:ascii="Wingdings 2" w:hAnsi="Wingdings 2" w:hint="default"/>
      </w:rPr>
    </w:lvl>
    <w:lvl w:ilvl="4" w:tplc="BD200390" w:tentative="1">
      <w:start w:val="1"/>
      <w:numFmt w:val="bullet"/>
      <w:lvlText w:val=""/>
      <w:lvlJc w:val="left"/>
      <w:pPr>
        <w:tabs>
          <w:tab w:val="num" w:pos="3600"/>
        </w:tabs>
        <w:ind w:left="3600" w:hanging="360"/>
      </w:pPr>
      <w:rPr>
        <w:rFonts w:ascii="Wingdings 2" w:hAnsi="Wingdings 2" w:hint="default"/>
      </w:rPr>
    </w:lvl>
    <w:lvl w:ilvl="5" w:tplc="04F0DC6E" w:tentative="1">
      <w:start w:val="1"/>
      <w:numFmt w:val="bullet"/>
      <w:lvlText w:val=""/>
      <w:lvlJc w:val="left"/>
      <w:pPr>
        <w:tabs>
          <w:tab w:val="num" w:pos="4320"/>
        </w:tabs>
        <w:ind w:left="4320" w:hanging="360"/>
      </w:pPr>
      <w:rPr>
        <w:rFonts w:ascii="Wingdings 2" w:hAnsi="Wingdings 2" w:hint="default"/>
      </w:rPr>
    </w:lvl>
    <w:lvl w:ilvl="6" w:tplc="EF2028B2" w:tentative="1">
      <w:start w:val="1"/>
      <w:numFmt w:val="bullet"/>
      <w:lvlText w:val=""/>
      <w:lvlJc w:val="left"/>
      <w:pPr>
        <w:tabs>
          <w:tab w:val="num" w:pos="5040"/>
        </w:tabs>
        <w:ind w:left="5040" w:hanging="360"/>
      </w:pPr>
      <w:rPr>
        <w:rFonts w:ascii="Wingdings 2" w:hAnsi="Wingdings 2" w:hint="default"/>
      </w:rPr>
    </w:lvl>
    <w:lvl w:ilvl="7" w:tplc="AD4608C2" w:tentative="1">
      <w:start w:val="1"/>
      <w:numFmt w:val="bullet"/>
      <w:lvlText w:val=""/>
      <w:lvlJc w:val="left"/>
      <w:pPr>
        <w:tabs>
          <w:tab w:val="num" w:pos="5760"/>
        </w:tabs>
        <w:ind w:left="5760" w:hanging="360"/>
      </w:pPr>
      <w:rPr>
        <w:rFonts w:ascii="Wingdings 2" w:hAnsi="Wingdings 2" w:hint="default"/>
      </w:rPr>
    </w:lvl>
    <w:lvl w:ilvl="8" w:tplc="50D0950A"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2FEB0592"/>
    <w:multiLevelType w:val="hybridMultilevel"/>
    <w:tmpl w:val="C8840FD8"/>
    <w:lvl w:ilvl="0" w:tplc="3F8EB8F8">
      <w:start w:val="1"/>
      <w:numFmt w:val="bullet"/>
      <w:lvlText w:val=""/>
      <w:lvlJc w:val="left"/>
      <w:pPr>
        <w:tabs>
          <w:tab w:val="num" w:pos="720"/>
        </w:tabs>
        <w:ind w:left="720" w:hanging="360"/>
      </w:pPr>
      <w:rPr>
        <w:rFonts w:ascii="Wingdings 2" w:hAnsi="Wingdings 2" w:hint="default"/>
      </w:rPr>
    </w:lvl>
    <w:lvl w:ilvl="1" w:tplc="99943FD6" w:tentative="1">
      <w:start w:val="1"/>
      <w:numFmt w:val="bullet"/>
      <w:lvlText w:val=""/>
      <w:lvlJc w:val="left"/>
      <w:pPr>
        <w:tabs>
          <w:tab w:val="num" w:pos="1440"/>
        </w:tabs>
        <w:ind w:left="1440" w:hanging="360"/>
      </w:pPr>
      <w:rPr>
        <w:rFonts w:ascii="Wingdings 2" w:hAnsi="Wingdings 2" w:hint="default"/>
      </w:rPr>
    </w:lvl>
    <w:lvl w:ilvl="2" w:tplc="4670BD62" w:tentative="1">
      <w:start w:val="1"/>
      <w:numFmt w:val="bullet"/>
      <w:lvlText w:val=""/>
      <w:lvlJc w:val="left"/>
      <w:pPr>
        <w:tabs>
          <w:tab w:val="num" w:pos="2160"/>
        </w:tabs>
        <w:ind w:left="2160" w:hanging="360"/>
      </w:pPr>
      <w:rPr>
        <w:rFonts w:ascii="Wingdings 2" w:hAnsi="Wingdings 2" w:hint="default"/>
      </w:rPr>
    </w:lvl>
    <w:lvl w:ilvl="3" w:tplc="EB782318" w:tentative="1">
      <w:start w:val="1"/>
      <w:numFmt w:val="bullet"/>
      <w:lvlText w:val=""/>
      <w:lvlJc w:val="left"/>
      <w:pPr>
        <w:tabs>
          <w:tab w:val="num" w:pos="2880"/>
        </w:tabs>
        <w:ind w:left="2880" w:hanging="360"/>
      </w:pPr>
      <w:rPr>
        <w:rFonts w:ascii="Wingdings 2" w:hAnsi="Wingdings 2" w:hint="default"/>
      </w:rPr>
    </w:lvl>
    <w:lvl w:ilvl="4" w:tplc="972ABFD4" w:tentative="1">
      <w:start w:val="1"/>
      <w:numFmt w:val="bullet"/>
      <w:lvlText w:val=""/>
      <w:lvlJc w:val="left"/>
      <w:pPr>
        <w:tabs>
          <w:tab w:val="num" w:pos="3600"/>
        </w:tabs>
        <w:ind w:left="3600" w:hanging="360"/>
      </w:pPr>
      <w:rPr>
        <w:rFonts w:ascii="Wingdings 2" w:hAnsi="Wingdings 2" w:hint="default"/>
      </w:rPr>
    </w:lvl>
    <w:lvl w:ilvl="5" w:tplc="DDE4F5F6" w:tentative="1">
      <w:start w:val="1"/>
      <w:numFmt w:val="bullet"/>
      <w:lvlText w:val=""/>
      <w:lvlJc w:val="left"/>
      <w:pPr>
        <w:tabs>
          <w:tab w:val="num" w:pos="4320"/>
        </w:tabs>
        <w:ind w:left="4320" w:hanging="360"/>
      </w:pPr>
      <w:rPr>
        <w:rFonts w:ascii="Wingdings 2" w:hAnsi="Wingdings 2" w:hint="default"/>
      </w:rPr>
    </w:lvl>
    <w:lvl w:ilvl="6" w:tplc="611CE892" w:tentative="1">
      <w:start w:val="1"/>
      <w:numFmt w:val="bullet"/>
      <w:lvlText w:val=""/>
      <w:lvlJc w:val="left"/>
      <w:pPr>
        <w:tabs>
          <w:tab w:val="num" w:pos="5040"/>
        </w:tabs>
        <w:ind w:left="5040" w:hanging="360"/>
      </w:pPr>
      <w:rPr>
        <w:rFonts w:ascii="Wingdings 2" w:hAnsi="Wingdings 2" w:hint="default"/>
      </w:rPr>
    </w:lvl>
    <w:lvl w:ilvl="7" w:tplc="D8BE7FA0" w:tentative="1">
      <w:start w:val="1"/>
      <w:numFmt w:val="bullet"/>
      <w:lvlText w:val=""/>
      <w:lvlJc w:val="left"/>
      <w:pPr>
        <w:tabs>
          <w:tab w:val="num" w:pos="5760"/>
        </w:tabs>
        <w:ind w:left="5760" w:hanging="360"/>
      </w:pPr>
      <w:rPr>
        <w:rFonts w:ascii="Wingdings 2" w:hAnsi="Wingdings 2" w:hint="default"/>
      </w:rPr>
    </w:lvl>
    <w:lvl w:ilvl="8" w:tplc="A9F2326E"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B71922"/>
    <w:multiLevelType w:val="hybridMultilevel"/>
    <w:tmpl w:val="E80218A6"/>
    <w:lvl w:ilvl="0" w:tplc="0BF895FA">
      <w:start w:val="1"/>
      <w:numFmt w:val="bullet"/>
      <w:lvlText w:val=""/>
      <w:lvlJc w:val="left"/>
      <w:pPr>
        <w:tabs>
          <w:tab w:val="num" w:pos="720"/>
        </w:tabs>
        <w:ind w:left="720" w:hanging="360"/>
      </w:pPr>
      <w:rPr>
        <w:rFonts w:ascii="Wingdings 2" w:hAnsi="Wingdings 2" w:hint="default"/>
      </w:rPr>
    </w:lvl>
    <w:lvl w:ilvl="1" w:tplc="43DCCA7E" w:tentative="1">
      <w:start w:val="1"/>
      <w:numFmt w:val="bullet"/>
      <w:lvlText w:val=""/>
      <w:lvlJc w:val="left"/>
      <w:pPr>
        <w:tabs>
          <w:tab w:val="num" w:pos="1440"/>
        </w:tabs>
        <w:ind w:left="1440" w:hanging="360"/>
      </w:pPr>
      <w:rPr>
        <w:rFonts w:ascii="Wingdings 2" w:hAnsi="Wingdings 2" w:hint="default"/>
      </w:rPr>
    </w:lvl>
    <w:lvl w:ilvl="2" w:tplc="D3FE598E" w:tentative="1">
      <w:start w:val="1"/>
      <w:numFmt w:val="bullet"/>
      <w:lvlText w:val=""/>
      <w:lvlJc w:val="left"/>
      <w:pPr>
        <w:tabs>
          <w:tab w:val="num" w:pos="2160"/>
        </w:tabs>
        <w:ind w:left="2160" w:hanging="360"/>
      </w:pPr>
      <w:rPr>
        <w:rFonts w:ascii="Wingdings 2" w:hAnsi="Wingdings 2" w:hint="default"/>
      </w:rPr>
    </w:lvl>
    <w:lvl w:ilvl="3" w:tplc="383486CA" w:tentative="1">
      <w:start w:val="1"/>
      <w:numFmt w:val="bullet"/>
      <w:lvlText w:val=""/>
      <w:lvlJc w:val="left"/>
      <w:pPr>
        <w:tabs>
          <w:tab w:val="num" w:pos="2880"/>
        </w:tabs>
        <w:ind w:left="2880" w:hanging="360"/>
      </w:pPr>
      <w:rPr>
        <w:rFonts w:ascii="Wingdings 2" w:hAnsi="Wingdings 2" w:hint="default"/>
      </w:rPr>
    </w:lvl>
    <w:lvl w:ilvl="4" w:tplc="89560850" w:tentative="1">
      <w:start w:val="1"/>
      <w:numFmt w:val="bullet"/>
      <w:lvlText w:val=""/>
      <w:lvlJc w:val="left"/>
      <w:pPr>
        <w:tabs>
          <w:tab w:val="num" w:pos="3600"/>
        </w:tabs>
        <w:ind w:left="3600" w:hanging="360"/>
      </w:pPr>
      <w:rPr>
        <w:rFonts w:ascii="Wingdings 2" w:hAnsi="Wingdings 2" w:hint="default"/>
      </w:rPr>
    </w:lvl>
    <w:lvl w:ilvl="5" w:tplc="3C526E0A" w:tentative="1">
      <w:start w:val="1"/>
      <w:numFmt w:val="bullet"/>
      <w:lvlText w:val=""/>
      <w:lvlJc w:val="left"/>
      <w:pPr>
        <w:tabs>
          <w:tab w:val="num" w:pos="4320"/>
        </w:tabs>
        <w:ind w:left="4320" w:hanging="360"/>
      </w:pPr>
      <w:rPr>
        <w:rFonts w:ascii="Wingdings 2" w:hAnsi="Wingdings 2" w:hint="default"/>
      </w:rPr>
    </w:lvl>
    <w:lvl w:ilvl="6" w:tplc="CFD46F5A" w:tentative="1">
      <w:start w:val="1"/>
      <w:numFmt w:val="bullet"/>
      <w:lvlText w:val=""/>
      <w:lvlJc w:val="left"/>
      <w:pPr>
        <w:tabs>
          <w:tab w:val="num" w:pos="5040"/>
        </w:tabs>
        <w:ind w:left="5040" w:hanging="360"/>
      </w:pPr>
      <w:rPr>
        <w:rFonts w:ascii="Wingdings 2" w:hAnsi="Wingdings 2" w:hint="default"/>
      </w:rPr>
    </w:lvl>
    <w:lvl w:ilvl="7" w:tplc="2FC293CE" w:tentative="1">
      <w:start w:val="1"/>
      <w:numFmt w:val="bullet"/>
      <w:lvlText w:val=""/>
      <w:lvlJc w:val="left"/>
      <w:pPr>
        <w:tabs>
          <w:tab w:val="num" w:pos="5760"/>
        </w:tabs>
        <w:ind w:left="5760" w:hanging="360"/>
      </w:pPr>
      <w:rPr>
        <w:rFonts w:ascii="Wingdings 2" w:hAnsi="Wingdings 2" w:hint="default"/>
      </w:rPr>
    </w:lvl>
    <w:lvl w:ilvl="8" w:tplc="DDE8A6C6"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3C4F96"/>
    <w:multiLevelType w:val="hybridMultilevel"/>
    <w:tmpl w:val="F1A03672"/>
    <w:lvl w:ilvl="0" w:tplc="3722A564">
      <w:start w:val="1"/>
      <w:numFmt w:val="bullet"/>
      <w:lvlText w:val=""/>
      <w:lvlJc w:val="left"/>
      <w:pPr>
        <w:tabs>
          <w:tab w:val="num" w:pos="720"/>
        </w:tabs>
        <w:ind w:left="720" w:hanging="360"/>
      </w:pPr>
      <w:rPr>
        <w:rFonts w:ascii="Wingdings 2" w:hAnsi="Wingdings 2" w:hint="default"/>
      </w:rPr>
    </w:lvl>
    <w:lvl w:ilvl="1" w:tplc="5F5C9F6C" w:tentative="1">
      <w:start w:val="1"/>
      <w:numFmt w:val="bullet"/>
      <w:lvlText w:val=""/>
      <w:lvlJc w:val="left"/>
      <w:pPr>
        <w:tabs>
          <w:tab w:val="num" w:pos="1440"/>
        </w:tabs>
        <w:ind w:left="1440" w:hanging="360"/>
      </w:pPr>
      <w:rPr>
        <w:rFonts w:ascii="Wingdings 2" w:hAnsi="Wingdings 2" w:hint="default"/>
      </w:rPr>
    </w:lvl>
    <w:lvl w:ilvl="2" w:tplc="A34871FA" w:tentative="1">
      <w:start w:val="1"/>
      <w:numFmt w:val="bullet"/>
      <w:lvlText w:val=""/>
      <w:lvlJc w:val="left"/>
      <w:pPr>
        <w:tabs>
          <w:tab w:val="num" w:pos="2160"/>
        </w:tabs>
        <w:ind w:left="2160" w:hanging="360"/>
      </w:pPr>
      <w:rPr>
        <w:rFonts w:ascii="Wingdings 2" w:hAnsi="Wingdings 2" w:hint="default"/>
      </w:rPr>
    </w:lvl>
    <w:lvl w:ilvl="3" w:tplc="F7900D3A" w:tentative="1">
      <w:start w:val="1"/>
      <w:numFmt w:val="bullet"/>
      <w:lvlText w:val=""/>
      <w:lvlJc w:val="left"/>
      <w:pPr>
        <w:tabs>
          <w:tab w:val="num" w:pos="2880"/>
        </w:tabs>
        <w:ind w:left="2880" w:hanging="360"/>
      </w:pPr>
      <w:rPr>
        <w:rFonts w:ascii="Wingdings 2" w:hAnsi="Wingdings 2" w:hint="default"/>
      </w:rPr>
    </w:lvl>
    <w:lvl w:ilvl="4" w:tplc="D638D0D6" w:tentative="1">
      <w:start w:val="1"/>
      <w:numFmt w:val="bullet"/>
      <w:lvlText w:val=""/>
      <w:lvlJc w:val="left"/>
      <w:pPr>
        <w:tabs>
          <w:tab w:val="num" w:pos="3600"/>
        </w:tabs>
        <w:ind w:left="3600" w:hanging="360"/>
      </w:pPr>
      <w:rPr>
        <w:rFonts w:ascii="Wingdings 2" w:hAnsi="Wingdings 2" w:hint="default"/>
      </w:rPr>
    </w:lvl>
    <w:lvl w:ilvl="5" w:tplc="48881518" w:tentative="1">
      <w:start w:val="1"/>
      <w:numFmt w:val="bullet"/>
      <w:lvlText w:val=""/>
      <w:lvlJc w:val="left"/>
      <w:pPr>
        <w:tabs>
          <w:tab w:val="num" w:pos="4320"/>
        </w:tabs>
        <w:ind w:left="4320" w:hanging="360"/>
      </w:pPr>
      <w:rPr>
        <w:rFonts w:ascii="Wingdings 2" w:hAnsi="Wingdings 2" w:hint="default"/>
      </w:rPr>
    </w:lvl>
    <w:lvl w:ilvl="6" w:tplc="90E4E7CA" w:tentative="1">
      <w:start w:val="1"/>
      <w:numFmt w:val="bullet"/>
      <w:lvlText w:val=""/>
      <w:lvlJc w:val="left"/>
      <w:pPr>
        <w:tabs>
          <w:tab w:val="num" w:pos="5040"/>
        </w:tabs>
        <w:ind w:left="5040" w:hanging="360"/>
      </w:pPr>
      <w:rPr>
        <w:rFonts w:ascii="Wingdings 2" w:hAnsi="Wingdings 2" w:hint="default"/>
      </w:rPr>
    </w:lvl>
    <w:lvl w:ilvl="7" w:tplc="D8D4BE06" w:tentative="1">
      <w:start w:val="1"/>
      <w:numFmt w:val="bullet"/>
      <w:lvlText w:val=""/>
      <w:lvlJc w:val="left"/>
      <w:pPr>
        <w:tabs>
          <w:tab w:val="num" w:pos="5760"/>
        </w:tabs>
        <w:ind w:left="5760" w:hanging="360"/>
      </w:pPr>
      <w:rPr>
        <w:rFonts w:ascii="Wingdings 2" w:hAnsi="Wingdings 2" w:hint="default"/>
      </w:rPr>
    </w:lvl>
    <w:lvl w:ilvl="8" w:tplc="82FC879E"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1C1C15"/>
    <w:multiLevelType w:val="hybridMultilevel"/>
    <w:tmpl w:val="FE40A97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3E1E24"/>
    <w:multiLevelType w:val="hybridMultilevel"/>
    <w:tmpl w:val="17F2FFDC"/>
    <w:lvl w:ilvl="0" w:tplc="671AE6B2">
      <w:start w:val="1"/>
      <w:numFmt w:val="bullet"/>
      <w:lvlText w:val=""/>
      <w:lvlJc w:val="left"/>
      <w:pPr>
        <w:tabs>
          <w:tab w:val="num" w:pos="720"/>
        </w:tabs>
        <w:ind w:left="720" w:hanging="360"/>
      </w:pPr>
      <w:rPr>
        <w:rFonts w:ascii="Wingdings 2" w:hAnsi="Wingdings 2" w:hint="default"/>
      </w:rPr>
    </w:lvl>
    <w:lvl w:ilvl="1" w:tplc="E9FCF014" w:tentative="1">
      <w:start w:val="1"/>
      <w:numFmt w:val="bullet"/>
      <w:lvlText w:val=""/>
      <w:lvlJc w:val="left"/>
      <w:pPr>
        <w:tabs>
          <w:tab w:val="num" w:pos="1440"/>
        </w:tabs>
        <w:ind w:left="1440" w:hanging="360"/>
      </w:pPr>
      <w:rPr>
        <w:rFonts w:ascii="Wingdings 2" w:hAnsi="Wingdings 2" w:hint="default"/>
      </w:rPr>
    </w:lvl>
    <w:lvl w:ilvl="2" w:tplc="F44CCB86" w:tentative="1">
      <w:start w:val="1"/>
      <w:numFmt w:val="bullet"/>
      <w:lvlText w:val=""/>
      <w:lvlJc w:val="left"/>
      <w:pPr>
        <w:tabs>
          <w:tab w:val="num" w:pos="2160"/>
        </w:tabs>
        <w:ind w:left="2160" w:hanging="360"/>
      </w:pPr>
      <w:rPr>
        <w:rFonts w:ascii="Wingdings 2" w:hAnsi="Wingdings 2" w:hint="default"/>
      </w:rPr>
    </w:lvl>
    <w:lvl w:ilvl="3" w:tplc="707A578A" w:tentative="1">
      <w:start w:val="1"/>
      <w:numFmt w:val="bullet"/>
      <w:lvlText w:val=""/>
      <w:lvlJc w:val="left"/>
      <w:pPr>
        <w:tabs>
          <w:tab w:val="num" w:pos="2880"/>
        </w:tabs>
        <w:ind w:left="2880" w:hanging="360"/>
      </w:pPr>
      <w:rPr>
        <w:rFonts w:ascii="Wingdings 2" w:hAnsi="Wingdings 2" w:hint="default"/>
      </w:rPr>
    </w:lvl>
    <w:lvl w:ilvl="4" w:tplc="A40289AE" w:tentative="1">
      <w:start w:val="1"/>
      <w:numFmt w:val="bullet"/>
      <w:lvlText w:val=""/>
      <w:lvlJc w:val="left"/>
      <w:pPr>
        <w:tabs>
          <w:tab w:val="num" w:pos="3600"/>
        </w:tabs>
        <w:ind w:left="3600" w:hanging="360"/>
      </w:pPr>
      <w:rPr>
        <w:rFonts w:ascii="Wingdings 2" w:hAnsi="Wingdings 2" w:hint="default"/>
      </w:rPr>
    </w:lvl>
    <w:lvl w:ilvl="5" w:tplc="82DA8F10" w:tentative="1">
      <w:start w:val="1"/>
      <w:numFmt w:val="bullet"/>
      <w:lvlText w:val=""/>
      <w:lvlJc w:val="left"/>
      <w:pPr>
        <w:tabs>
          <w:tab w:val="num" w:pos="4320"/>
        </w:tabs>
        <w:ind w:left="4320" w:hanging="360"/>
      </w:pPr>
      <w:rPr>
        <w:rFonts w:ascii="Wingdings 2" w:hAnsi="Wingdings 2" w:hint="default"/>
      </w:rPr>
    </w:lvl>
    <w:lvl w:ilvl="6" w:tplc="CF14DB1C" w:tentative="1">
      <w:start w:val="1"/>
      <w:numFmt w:val="bullet"/>
      <w:lvlText w:val=""/>
      <w:lvlJc w:val="left"/>
      <w:pPr>
        <w:tabs>
          <w:tab w:val="num" w:pos="5040"/>
        </w:tabs>
        <w:ind w:left="5040" w:hanging="360"/>
      </w:pPr>
      <w:rPr>
        <w:rFonts w:ascii="Wingdings 2" w:hAnsi="Wingdings 2" w:hint="default"/>
      </w:rPr>
    </w:lvl>
    <w:lvl w:ilvl="7" w:tplc="78500F94" w:tentative="1">
      <w:start w:val="1"/>
      <w:numFmt w:val="bullet"/>
      <w:lvlText w:val=""/>
      <w:lvlJc w:val="left"/>
      <w:pPr>
        <w:tabs>
          <w:tab w:val="num" w:pos="5760"/>
        </w:tabs>
        <w:ind w:left="5760" w:hanging="360"/>
      </w:pPr>
      <w:rPr>
        <w:rFonts w:ascii="Wingdings 2" w:hAnsi="Wingdings 2" w:hint="default"/>
      </w:rPr>
    </w:lvl>
    <w:lvl w:ilvl="8" w:tplc="14F8B19A"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8"/>
  </w:num>
  <w:num w:numId="27">
    <w:abstractNumId w:val="3"/>
  </w:num>
  <w:num w:numId="28">
    <w:abstractNumId w:val="10"/>
  </w:num>
  <w:num w:numId="29">
    <w:abstractNumId w:val="33"/>
  </w:num>
  <w:num w:numId="30">
    <w:abstractNumId w:val="40"/>
  </w:num>
  <w:num w:numId="31">
    <w:abstractNumId w:val="30"/>
  </w:num>
  <w:num w:numId="32">
    <w:abstractNumId w:val="2"/>
  </w:num>
  <w:num w:numId="33">
    <w:abstractNumId w:val="28"/>
  </w:num>
  <w:num w:numId="34">
    <w:abstractNumId w:val="23"/>
  </w:num>
  <w:num w:numId="35">
    <w:abstractNumId w:val="13"/>
  </w:num>
  <w:num w:numId="36">
    <w:abstractNumId w:val="11"/>
  </w:num>
  <w:num w:numId="37">
    <w:abstractNumId w:val="8"/>
  </w:num>
  <w:num w:numId="38">
    <w:abstractNumId w:val="39"/>
  </w:num>
  <w:num w:numId="39">
    <w:abstractNumId w:val="16"/>
  </w:num>
  <w:num w:numId="40">
    <w:abstractNumId w:val="12"/>
  </w:num>
  <w:num w:numId="41">
    <w:abstractNumId w:val="25"/>
  </w:num>
  <w:num w:numId="42">
    <w:abstractNumId w:val="19"/>
  </w:num>
  <w:num w:numId="43">
    <w:abstractNumId w:val="36"/>
  </w:num>
  <w:num w:numId="44">
    <w:abstractNumId w:val="24"/>
  </w:num>
  <w:num w:numId="45">
    <w:abstractNumId w:val="17"/>
  </w:num>
  <w:num w:numId="46">
    <w:abstractNumId w:val="29"/>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10A6"/>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D97"/>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C31"/>
    <w:rsid w:val="0059175D"/>
    <w:rsid w:val="00593DCD"/>
    <w:rsid w:val="00594744"/>
    <w:rsid w:val="005951DE"/>
    <w:rsid w:val="00595765"/>
    <w:rsid w:val="00596E82"/>
    <w:rsid w:val="005972D3"/>
    <w:rsid w:val="00597F38"/>
    <w:rsid w:val="005A073A"/>
    <w:rsid w:val="005A0ED5"/>
    <w:rsid w:val="005A1C1D"/>
    <w:rsid w:val="005A3BFF"/>
    <w:rsid w:val="005A4780"/>
    <w:rsid w:val="005A57E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489"/>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54A8"/>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3B2E"/>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3E3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3D77"/>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3D4E"/>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D61"/>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24CD"/>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3880516">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1602006">
      <w:bodyDiv w:val="1"/>
      <w:marLeft w:val="0"/>
      <w:marRight w:val="0"/>
      <w:marTop w:val="0"/>
      <w:marBottom w:val="0"/>
      <w:divBdr>
        <w:top w:val="none" w:sz="0" w:space="0" w:color="auto"/>
        <w:left w:val="none" w:sz="0" w:space="0" w:color="auto"/>
        <w:bottom w:val="none" w:sz="0" w:space="0" w:color="auto"/>
        <w:right w:val="none" w:sz="0" w:space="0" w:color="auto"/>
      </w:divBdr>
      <w:divsChild>
        <w:div w:id="724451694">
          <w:marLeft w:val="576"/>
          <w:marRight w:val="0"/>
          <w:marTop w:val="120"/>
          <w:marBottom w:val="0"/>
          <w:divBdr>
            <w:top w:val="none" w:sz="0" w:space="0" w:color="auto"/>
            <w:left w:val="none" w:sz="0" w:space="0" w:color="auto"/>
            <w:bottom w:val="none" w:sz="0" w:space="0" w:color="auto"/>
            <w:right w:val="none" w:sz="0" w:space="0" w:color="auto"/>
          </w:divBdr>
        </w:div>
        <w:div w:id="1143738215">
          <w:marLeft w:val="576"/>
          <w:marRight w:val="0"/>
          <w:marTop w:val="120"/>
          <w:marBottom w:val="0"/>
          <w:divBdr>
            <w:top w:val="none" w:sz="0" w:space="0" w:color="auto"/>
            <w:left w:val="none" w:sz="0" w:space="0" w:color="auto"/>
            <w:bottom w:val="none" w:sz="0" w:space="0" w:color="auto"/>
            <w:right w:val="none" w:sz="0" w:space="0" w:color="auto"/>
          </w:divBdr>
        </w:div>
        <w:div w:id="2011059793">
          <w:marLeft w:val="576"/>
          <w:marRight w:val="0"/>
          <w:marTop w:val="120"/>
          <w:marBottom w:val="0"/>
          <w:divBdr>
            <w:top w:val="none" w:sz="0" w:space="0" w:color="auto"/>
            <w:left w:val="none" w:sz="0" w:space="0" w:color="auto"/>
            <w:bottom w:val="none" w:sz="0" w:space="0" w:color="auto"/>
            <w:right w:val="none" w:sz="0" w:space="0" w:color="auto"/>
          </w:divBdr>
        </w:div>
        <w:div w:id="106824144">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1060249">
      <w:bodyDiv w:val="1"/>
      <w:marLeft w:val="0"/>
      <w:marRight w:val="0"/>
      <w:marTop w:val="0"/>
      <w:marBottom w:val="0"/>
      <w:divBdr>
        <w:top w:val="none" w:sz="0" w:space="0" w:color="auto"/>
        <w:left w:val="none" w:sz="0" w:space="0" w:color="auto"/>
        <w:bottom w:val="none" w:sz="0" w:space="0" w:color="auto"/>
        <w:right w:val="none" w:sz="0" w:space="0" w:color="auto"/>
      </w:divBdr>
      <w:divsChild>
        <w:div w:id="84573595">
          <w:marLeft w:val="576"/>
          <w:marRight w:val="0"/>
          <w:marTop w:val="120"/>
          <w:marBottom w:val="0"/>
          <w:divBdr>
            <w:top w:val="none" w:sz="0" w:space="0" w:color="auto"/>
            <w:left w:val="none" w:sz="0" w:space="0" w:color="auto"/>
            <w:bottom w:val="none" w:sz="0" w:space="0" w:color="auto"/>
            <w:right w:val="none" w:sz="0" w:space="0" w:color="auto"/>
          </w:divBdr>
        </w:div>
        <w:div w:id="1127620077">
          <w:marLeft w:val="576"/>
          <w:marRight w:val="0"/>
          <w:marTop w:val="120"/>
          <w:marBottom w:val="0"/>
          <w:divBdr>
            <w:top w:val="none" w:sz="0" w:space="0" w:color="auto"/>
            <w:left w:val="none" w:sz="0" w:space="0" w:color="auto"/>
            <w:bottom w:val="none" w:sz="0" w:space="0" w:color="auto"/>
            <w:right w:val="none" w:sz="0" w:space="0" w:color="auto"/>
          </w:divBdr>
        </w:div>
        <w:div w:id="442459448">
          <w:marLeft w:val="576"/>
          <w:marRight w:val="0"/>
          <w:marTop w:val="120"/>
          <w:marBottom w:val="0"/>
          <w:divBdr>
            <w:top w:val="none" w:sz="0" w:space="0" w:color="auto"/>
            <w:left w:val="none" w:sz="0" w:space="0" w:color="auto"/>
            <w:bottom w:val="none" w:sz="0" w:space="0" w:color="auto"/>
            <w:right w:val="none" w:sz="0" w:space="0" w:color="auto"/>
          </w:divBdr>
        </w:div>
        <w:div w:id="862785976">
          <w:marLeft w:val="576"/>
          <w:marRight w:val="0"/>
          <w:marTop w:val="120"/>
          <w:marBottom w:val="0"/>
          <w:divBdr>
            <w:top w:val="none" w:sz="0" w:space="0" w:color="auto"/>
            <w:left w:val="none" w:sz="0" w:space="0" w:color="auto"/>
            <w:bottom w:val="none" w:sz="0" w:space="0" w:color="auto"/>
            <w:right w:val="none" w:sz="0" w:space="0" w:color="auto"/>
          </w:divBdr>
        </w:div>
        <w:div w:id="1487939951">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2027171">
      <w:bodyDiv w:val="1"/>
      <w:marLeft w:val="0"/>
      <w:marRight w:val="0"/>
      <w:marTop w:val="0"/>
      <w:marBottom w:val="0"/>
      <w:divBdr>
        <w:top w:val="none" w:sz="0" w:space="0" w:color="auto"/>
        <w:left w:val="none" w:sz="0" w:space="0" w:color="auto"/>
        <w:bottom w:val="none" w:sz="0" w:space="0" w:color="auto"/>
        <w:right w:val="none" w:sz="0" w:space="0" w:color="auto"/>
      </w:divBdr>
      <w:divsChild>
        <w:div w:id="368382054">
          <w:marLeft w:val="576"/>
          <w:marRight w:val="0"/>
          <w:marTop w:val="120"/>
          <w:marBottom w:val="0"/>
          <w:divBdr>
            <w:top w:val="none" w:sz="0" w:space="0" w:color="auto"/>
            <w:left w:val="none" w:sz="0" w:space="0" w:color="auto"/>
            <w:bottom w:val="none" w:sz="0" w:space="0" w:color="auto"/>
            <w:right w:val="none" w:sz="0" w:space="0" w:color="auto"/>
          </w:divBdr>
        </w:div>
        <w:div w:id="401678385">
          <w:marLeft w:val="576"/>
          <w:marRight w:val="0"/>
          <w:marTop w:val="120"/>
          <w:marBottom w:val="0"/>
          <w:divBdr>
            <w:top w:val="none" w:sz="0" w:space="0" w:color="auto"/>
            <w:left w:val="none" w:sz="0" w:space="0" w:color="auto"/>
            <w:bottom w:val="none" w:sz="0" w:space="0" w:color="auto"/>
            <w:right w:val="none" w:sz="0" w:space="0" w:color="auto"/>
          </w:divBdr>
        </w:div>
        <w:div w:id="137839676">
          <w:marLeft w:val="576"/>
          <w:marRight w:val="0"/>
          <w:marTop w:val="120"/>
          <w:marBottom w:val="0"/>
          <w:divBdr>
            <w:top w:val="none" w:sz="0" w:space="0" w:color="auto"/>
            <w:left w:val="none" w:sz="0" w:space="0" w:color="auto"/>
            <w:bottom w:val="none" w:sz="0" w:space="0" w:color="auto"/>
            <w:right w:val="none" w:sz="0" w:space="0" w:color="auto"/>
          </w:divBdr>
        </w:div>
        <w:div w:id="151703925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6103829">
      <w:bodyDiv w:val="1"/>
      <w:marLeft w:val="0"/>
      <w:marRight w:val="0"/>
      <w:marTop w:val="0"/>
      <w:marBottom w:val="0"/>
      <w:divBdr>
        <w:top w:val="none" w:sz="0" w:space="0" w:color="auto"/>
        <w:left w:val="none" w:sz="0" w:space="0" w:color="auto"/>
        <w:bottom w:val="none" w:sz="0" w:space="0" w:color="auto"/>
        <w:right w:val="none" w:sz="0" w:space="0" w:color="auto"/>
      </w:divBdr>
      <w:divsChild>
        <w:div w:id="463277385">
          <w:marLeft w:val="576"/>
          <w:marRight w:val="0"/>
          <w:marTop w:val="120"/>
          <w:marBottom w:val="0"/>
          <w:divBdr>
            <w:top w:val="none" w:sz="0" w:space="0" w:color="auto"/>
            <w:left w:val="none" w:sz="0" w:space="0" w:color="auto"/>
            <w:bottom w:val="none" w:sz="0" w:space="0" w:color="auto"/>
            <w:right w:val="none" w:sz="0" w:space="0" w:color="auto"/>
          </w:divBdr>
        </w:div>
        <w:div w:id="799539261">
          <w:marLeft w:val="576"/>
          <w:marRight w:val="0"/>
          <w:marTop w:val="120"/>
          <w:marBottom w:val="0"/>
          <w:divBdr>
            <w:top w:val="none" w:sz="0" w:space="0" w:color="auto"/>
            <w:left w:val="none" w:sz="0" w:space="0" w:color="auto"/>
            <w:bottom w:val="none" w:sz="0" w:space="0" w:color="auto"/>
            <w:right w:val="none" w:sz="0" w:space="0" w:color="auto"/>
          </w:divBdr>
        </w:div>
        <w:div w:id="68729647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2139756">
      <w:bodyDiv w:val="1"/>
      <w:marLeft w:val="0"/>
      <w:marRight w:val="0"/>
      <w:marTop w:val="0"/>
      <w:marBottom w:val="0"/>
      <w:divBdr>
        <w:top w:val="none" w:sz="0" w:space="0" w:color="auto"/>
        <w:left w:val="none" w:sz="0" w:space="0" w:color="auto"/>
        <w:bottom w:val="none" w:sz="0" w:space="0" w:color="auto"/>
        <w:right w:val="none" w:sz="0" w:space="0" w:color="auto"/>
      </w:divBdr>
      <w:divsChild>
        <w:div w:id="1301106891">
          <w:marLeft w:val="576"/>
          <w:marRight w:val="0"/>
          <w:marTop w:val="120"/>
          <w:marBottom w:val="0"/>
          <w:divBdr>
            <w:top w:val="none" w:sz="0" w:space="0" w:color="auto"/>
            <w:left w:val="none" w:sz="0" w:space="0" w:color="auto"/>
            <w:bottom w:val="none" w:sz="0" w:space="0" w:color="auto"/>
            <w:right w:val="none" w:sz="0" w:space="0" w:color="auto"/>
          </w:divBdr>
        </w:div>
        <w:div w:id="452526216">
          <w:marLeft w:val="576"/>
          <w:marRight w:val="0"/>
          <w:marTop w:val="120"/>
          <w:marBottom w:val="0"/>
          <w:divBdr>
            <w:top w:val="none" w:sz="0" w:space="0" w:color="auto"/>
            <w:left w:val="none" w:sz="0" w:space="0" w:color="auto"/>
            <w:bottom w:val="none" w:sz="0" w:space="0" w:color="auto"/>
            <w:right w:val="none" w:sz="0" w:space="0" w:color="auto"/>
          </w:divBdr>
        </w:div>
        <w:div w:id="1571966465">
          <w:marLeft w:val="576"/>
          <w:marRight w:val="0"/>
          <w:marTop w:val="120"/>
          <w:marBottom w:val="0"/>
          <w:divBdr>
            <w:top w:val="none" w:sz="0" w:space="0" w:color="auto"/>
            <w:left w:val="none" w:sz="0" w:space="0" w:color="auto"/>
            <w:bottom w:val="none" w:sz="0" w:space="0" w:color="auto"/>
            <w:right w:val="none" w:sz="0" w:space="0" w:color="auto"/>
          </w:divBdr>
        </w:div>
        <w:div w:id="436944505">
          <w:marLeft w:val="576"/>
          <w:marRight w:val="0"/>
          <w:marTop w:val="120"/>
          <w:marBottom w:val="0"/>
          <w:divBdr>
            <w:top w:val="none" w:sz="0" w:space="0" w:color="auto"/>
            <w:left w:val="none" w:sz="0" w:space="0" w:color="auto"/>
            <w:bottom w:val="none" w:sz="0" w:space="0" w:color="auto"/>
            <w:right w:val="none" w:sz="0" w:space="0" w:color="auto"/>
          </w:divBdr>
        </w:div>
        <w:div w:id="120717666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8032294">
      <w:bodyDiv w:val="1"/>
      <w:marLeft w:val="0"/>
      <w:marRight w:val="0"/>
      <w:marTop w:val="0"/>
      <w:marBottom w:val="0"/>
      <w:divBdr>
        <w:top w:val="none" w:sz="0" w:space="0" w:color="auto"/>
        <w:left w:val="none" w:sz="0" w:space="0" w:color="auto"/>
        <w:bottom w:val="none" w:sz="0" w:space="0" w:color="auto"/>
        <w:right w:val="none" w:sz="0" w:space="0" w:color="auto"/>
      </w:divBdr>
      <w:divsChild>
        <w:div w:id="2043092267">
          <w:marLeft w:val="576"/>
          <w:marRight w:val="0"/>
          <w:marTop w:val="120"/>
          <w:marBottom w:val="0"/>
          <w:divBdr>
            <w:top w:val="none" w:sz="0" w:space="0" w:color="auto"/>
            <w:left w:val="none" w:sz="0" w:space="0" w:color="auto"/>
            <w:bottom w:val="none" w:sz="0" w:space="0" w:color="auto"/>
            <w:right w:val="none" w:sz="0" w:space="0" w:color="auto"/>
          </w:divBdr>
        </w:div>
        <w:div w:id="33894660">
          <w:marLeft w:val="576"/>
          <w:marRight w:val="0"/>
          <w:marTop w:val="120"/>
          <w:marBottom w:val="0"/>
          <w:divBdr>
            <w:top w:val="none" w:sz="0" w:space="0" w:color="auto"/>
            <w:left w:val="none" w:sz="0" w:space="0" w:color="auto"/>
            <w:bottom w:val="none" w:sz="0" w:space="0" w:color="auto"/>
            <w:right w:val="none" w:sz="0" w:space="0" w:color="auto"/>
          </w:divBdr>
        </w:div>
        <w:div w:id="236865744">
          <w:marLeft w:val="576"/>
          <w:marRight w:val="0"/>
          <w:marTop w:val="120"/>
          <w:marBottom w:val="0"/>
          <w:divBdr>
            <w:top w:val="none" w:sz="0" w:space="0" w:color="auto"/>
            <w:left w:val="none" w:sz="0" w:space="0" w:color="auto"/>
            <w:bottom w:val="none" w:sz="0" w:space="0" w:color="auto"/>
            <w:right w:val="none" w:sz="0" w:space="0" w:color="auto"/>
          </w:divBdr>
        </w:div>
        <w:div w:id="159528005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15</Pages>
  <Words>1819</Words>
  <Characters>10373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2021-10-09T14:56:00Z</dcterms:modified>
</cp:coreProperties>
</file>