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F1566" w:rsidRDefault="006F1566" w:rsidP="00DC0EDF">
      <w:pPr>
        <w:spacing w:line="360" w:lineRule="auto"/>
        <w:jc w:val="center"/>
        <w:rPr>
          <w:rFonts w:ascii="Times New Roman" w:hAnsi="Times New Roman" w:cs="Times New Roman"/>
          <w:b/>
          <w:bCs/>
          <w:sz w:val="220"/>
          <w:szCs w:val="220"/>
        </w:rPr>
      </w:pPr>
      <w:r w:rsidRPr="006F1566">
        <w:rPr>
          <w:rFonts w:ascii="Times New Roman" w:hAnsi="Times New Roman" w:cs="Times New Roman"/>
          <w:b/>
          <w:bCs/>
          <w:color w:val="000000"/>
          <w:sz w:val="56"/>
          <w:szCs w:val="56"/>
        </w:rPr>
        <w:t>Herbal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F1566" w:rsidRDefault="006F156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2629B" w:rsidRDefault="0092629B" w:rsidP="00E53AA4">
      <w:pPr>
        <w:spacing w:line="360" w:lineRule="auto"/>
        <w:jc w:val="both"/>
        <w:rPr>
          <w:rFonts w:ascii="Times New Roman" w:hAnsi="Times New Roman" w:cs="Times New Roman"/>
          <w:b/>
          <w:sz w:val="52"/>
          <w:szCs w:val="52"/>
        </w:rPr>
      </w:pPr>
      <w:r w:rsidRPr="0092629B">
        <w:rPr>
          <w:rFonts w:ascii="Times New Roman" w:hAnsi="Times New Roman" w:cs="Times New Roman"/>
          <w:sz w:val="32"/>
          <w:szCs w:val="32"/>
        </w:rPr>
        <w:t>Herbal database management is one of the emerging trends nowadays. There are many agencies working on herbal database management. This system helps to overcome many adverse reactions of drugs and their interactions. The safety profile of an herbal is maintained in this database which is very useful for appropriate use of herbal medicine. Here, an attempt is done to enlist various herbal database management agencies and their applications toward the use of herbal drugs for the benefit of mankind.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92629B" w:rsidRDefault="0092629B"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23A60" w:rsidRDefault="00841C7E" w:rsidP="00823A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23A60">
        <w:rPr>
          <w:rFonts w:ascii="Times New Roman" w:hAnsi="Times New Roman" w:cs="Times New Roman"/>
          <w:sz w:val="32"/>
          <w:szCs w:val="32"/>
          <w:lang w:val="en-IN"/>
        </w:rPr>
        <w:t>In their various forms, they may have certain defects, but they are still a valuable repository of human knowledge.</w:t>
      </w:r>
    </w:p>
    <w:p w:rsidR="00000000" w:rsidRPr="00823A60" w:rsidRDefault="00841C7E" w:rsidP="00823A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23A60">
        <w:rPr>
          <w:rFonts w:ascii="Times New Roman" w:hAnsi="Times New Roman" w:cs="Times New Roman"/>
          <w:sz w:val="32"/>
          <w:szCs w:val="32"/>
          <w:lang w:val="en-IN"/>
        </w:rPr>
        <w:t>Both TCM and conventional medicin</w:t>
      </w:r>
      <w:r w:rsidRPr="00823A60">
        <w:rPr>
          <w:rFonts w:ascii="Times New Roman" w:hAnsi="Times New Roman" w:cs="Times New Roman"/>
          <w:sz w:val="32"/>
          <w:szCs w:val="32"/>
          <w:lang w:val="en-IN"/>
        </w:rPr>
        <w:t>e exist at every gradation of the health-care system, and both are covered under public and private insurance.</w:t>
      </w:r>
    </w:p>
    <w:p w:rsidR="00000000" w:rsidRPr="00823A60" w:rsidRDefault="00841C7E" w:rsidP="00823A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23A60">
        <w:rPr>
          <w:rFonts w:ascii="Times New Roman" w:hAnsi="Times New Roman" w:cs="Times New Roman"/>
          <w:sz w:val="32"/>
          <w:szCs w:val="32"/>
          <w:lang w:val="en-IN"/>
        </w:rPr>
        <w:t>Synergistic effects may exist among the compounds that occur in natural products; however, the modes and mechanisms of action are seldom very cl</w:t>
      </w:r>
      <w:r w:rsidRPr="00823A60">
        <w:rPr>
          <w:rFonts w:ascii="Times New Roman" w:hAnsi="Times New Roman" w:cs="Times New Roman"/>
          <w:sz w:val="32"/>
          <w:szCs w:val="32"/>
          <w:lang w:val="en-IN"/>
        </w:rPr>
        <w:t>ear.</w:t>
      </w:r>
    </w:p>
    <w:p w:rsidR="00000000" w:rsidRPr="00823A60" w:rsidRDefault="00841C7E" w:rsidP="00823A6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23A60">
        <w:rPr>
          <w:rFonts w:ascii="Times New Roman" w:hAnsi="Times New Roman" w:cs="Times New Roman"/>
          <w:sz w:val="32"/>
          <w:szCs w:val="32"/>
          <w:lang w:val="en-IN"/>
        </w:rPr>
        <w:t xml:space="preserve">The unique characteristics of theory, application, current role or status, and modern research of eight kinds of traditional medicine systems are summarized in this study.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23A60" w:rsidRDefault="00841C7E" w:rsidP="00823A60">
      <w:pPr>
        <w:numPr>
          <w:ilvl w:val="0"/>
          <w:numId w:val="45"/>
        </w:numPr>
        <w:spacing w:line="360" w:lineRule="auto"/>
        <w:jc w:val="both"/>
        <w:rPr>
          <w:rFonts w:ascii="Times New Roman" w:hAnsi="Times New Roman" w:cs="Times New Roman"/>
          <w:bCs/>
          <w:sz w:val="32"/>
          <w:szCs w:val="32"/>
          <w:lang w:val="en-IN"/>
        </w:rPr>
      </w:pPr>
      <w:r w:rsidRPr="00823A60">
        <w:rPr>
          <w:rFonts w:ascii="Times New Roman" w:hAnsi="Times New Roman" w:cs="Times New Roman"/>
          <w:bCs/>
          <w:sz w:val="32"/>
          <w:szCs w:val="32"/>
          <w:lang w:val="en-IN"/>
        </w:rPr>
        <w:t xml:space="preserve">While the </w:t>
      </w:r>
      <w:r w:rsidRPr="00823A60">
        <w:rPr>
          <w:rFonts w:ascii="Times New Roman" w:hAnsi="Times New Roman" w:cs="Times New Roman"/>
          <w:bCs/>
          <w:sz w:val="32"/>
          <w:szCs w:val="32"/>
          <w:lang w:val="en-IN"/>
        </w:rPr>
        <w:t>use of the global WHO database and, in particular, the proposed HATC classification does not solve the problem of missing or inaccurate information, it is hoped that it will facilitate proper classification of all herbal product information and, most impor</w:t>
      </w:r>
      <w:r w:rsidRPr="00823A60">
        <w:rPr>
          <w:rFonts w:ascii="Times New Roman" w:hAnsi="Times New Roman" w:cs="Times New Roman"/>
          <w:bCs/>
          <w:sz w:val="32"/>
          <w:szCs w:val="32"/>
          <w:lang w:val="en-IN"/>
        </w:rPr>
        <w:t>tantly, show where there is a potential for confusion and/or error.</w:t>
      </w:r>
    </w:p>
    <w:p w:rsidR="00000000" w:rsidRPr="00823A60" w:rsidRDefault="00841C7E" w:rsidP="00823A60">
      <w:pPr>
        <w:numPr>
          <w:ilvl w:val="0"/>
          <w:numId w:val="45"/>
        </w:numPr>
        <w:spacing w:line="360" w:lineRule="auto"/>
        <w:jc w:val="both"/>
        <w:rPr>
          <w:rFonts w:ascii="Times New Roman" w:hAnsi="Times New Roman" w:cs="Times New Roman"/>
          <w:bCs/>
          <w:sz w:val="32"/>
          <w:szCs w:val="32"/>
          <w:lang w:val="en-IN"/>
        </w:rPr>
      </w:pPr>
      <w:r w:rsidRPr="00823A60">
        <w:rPr>
          <w:rFonts w:ascii="Times New Roman" w:hAnsi="Times New Roman" w:cs="Times New Roman"/>
          <w:bCs/>
          <w:sz w:val="32"/>
          <w:szCs w:val="32"/>
          <w:lang w:val="en-IN"/>
        </w:rPr>
        <w:lastRenderedPageBreak/>
        <w:t>However, epidemiological studies on herbal products are difficult because of the problems of ascertaining precise information.</w:t>
      </w:r>
    </w:p>
    <w:p w:rsidR="00000000" w:rsidRPr="00823A60" w:rsidRDefault="00841C7E" w:rsidP="00823A60">
      <w:pPr>
        <w:numPr>
          <w:ilvl w:val="0"/>
          <w:numId w:val="45"/>
        </w:numPr>
        <w:spacing w:line="360" w:lineRule="auto"/>
        <w:jc w:val="both"/>
        <w:rPr>
          <w:rFonts w:ascii="Times New Roman" w:hAnsi="Times New Roman" w:cs="Times New Roman"/>
          <w:bCs/>
          <w:sz w:val="32"/>
          <w:szCs w:val="32"/>
          <w:lang w:val="en-IN"/>
        </w:rPr>
      </w:pPr>
      <w:r w:rsidRPr="00823A60">
        <w:rPr>
          <w:rFonts w:ascii="Times New Roman" w:hAnsi="Times New Roman" w:cs="Times New Roman"/>
          <w:bCs/>
          <w:sz w:val="32"/>
          <w:szCs w:val="32"/>
          <w:lang w:val="en-IN"/>
        </w:rPr>
        <w:t>They have been successfully employed in the discovery of ne</w:t>
      </w:r>
      <w:r w:rsidRPr="00823A60">
        <w:rPr>
          <w:rFonts w:ascii="Times New Roman" w:hAnsi="Times New Roman" w:cs="Times New Roman"/>
          <w:bCs/>
          <w:sz w:val="32"/>
          <w:szCs w:val="32"/>
          <w:lang w:val="en-IN"/>
        </w:rPr>
        <w:t>w drugs and have exerted a far-reaching impact on chemicobiology .</w:t>
      </w:r>
    </w:p>
    <w:p w:rsidR="00F94960" w:rsidRPr="00823A60" w:rsidRDefault="00841C7E" w:rsidP="00E53AA4">
      <w:pPr>
        <w:numPr>
          <w:ilvl w:val="0"/>
          <w:numId w:val="45"/>
        </w:numPr>
        <w:spacing w:line="360" w:lineRule="auto"/>
        <w:jc w:val="both"/>
        <w:rPr>
          <w:rFonts w:ascii="Times New Roman" w:hAnsi="Times New Roman" w:cs="Times New Roman"/>
          <w:bCs/>
          <w:sz w:val="32"/>
          <w:szCs w:val="32"/>
          <w:lang w:val="en-IN"/>
        </w:rPr>
      </w:pPr>
      <w:r w:rsidRPr="00823A60">
        <w:rPr>
          <w:rFonts w:ascii="Times New Roman" w:hAnsi="Times New Roman" w:cs="Times New Roman"/>
          <w:bCs/>
          <w:sz w:val="32"/>
          <w:szCs w:val="32"/>
          <w:lang w:val="en-IN"/>
        </w:rPr>
        <w:t>Kampo treats every human being as a complete and self-controlled whole in which body and mind impact mutually</w:t>
      </w:r>
      <w:r w:rsidRPr="00823A60">
        <w:rPr>
          <w:rFonts w:ascii="Times New Roman" w:hAnsi="Times New Roman" w:cs="Times New Roman"/>
          <w:bCs/>
          <w:sz w:val="32"/>
          <w:szCs w:val="32"/>
          <w:lang w:val="en-IN"/>
        </w:rPr>
        <w:t>.</w:t>
      </w:r>
      <w:r w:rsidRPr="00823A60">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23A60" w:rsidRPr="00823A60" w:rsidRDefault="00823A60" w:rsidP="00823A60">
      <w:pPr>
        <w:pStyle w:val="NormalWeb"/>
        <w:numPr>
          <w:ilvl w:val="0"/>
          <w:numId w:val="46"/>
        </w:numPr>
        <w:spacing w:before="0" w:beforeAutospacing="0" w:after="0" w:afterAutospacing="0" w:line="360" w:lineRule="auto"/>
        <w:ind w:left="426"/>
        <w:jc w:val="both"/>
        <w:rPr>
          <w:sz w:val="32"/>
          <w:szCs w:val="32"/>
        </w:rPr>
      </w:pPr>
      <w:r w:rsidRPr="00823A60">
        <w:rPr>
          <w:sz w:val="32"/>
          <w:szCs w:val="32"/>
        </w:rPr>
        <w:t>Postulates have been proposed to define if adverse effects are linked to a drug use.</w:t>
      </w:r>
    </w:p>
    <w:p w:rsidR="00823A60" w:rsidRPr="00823A60" w:rsidRDefault="00823A60" w:rsidP="00823A60">
      <w:pPr>
        <w:pStyle w:val="NormalWeb"/>
        <w:numPr>
          <w:ilvl w:val="0"/>
          <w:numId w:val="46"/>
        </w:numPr>
        <w:spacing w:before="0" w:beforeAutospacing="0" w:after="0" w:afterAutospacing="0" w:line="360" w:lineRule="auto"/>
        <w:ind w:left="426"/>
        <w:jc w:val="both"/>
        <w:rPr>
          <w:sz w:val="32"/>
          <w:szCs w:val="32"/>
        </w:rPr>
      </w:pPr>
      <w:r w:rsidRPr="00823A60">
        <w:rPr>
          <w:sz w:val="32"/>
          <w:szCs w:val="32"/>
        </w:rPr>
        <w:t xml:space="preserve">The purpose of creating this database was mainly to meet the need of patent examination. </w:t>
      </w:r>
    </w:p>
    <w:p w:rsidR="00823A60" w:rsidRPr="00823A60" w:rsidRDefault="00823A60" w:rsidP="00823A60">
      <w:pPr>
        <w:pStyle w:val="NormalWeb"/>
        <w:numPr>
          <w:ilvl w:val="0"/>
          <w:numId w:val="46"/>
        </w:numPr>
        <w:spacing w:before="0" w:beforeAutospacing="0" w:after="0" w:afterAutospacing="0" w:line="360" w:lineRule="auto"/>
        <w:ind w:left="426"/>
        <w:jc w:val="both"/>
        <w:rPr>
          <w:sz w:val="32"/>
          <w:szCs w:val="32"/>
        </w:rPr>
      </w:pPr>
      <w:r w:rsidRPr="00823A60">
        <w:rPr>
          <w:sz w:val="32"/>
          <w:szCs w:val="32"/>
        </w:rPr>
        <w:t>It is important to stress that the use of valid Latin binomial (scientific) names in the substance register of the WHO-DD is not for the purpose of providing a botanical reference work</w:t>
      </w:r>
    </w:p>
    <w:p w:rsidR="003A5D44" w:rsidRPr="00823A60" w:rsidRDefault="00823A60" w:rsidP="00E53AA4">
      <w:pPr>
        <w:pStyle w:val="NormalWeb"/>
        <w:numPr>
          <w:ilvl w:val="0"/>
          <w:numId w:val="46"/>
        </w:numPr>
        <w:spacing w:before="0" w:beforeAutospacing="0" w:after="0" w:afterAutospacing="0" w:line="360" w:lineRule="auto"/>
        <w:ind w:left="426"/>
        <w:jc w:val="both"/>
        <w:rPr>
          <w:sz w:val="32"/>
          <w:szCs w:val="32"/>
        </w:rPr>
      </w:pPr>
      <w:r w:rsidRPr="00823A60">
        <w:rPr>
          <w:sz w:val="32"/>
          <w:szCs w:val="32"/>
        </w:rPr>
        <w:t>The purpose of the data management system described above is specifically for pharmacovigilance, and is specially designed to allow its use alongside pharmacovigilance activities for other medicines.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23A60" w:rsidRDefault="00841C7E" w:rsidP="00823A6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3A60">
        <w:rPr>
          <w:rFonts w:ascii="Times New Roman" w:eastAsia="AdvGulliv-R" w:hAnsi="Times New Roman" w:cs="Times New Roman"/>
          <w:bCs/>
          <w:sz w:val="32"/>
          <w:szCs w:val="32"/>
          <w:lang w:val="en-IN"/>
        </w:rPr>
        <w:t>When used to develop new drugs, natural products and traditional medicines have their incomparable advantages, such as abundant clinical experiences, and their u</w:t>
      </w:r>
      <w:r w:rsidRPr="00823A60">
        <w:rPr>
          <w:rFonts w:ascii="Times New Roman" w:eastAsia="AdvGulliv-R" w:hAnsi="Times New Roman" w:cs="Times New Roman"/>
          <w:bCs/>
          <w:sz w:val="32"/>
          <w:szCs w:val="32"/>
          <w:lang w:val="en-IN"/>
        </w:rPr>
        <w:t>nique diversity of chemical structures and biological activities.</w:t>
      </w:r>
    </w:p>
    <w:p w:rsidR="00000000" w:rsidRPr="00823A60" w:rsidRDefault="00841C7E" w:rsidP="00823A6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3A60">
        <w:rPr>
          <w:rFonts w:ascii="Times New Roman" w:eastAsia="AdvGulliv-R" w:hAnsi="Times New Roman" w:cs="Times New Roman"/>
          <w:bCs/>
          <w:sz w:val="32"/>
          <w:szCs w:val="32"/>
          <w:lang w:val="en-IN"/>
        </w:rPr>
        <w:lastRenderedPageBreak/>
        <w:t xml:space="preserve">Moreover, two special features created in the system are very useful for improving searching efficiency: cross-file search based on TCM dictionary and TCM similarity search. </w:t>
      </w:r>
    </w:p>
    <w:p w:rsidR="00000000" w:rsidRPr="00823A60" w:rsidRDefault="00841C7E" w:rsidP="00823A6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3A60">
        <w:rPr>
          <w:rFonts w:ascii="Times New Roman" w:eastAsia="AdvGulliv-R" w:hAnsi="Times New Roman" w:cs="Times New Roman"/>
          <w:bCs/>
          <w:sz w:val="32"/>
          <w:szCs w:val="32"/>
          <w:lang w:val="en-IN"/>
        </w:rPr>
        <w:t>Their efficac</w:t>
      </w:r>
      <w:r w:rsidRPr="00823A60">
        <w:rPr>
          <w:rFonts w:ascii="Times New Roman" w:eastAsia="AdvGulliv-R" w:hAnsi="Times New Roman" w:cs="Times New Roman"/>
          <w:bCs/>
          <w:sz w:val="32"/>
          <w:szCs w:val="32"/>
          <w:lang w:val="en-IN"/>
        </w:rPr>
        <w:t>y is related to the complexity of their well-organized three-dimensional chemical and steric properties, which offer many advantages in terms of efficiency and selectivity of molecular targets.</w:t>
      </w:r>
    </w:p>
    <w:p w:rsidR="00000000" w:rsidRPr="00823A60" w:rsidRDefault="00841C7E" w:rsidP="00823A6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3A60">
        <w:rPr>
          <w:rFonts w:ascii="Times New Roman" w:eastAsia="AdvGulliv-R" w:hAnsi="Times New Roman" w:cs="Times New Roman"/>
          <w:bCs/>
          <w:sz w:val="32"/>
          <w:szCs w:val="32"/>
          <w:lang w:val="en-IN"/>
        </w:rPr>
        <w:t>Compared with previous antimalarial drugs, artemisinin has th</w:t>
      </w:r>
      <w:r w:rsidRPr="00823A60">
        <w:rPr>
          <w:rFonts w:ascii="Times New Roman" w:eastAsia="AdvGulliv-R" w:hAnsi="Times New Roman" w:cs="Times New Roman"/>
          <w:bCs/>
          <w:sz w:val="32"/>
          <w:szCs w:val="32"/>
          <w:lang w:val="en-IN"/>
        </w:rPr>
        <w:t>e merit of high efficiency, quick effect, and low toxicity.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27796" w:rsidRDefault="00F24234" w:rsidP="00E53AA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sz w:val="28"/>
                <w:szCs w:val="28"/>
              </w:rPr>
              <w:t>Harmonisation in pharmacovigilance</w:t>
            </w:r>
          </w:p>
        </w:tc>
        <w:tc>
          <w:tcPr>
            <w:tcW w:w="3192" w:type="dxa"/>
          </w:tcPr>
          <w:p w:rsidR="000C407B" w:rsidRPr="00A27796" w:rsidRDefault="00F24234" w:rsidP="00F2423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sz w:val="28"/>
                <w:szCs w:val="28"/>
              </w:rPr>
              <w:t xml:space="preserve">Edwards IR, Biriell C. </w:t>
            </w:r>
          </w:p>
        </w:tc>
        <w:tc>
          <w:tcPr>
            <w:tcW w:w="3192" w:type="dxa"/>
          </w:tcPr>
          <w:p w:rsidR="000C407B" w:rsidRPr="00A27796" w:rsidRDefault="00F24234" w:rsidP="00E53AA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color w:val="333333"/>
                <w:sz w:val="28"/>
                <w:szCs w:val="28"/>
                <w:shd w:val="clear" w:color="auto" w:fill="FFFFFF"/>
              </w:rPr>
              <w:t>It is necessary to encourage and develop strategies for decentralizing pharmacovigilance actions in the whole country, as is common practice in several EU countries.</w:t>
            </w:r>
          </w:p>
        </w:tc>
      </w:tr>
      <w:tr w:rsidR="000C407B" w:rsidTr="000C407B">
        <w:trPr>
          <w:trHeight w:val="2942"/>
        </w:trPr>
        <w:tc>
          <w:tcPr>
            <w:tcW w:w="3192" w:type="dxa"/>
          </w:tcPr>
          <w:p w:rsidR="000C407B" w:rsidRPr="00A27796" w:rsidRDefault="00F24234" w:rsidP="00E53AA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sz w:val="28"/>
                <w:szCs w:val="28"/>
              </w:rPr>
              <w:t>Principles of signal detection in pharmacovigilance</w:t>
            </w:r>
          </w:p>
        </w:tc>
        <w:tc>
          <w:tcPr>
            <w:tcW w:w="3192" w:type="dxa"/>
          </w:tcPr>
          <w:p w:rsidR="000C407B" w:rsidRPr="00A27796" w:rsidRDefault="00F24234" w:rsidP="00F2423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sz w:val="28"/>
                <w:szCs w:val="28"/>
              </w:rPr>
              <w:t>Meyboom RH, Egberts AC, Edwards IR, Hekster YA, de Koning FH, Gribnau FW.</w:t>
            </w:r>
          </w:p>
        </w:tc>
        <w:tc>
          <w:tcPr>
            <w:tcW w:w="3192" w:type="dxa"/>
          </w:tcPr>
          <w:p w:rsidR="000C407B" w:rsidRPr="00A27796" w:rsidRDefault="00F24234" w:rsidP="00E53AA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color w:val="333333"/>
                <w:sz w:val="28"/>
                <w:szCs w:val="28"/>
                <w:shd w:val="clear" w:color="auto" w:fill="FFFFFF"/>
              </w:rPr>
              <w:t xml:space="preserve">Many situations may hamper the signalling (i.e. the detection of early warning signs) of adverse effects and new signals often differ from previous </w:t>
            </w:r>
            <w:r w:rsidRPr="00A27796">
              <w:rPr>
                <w:rFonts w:ascii="Times New Roman" w:hAnsi="Times New Roman" w:cs="Times New Roman"/>
                <w:color w:val="333333"/>
                <w:sz w:val="28"/>
                <w:szCs w:val="28"/>
                <w:shd w:val="clear" w:color="auto" w:fill="FFFFFF"/>
              </w:rPr>
              <w:lastRenderedPageBreak/>
              <w:t>experiences.</w:t>
            </w:r>
          </w:p>
        </w:tc>
      </w:tr>
      <w:tr w:rsidR="000C407B" w:rsidTr="000C407B">
        <w:tc>
          <w:tcPr>
            <w:tcW w:w="3192" w:type="dxa"/>
          </w:tcPr>
          <w:p w:rsidR="000C407B" w:rsidRPr="00A27796" w:rsidRDefault="00F24234" w:rsidP="00E53AA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sz w:val="28"/>
                <w:szCs w:val="28"/>
              </w:rPr>
              <w:lastRenderedPageBreak/>
              <w:t>Natural Medicines Comprehensive Database</w:t>
            </w:r>
          </w:p>
        </w:tc>
        <w:tc>
          <w:tcPr>
            <w:tcW w:w="3192" w:type="dxa"/>
          </w:tcPr>
          <w:p w:rsidR="000C407B" w:rsidRPr="00A27796" w:rsidRDefault="00F24234" w:rsidP="00F2423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sz w:val="28"/>
                <w:szCs w:val="28"/>
              </w:rPr>
              <w:t xml:space="preserve">Hsu P. </w:t>
            </w:r>
          </w:p>
        </w:tc>
        <w:tc>
          <w:tcPr>
            <w:tcW w:w="3192" w:type="dxa"/>
          </w:tcPr>
          <w:p w:rsidR="000C407B" w:rsidRPr="00A27796" w:rsidRDefault="00F24234" w:rsidP="00E53AA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color w:val="000000"/>
                <w:sz w:val="28"/>
                <w:szCs w:val="28"/>
                <w:shd w:val="clear" w:color="auto" w:fill="FFFFFF"/>
              </w:rPr>
              <w:t>The data and consensus of scientific information on natural medicines has been used to create both the database and the book.</w:t>
            </w:r>
          </w:p>
        </w:tc>
      </w:tr>
      <w:tr w:rsidR="000C407B" w:rsidTr="000C407B">
        <w:tc>
          <w:tcPr>
            <w:tcW w:w="3192" w:type="dxa"/>
          </w:tcPr>
          <w:p w:rsidR="000C407B" w:rsidRPr="00A27796" w:rsidRDefault="00A27796" w:rsidP="00E53AA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sz w:val="28"/>
                <w:szCs w:val="28"/>
              </w:rPr>
              <w:t>InPACdb - Indian plant anticancer compounds database</w:t>
            </w:r>
          </w:p>
        </w:tc>
        <w:tc>
          <w:tcPr>
            <w:tcW w:w="3192" w:type="dxa"/>
          </w:tcPr>
          <w:p w:rsidR="000C407B" w:rsidRPr="00A27796" w:rsidRDefault="00A27796" w:rsidP="00A27796">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sz w:val="28"/>
                <w:szCs w:val="28"/>
              </w:rPr>
              <w:t xml:space="preserve">Vetrivel U, Subramanian N, Pilla K. </w:t>
            </w:r>
          </w:p>
        </w:tc>
        <w:tc>
          <w:tcPr>
            <w:tcW w:w="3192" w:type="dxa"/>
          </w:tcPr>
          <w:p w:rsidR="000C407B" w:rsidRPr="00A27796" w:rsidRDefault="00A27796" w:rsidP="00E53AA4">
            <w:pPr>
              <w:tabs>
                <w:tab w:val="left" w:pos="720"/>
              </w:tabs>
              <w:spacing w:after="100" w:line="360" w:lineRule="auto"/>
              <w:jc w:val="both"/>
              <w:rPr>
                <w:rFonts w:ascii="Times New Roman" w:hAnsi="Times New Roman" w:cs="Times New Roman"/>
                <w:sz w:val="28"/>
                <w:szCs w:val="28"/>
              </w:rPr>
            </w:pPr>
            <w:r w:rsidRPr="00A27796">
              <w:rPr>
                <w:rFonts w:ascii="Times New Roman" w:hAnsi="Times New Roman" w:cs="Times New Roman"/>
                <w:sz w:val="28"/>
                <w:szCs w:val="28"/>
              </w:rPr>
              <w:t>The objective of this initiative is to project the potential of anticancer phytochemicals from Indian pharmacopoeia in an integrated environment.</w:t>
            </w:r>
          </w:p>
        </w:tc>
      </w:tr>
    </w:tbl>
    <w:p w:rsidR="00FF753E" w:rsidRDefault="00FF753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FF753E"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F753E" w:rsidP="00E53AA4">
      <w:pPr>
        <w:spacing w:after="0" w:line="360" w:lineRule="auto"/>
        <w:jc w:val="both"/>
        <w:rPr>
          <w:rFonts w:ascii="Times New Roman" w:hAnsi="Times New Roman" w:cs="Times New Roman"/>
        </w:rPr>
      </w:pPr>
      <w:r w:rsidRPr="00FF753E">
        <w:rPr>
          <w:rFonts w:ascii="Times New Roman" w:hAnsi="Times New Roman" w:cs="Times New Roman"/>
        </w:rPr>
        <w:drawing>
          <wp:inline distT="0" distB="0" distL="0" distR="0">
            <wp:extent cx="5943600" cy="42037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203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F753E" w:rsidRDefault="00FF753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434FD" w:rsidRPr="003434FD" w:rsidRDefault="003434FD" w:rsidP="003434FD">
      <w:pPr>
        <w:pStyle w:val="BodyText"/>
        <w:rPr>
          <w:bCs/>
          <w:iCs/>
          <w:sz w:val="32"/>
          <w:szCs w:val="32"/>
          <w:lang w:val="en-IN"/>
        </w:rPr>
      </w:pPr>
      <w:r w:rsidRPr="003434FD">
        <w:rPr>
          <w:b/>
          <w:iCs/>
          <w:sz w:val="28"/>
          <w:szCs w:val="28"/>
          <w:lang w:val="en-IN"/>
        </w:rPr>
        <w:t xml:space="preserve">   </w:t>
      </w:r>
      <w:r w:rsidRPr="003434FD">
        <w:rPr>
          <w:bCs/>
          <w:iCs/>
          <w:sz w:val="32"/>
          <w:szCs w:val="32"/>
          <w:lang w:val="en-IN"/>
        </w:rPr>
        <w:t xml:space="preserve">Generally herbal drugs are preferred because they are safe, but nowadays adverse effects and drug interactions are observed with herbal drugs. There is a necessity to make a list of such adverse effects and interactions for herbal drugs. In brief, the safety profile of a herbal drug is necessary before using it for therapeutic application. Such adverse effects and interactions are listed by the “herbal database management.” Systems which are really useful for the proper application of herbal drugs in treatment of various ailments of mankind. </w:t>
      </w:r>
    </w:p>
    <w:p w:rsidR="001F1E5A" w:rsidRDefault="001F1E5A"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434FD" w:rsidRDefault="003434FD"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434FD" w:rsidRDefault="00841C7E" w:rsidP="003434FD">
      <w:pPr>
        <w:pStyle w:val="BodyText"/>
        <w:numPr>
          <w:ilvl w:val="0"/>
          <w:numId w:val="42"/>
        </w:numPr>
        <w:rPr>
          <w:sz w:val="32"/>
          <w:szCs w:val="32"/>
          <w:lang w:val="en-IN"/>
        </w:rPr>
      </w:pPr>
      <w:r w:rsidRPr="003434FD">
        <w:rPr>
          <w:sz w:val="32"/>
          <w:szCs w:val="32"/>
          <w:lang w:val="en-IN"/>
        </w:rPr>
        <w:t>1. D. Winston, Cherokee Herbal Medicine Medicines from the Earth Conference 2001), 1ME07 Available from: http://www. botanicalmedicine.org/Tapes/01me/01</w:t>
      </w:r>
      <w:r w:rsidRPr="003434FD">
        <w:rPr>
          <w:sz w:val="32"/>
          <w:szCs w:val="32"/>
          <w:lang w:val="en-IN"/>
        </w:rPr>
        <w:t xml:space="preserve">me07.htm. [last accessed on 2010 Feb 10]. </w:t>
      </w:r>
    </w:p>
    <w:p w:rsidR="00000000" w:rsidRPr="003434FD" w:rsidRDefault="00841C7E" w:rsidP="003434FD">
      <w:pPr>
        <w:pStyle w:val="BodyText"/>
        <w:numPr>
          <w:ilvl w:val="0"/>
          <w:numId w:val="42"/>
        </w:numPr>
        <w:rPr>
          <w:sz w:val="32"/>
          <w:szCs w:val="32"/>
          <w:lang w:val="en-IN"/>
        </w:rPr>
      </w:pPr>
      <w:r w:rsidRPr="003434FD">
        <w:rPr>
          <w:sz w:val="32"/>
          <w:szCs w:val="32"/>
          <w:lang w:val="en-IN"/>
        </w:rPr>
        <w:t xml:space="preserve">2. Edwards IR, Biriell C. Harmonisation in pharmacovigilance. Drug Safety 1994;10:93-102. </w:t>
      </w:r>
    </w:p>
    <w:p w:rsidR="00000000" w:rsidRPr="003434FD" w:rsidRDefault="00841C7E" w:rsidP="003434FD">
      <w:pPr>
        <w:pStyle w:val="BodyText"/>
        <w:numPr>
          <w:ilvl w:val="0"/>
          <w:numId w:val="42"/>
        </w:numPr>
        <w:rPr>
          <w:sz w:val="32"/>
          <w:szCs w:val="32"/>
          <w:lang w:val="en-IN"/>
        </w:rPr>
      </w:pPr>
      <w:r w:rsidRPr="003434FD">
        <w:rPr>
          <w:sz w:val="32"/>
          <w:szCs w:val="32"/>
          <w:lang w:val="en-IN"/>
        </w:rPr>
        <w:t>3. Bégaud B, Evreux JC, Jouglard J, Lagier G. Unexpected or toxic drug reaction assessment (imputation). Actualisation o</w:t>
      </w:r>
      <w:r w:rsidRPr="003434FD">
        <w:rPr>
          <w:sz w:val="32"/>
          <w:szCs w:val="32"/>
          <w:lang w:val="en-IN"/>
        </w:rPr>
        <w:t>f the method used in France. Thérapie 1985;40:111-8.</w:t>
      </w:r>
    </w:p>
    <w:p w:rsidR="00000000" w:rsidRPr="003434FD" w:rsidRDefault="00841C7E" w:rsidP="003434FD">
      <w:pPr>
        <w:pStyle w:val="BodyText"/>
        <w:numPr>
          <w:ilvl w:val="0"/>
          <w:numId w:val="42"/>
        </w:numPr>
        <w:rPr>
          <w:sz w:val="32"/>
          <w:szCs w:val="32"/>
          <w:lang w:val="en-IN"/>
        </w:rPr>
      </w:pPr>
      <w:r w:rsidRPr="003434FD">
        <w:rPr>
          <w:sz w:val="32"/>
          <w:szCs w:val="32"/>
          <w:lang w:val="en-IN"/>
        </w:rPr>
        <w:t xml:space="preserve"> 4. Meyboom RH, Egberts AC, Edwards IR, Hekster YA, de Koning FH, Gribnau FW. Principles of signal detection in pharmacovigilance. Drug Safety 1997;16:355-65. </w:t>
      </w:r>
    </w:p>
    <w:p w:rsidR="00000000" w:rsidRPr="003434FD" w:rsidRDefault="00841C7E" w:rsidP="003434FD">
      <w:pPr>
        <w:pStyle w:val="BodyText"/>
        <w:numPr>
          <w:ilvl w:val="0"/>
          <w:numId w:val="42"/>
        </w:numPr>
        <w:rPr>
          <w:sz w:val="32"/>
          <w:szCs w:val="32"/>
          <w:lang w:val="en-IN"/>
        </w:rPr>
      </w:pPr>
      <w:r w:rsidRPr="003434FD">
        <w:rPr>
          <w:sz w:val="32"/>
          <w:szCs w:val="32"/>
          <w:lang w:val="en-IN"/>
        </w:rPr>
        <w:t>5. Meyboom RH, Hekster YA, Egberts AC, Gr</w:t>
      </w:r>
      <w:r w:rsidRPr="003434FD">
        <w:rPr>
          <w:sz w:val="32"/>
          <w:szCs w:val="32"/>
          <w:lang w:val="en-IN"/>
        </w:rPr>
        <w:t>ibnau FW, Edwards IR. Causal or casual? The role of causality assessment in pharmacovigilance. Drug Safety 1997;16:374-89.</w:t>
      </w:r>
      <w:r w:rsidRPr="003434FD">
        <w:rPr>
          <w:sz w:val="32"/>
          <w:szCs w:val="32"/>
        </w:rPr>
        <w:t xml:space="preserve"> </w:t>
      </w:r>
    </w:p>
    <w:p w:rsidR="00000000" w:rsidRPr="003434FD" w:rsidRDefault="00841C7E" w:rsidP="003434FD">
      <w:pPr>
        <w:pStyle w:val="BodyText"/>
        <w:numPr>
          <w:ilvl w:val="0"/>
          <w:numId w:val="42"/>
        </w:numPr>
        <w:rPr>
          <w:sz w:val="32"/>
          <w:szCs w:val="32"/>
          <w:lang w:val="en-IN"/>
        </w:rPr>
      </w:pPr>
      <w:r w:rsidRPr="003434FD">
        <w:rPr>
          <w:sz w:val="32"/>
          <w:szCs w:val="32"/>
          <w:lang w:val="en-IN"/>
        </w:rPr>
        <w:t xml:space="preserve">6. Lertnattee V. KUIHerb: Knowledge Unifying Initiator for Herbal Information, 2004. p. 1-6. </w:t>
      </w:r>
    </w:p>
    <w:p w:rsidR="00000000" w:rsidRPr="003434FD" w:rsidRDefault="00841C7E" w:rsidP="003434FD">
      <w:pPr>
        <w:pStyle w:val="BodyText"/>
        <w:numPr>
          <w:ilvl w:val="0"/>
          <w:numId w:val="42"/>
        </w:numPr>
        <w:rPr>
          <w:sz w:val="32"/>
          <w:szCs w:val="32"/>
          <w:lang w:val="en-IN"/>
        </w:rPr>
      </w:pPr>
      <w:r w:rsidRPr="003434FD">
        <w:rPr>
          <w:sz w:val="32"/>
          <w:szCs w:val="32"/>
          <w:lang w:val="en-IN"/>
        </w:rPr>
        <w:t>7. Hsu P. Natural Medicines Comprehe</w:t>
      </w:r>
      <w:r w:rsidRPr="003434FD">
        <w:rPr>
          <w:sz w:val="32"/>
          <w:szCs w:val="32"/>
          <w:lang w:val="en-IN"/>
        </w:rPr>
        <w:t xml:space="preserve">nsive Database. J Med Libr Assoc 2002;90:114. </w:t>
      </w:r>
    </w:p>
    <w:p w:rsidR="00000000" w:rsidRPr="003434FD" w:rsidRDefault="00841C7E" w:rsidP="003434FD">
      <w:pPr>
        <w:pStyle w:val="BodyText"/>
        <w:numPr>
          <w:ilvl w:val="0"/>
          <w:numId w:val="42"/>
        </w:numPr>
        <w:rPr>
          <w:sz w:val="32"/>
          <w:szCs w:val="32"/>
          <w:lang w:val="en-IN"/>
        </w:rPr>
      </w:pPr>
      <w:r w:rsidRPr="003434FD">
        <w:rPr>
          <w:sz w:val="32"/>
          <w:szCs w:val="32"/>
          <w:lang w:val="en-IN"/>
        </w:rPr>
        <w:t xml:space="preserve">8. DeSmet PA, Arthur GM, An introduction to herbal pharacoepidemiology. J Ethnopharmacol 1995b;38:197-208. </w:t>
      </w:r>
    </w:p>
    <w:p w:rsidR="00000000" w:rsidRPr="003434FD" w:rsidRDefault="00841C7E" w:rsidP="003434FD">
      <w:pPr>
        <w:pStyle w:val="BodyText"/>
        <w:numPr>
          <w:ilvl w:val="0"/>
          <w:numId w:val="42"/>
        </w:numPr>
        <w:rPr>
          <w:sz w:val="32"/>
          <w:szCs w:val="32"/>
          <w:lang w:val="en-IN"/>
        </w:rPr>
      </w:pPr>
      <w:r w:rsidRPr="003434FD">
        <w:rPr>
          <w:sz w:val="32"/>
          <w:szCs w:val="32"/>
          <w:lang w:val="en-IN"/>
        </w:rPr>
        <w:lastRenderedPageBreak/>
        <w:t>9. Vetrivel U, Subramanian N, Pilla K. InPACdb - Indian plant anticancer compounds database. Bioinf</w:t>
      </w:r>
      <w:r w:rsidRPr="003434FD">
        <w:rPr>
          <w:sz w:val="32"/>
          <w:szCs w:val="32"/>
          <w:lang w:val="en-IN"/>
        </w:rPr>
        <w:t xml:space="preserve">ormation 2009;4:71-4. </w:t>
      </w:r>
    </w:p>
    <w:p w:rsidR="00000000" w:rsidRPr="003434FD" w:rsidRDefault="00841C7E" w:rsidP="003434FD">
      <w:pPr>
        <w:pStyle w:val="BodyText"/>
        <w:numPr>
          <w:ilvl w:val="0"/>
          <w:numId w:val="42"/>
        </w:numPr>
        <w:rPr>
          <w:sz w:val="32"/>
          <w:szCs w:val="32"/>
          <w:lang w:val="en-IN"/>
        </w:rPr>
      </w:pPr>
      <w:r w:rsidRPr="003434FD">
        <w:rPr>
          <w:sz w:val="32"/>
          <w:szCs w:val="32"/>
          <w:lang w:val="en-IN"/>
        </w:rPr>
        <w:t xml:space="preserve">10. Shankar D. Growing Herbal Plants In Home Gardens For Health Care, p. 62-72.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1C7E" w:rsidRDefault="00841C7E" w:rsidP="003654DF">
      <w:pPr>
        <w:spacing w:after="0" w:line="240" w:lineRule="auto"/>
      </w:pPr>
      <w:r>
        <w:separator/>
      </w:r>
    </w:p>
  </w:endnote>
  <w:endnote w:type="continuationSeparator" w:id="1">
    <w:p w:rsidR="00841C7E" w:rsidRDefault="00841C7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1C7E" w:rsidRDefault="00841C7E" w:rsidP="003654DF">
      <w:pPr>
        <w:spacing w:after="0" w:line="240" w:lineRule="auto"/>
      </w:pPr>
      <w:r>
        <w:separator/>
      </w:r>
    </w:p>
  </w:footnote>
  <w:footnote w:type="continuationSeparator" w:id="1">
    <w:p w:rsidR="00841C7E" w:rsidRDefault="00841C7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70AA0">
        <w:pPr>
          <w:pStyle w:val="Header"/>
          <w:jc w:val="right"/>
        </w:pPr>
        <w:fldSimple w:instr=" PAGE   \* MERGEFORMAT ">
          <w:r w:rsidR="00FF753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38707F"/>
    <w:multiLevelType w:val="hybridMultilevel"/>
    <w:tmpl w:val="045EC784"/>
    <w:lvl w:ilvl="0" w:tplc="95C41340">
      <w:start w:val="1"/>
      <w:numFmt w:val="bullet"/>
      <w:lvlText w:val=""/>
      <w:lvlJc w:val="left"/>
      <w:pPr>
        <w:tabs>
          <w:tab w:val="num" w:pos="720"/>
        </w:tabs>
        <w:ind w:left="720" w:hanging="360"/>
      </w:pPr>
      <w:rPr>
        <w:rFonts w:ascii="Wingdings 2" w:hAnsi="Wingdings 2" w:hint="default"/>
      </w:rPr>
    </w:lvl>
    <w:lvl w:ilvl="1" w:tplc="C2D60E3A" w:tentative="1">
      <w:start w:val="1"/>
      <w:numFmt w:val="bullet"/>
      <w:lvlText w:val=""/>
      <w:lvlJc w:val="left"/>
      <w:pPr>
        <w:tabs>
          <w:tab w:val="num" w:pos="1440"/>
        </w:tabs>
        <w:ind w:left="1440" w:hanging="360"/>
      </w:pPr>
      <w:rPr>
        <w:rFonts w:ascii="Wingdings 2" w:hAnsi="Wingdings 2" w:hint="default"/>
      </w:rPr>
    </w:lvl>
    <w:lvl w:ilvl="2" w:tplc="42285EF2" w:tentative="1">
      <w:start w:val="1"/>
      <w:numFmt w:val="bullet"/>
      <w:lvlText w:val=""/>
      <w:lvlJc w:val="left"/>
      <w:pPr>
        <w:tabs>
          <w:tab w:val="num" w:pos="2160"/>
        </w:tabs>
        <w:ind w:left="2160" w:hanging="360"/>
      </w:pPr>
      <w:rPr>
        <w:rFonts w:ascii="Wingdings 2" w:hAnsi="Wingdings 2" w:hint="default"/>
      </w:rPr>
    </w:lvl>
    <w:lvl w:ilvl="3" w:tplc="D89434E2" w:tentative="1">
      <w:start w:val="1"/>
      <w:numFmt w:val="bullet"/>
      <w:lvlText w:val=""/>
      <w:lvlJc w:val="left"/>
      <w:pPr>
        <w:tabs>
          <w:tab w:val="num" w:pos="2880"/>
        </w:tabs>
        <w:ind w:left="2880" w:hanging="360"/>
      </w:pPr>
      <w:rPr>
        <w:rFonts w:ascii="Wingdings 2" w:hAnsi="Wingdings 2" w:hint="default"/>
      </w:rPr>
    </w:lvl>
    <w:lvl w:ilvl="4" w:tplc="3D929B38" w:tentative="1">
      <w:start w:val="1"/>
      <w:numFmt w:val="bullet"/>
      <w:lvlText w:val=""/>
      <w:lvlJc w:val="left"/>
      <w:pPr>
        <w:tabs>
          <w:tab w:val="num" w:pos="3600"/>
        </w:tabs>
        <w:ind w:left="3600" w:hanging="360"/>
      </w:pPr>
      <w:rPr>
        <w:rFonts w:ascii="Wingdings 2" w:hAnsi="Wingdings 2" w:hint="default"/>
      </w:rPr>
    </w:lvl>
    <w:lvl w:ilvl="5" w:tplc="58CC1306" w:tentative="1">
      <w:start w:val="1"/>
      <w:numFmt w:val="bullet"/>
      <w:lvlText w:val=""/>
      <w:lvlJc w:val="left"/>
      <w:pPr>
        <w:tabs>
          <w:tab w:val="num" w:pos="4320"/>
        </w:tabs>
        <w:ind w:left="4320" w:hanging="360"/>
      </w:pPr>
      <w:rPr>
        <w:rFonts w:ascii="Wingdings 2" w:hAnsi="Wingdings 2" w:hint="default"/>
      </w:rPr>
    </w:lvl>
    <w:lvl w:ilvl="6" w:tplc="4774A894" w:tentative="1">
      <w:start w:val="1"/>
      <w:numFmt w:val="bullet"/>
      <w:lvlText w:val=""/>
      <w:lvlJc w:val="left"/>
      <w:pPr>
        <w:tabs>
          <w:tab w:val="num" w:pos="5040"/>
        </w:tabs>
        <w:ind w:left="5040" w:hanging="360"/>
      </w:pPr>
      <w:rPr>
        <w:rFonts w:ascii="Wingdings 2" w:hAnsi="Wingdings 2" w:hint="default"/>
      </w:rPr>
    </w:lvl>
    <w:lvl w:ilvl="7" w:tplc="E050D8F6" w:tentative="1">
      <w:start w:val="1"/>
      <w:numFmt w:val="bullet"/>
      <w:lvlText w:val=""/>
      <w:lvlJc w:val="left"/>
      <w:pPr>
        <w:tabs>
          <w:tab w:val="num" w:pos="5760"/>
        </w:tabs>
        <w:ind w:left="5760" w:hanging="360"/>
      </w:pPr>
      <w:rPr>
        <w:rFonts w:ascii="Wingdings 2" w:hAnsi="Wingdings 2" w:hint="default"/>
      </w:rPr>
    </w:lvl>
    <w:lvl w:ilvl="8" w:tplc="F1B07AF8" w:tentative="1">
      <w:start w:val="1"/>
      <w:numFmt w:val="bullet"/>
      <w:lvlText w:val=""/>
      <w:lvlJc w:val="left"/>
      <w:pPr>
        <w:tabs>
          <w:tab w:val="num" w:pos="6480"/>
        </w:tabs>
        <w:ind w:left="6480" w:hanging="360"/>
      </w:pPr>
      <w:rPr>
        <w:rFonts w:ascii="Wingdings 2" w:hAnsi="Wingdings 2" w:hint="default"/>
      </w:rPr>
    </w:lvl>
  </w:abstractNum>
  <w:abstractNum w:abstractNumId="10">
    <w:nsid w:val="20BB6291"/>
    <w:multiLevelType w:val="hybridMultilevel"/>
    <w:tmpl w:val="552265D4"/>
    <w:lvl w:ilvl="0" w:tplc="F6B0847C">
      <w:start w:val="1"/>
      <w:numFmt w:val="bullet"/>
      <w:lvlText w:val=""/>
      <w:lvlJc w:val="left"/>
      <w:pPr>
        <w:tabs>
          <w:tab w:val="num" w:pos="720"/>
        </w:tabs>
        <w:ind w:left="720" w:hanging="360"/>
      </w:pPr>
      <w:rPr>
        <w:rFonts w:ascii="Wingdings 2" w:hAnsi="Wingdings 2" w:hint="default"/>
      </w:rPr>
    </w:lvl>
    <w:lvl w:ilvl="1" w:tplc="F7C6EC98" w:tentative="1">
      <w:start w:val="1"/>
      <w:numFmt w:val="bullet"/>
      <w:lvlText w:val=""/>
      <w:lvlJc w:val="left"/>
      <w:pPr>
        <w:tabs>
          <w:tab w:val="num" w:pos="1440"/>
        </w:tabs>
        <w:ind w:left="1440" w:hanging="360"/>
      </w:pPr>
      <w:rPr>
        <w:rFonts w:ascii="Wingdings 2" w:hAnsi="Wingdings 2" w:hint="default"/>
      </w:rPr>
    </w:lvl>
    <w:lvl w:ilvl="2" w:tplc="1DBC33C2" w:tentative="1">
      <w:start w:val="1"/>
      <w:numFmt w:val="bullet"/>
      <w:lvlText w:val=""/>
      <w:lvlJc w:val="left"/>
      <w:pPr>
        <w:tabs>
          <w:tab w:val="num" w:pos="2160"/>
        </w:tabs>
        <w:ind w:left="2160" w:hanging="360"/>
      </w:pPr>
      <w:rPr>
        <w:rFonts w:ascii="Wingdings 2" w:hAnsi="Wingdings 2" w:hint="default"/>
      </w:rPr>
    </w:lvl>
    <w:lvl w:ilvl="3" w:tplc="0A76B680" w:tentative="1">
      <w:start w:val="1"/>
      <w:numFmt w:val="bullet"/>
      <w:lvlText w:val=""/>
      <w:lvlJc w:val="left"/>
      <w:pPr>
        <w:tabs>
          <w:tab w:val="num" w:pos="2880"/>
        </w:tabs>
        <w:ind w:left="2880" w:hanging="360"/>
      </w:pPr>
      <w:rPr>
        <w:rFonts w:ascii="Wingdings 2" w:hAnsi="Wingdings 2" w:hint="default"/>
      </w:rPr>
    </w:lvl>
    <w:lvl w:ilvl="4" w:tplc="C32E6166" w:tentative="1">
      <w:start w:val="1"/>
      <w:numFmt w:val="bullet"/>
      <w:lvlText w:val=""/>
      <w:lvlJc w:val="left"/>
      <w:pPr>
        <w:tabs>
          <w:tab w:val="num" w:pos="3600"/>
        </w:tabs>
        <w:ind w:left="3600" w:hanging="360"/>
      </w:pPr>
      <w:rPr>
        <w:rFonts w:ascii="Wingdings 2" w:hAnsi="Wingdings 2" w:hint="default"/>
      </w:rPr>
    </w:lvl>
    <w:lvl w:ilvl="5" w:tplc="013A776A" w:tentative="1">
      <w:start w:val="1"/>
      <w:numFmt w:val="bullet"/>
      <w:lvlText w:val=""/>
      <w:lvlJc w:val="left"/>
      <w:pPr>
        <w:tabs>
          <w:tab w:val="num" w:pos="4320"/>
        </w:tabs>
        <w:ind w:left="4320" w:hanging="360"/>
      </w:pPr>
      <w:rPr>
        <w:rFonts w:ascii="Wingdings 2" w:hAnsi="Wingdings 2" w:hint="default"/>
      </w:rPr>
    </w:lvl>
    <w:lvl w:ilvl="6" w:tplc="7E9C8A34" w:tentative="1">
      <w:start w:val="1"/>
      <w:numFmt w:val="bullet"/>
      <w:lvlText w:val=""/>
      <w:lvlJc w:val="left"/>
      <w:pPr>
        <w:tabs>
          <w:tab w:val="num" w:pos="5040"/>
        </w:tabs>
        <w:ind w:left="5040" w:hanging="360"/>
      </w:pPr>
      <w:rPr>
        <w:rFonts w:ascii="Wingdings 2" w:hAnsi="Wingdings 2" w:hint="default"/>
      </w:rPr>
    </w:lvl>
    <w:lvl w:ilvl="7" w:tplc="79DC8C30" w:tentative="1">
      <w:start w:val="1"/>
      <w:numFmt w:val="bullet"/>
      <w:lvlText w:val=""/>
      <w:lvlJc w:val="left"/>
      <w:pPr>
        <w:tabs>
          <w:tab w:val="num" w:pos="5760"/>
        </w:tabs>
        <w:ind w:left="5760" w:hanging="360"/>
      </w:pPr>
      <w:rPr>
        <w:rFonts w:ascii="Wingdings 2" w:hAnsi="Wingdings 2" w:hint="default"/>
      </w:rPr>
    </w:lvl>
    <w:lvl w:ilvl="8" w:tplc="AF56E14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176640"/>
    <w:multiLevelType w:val="hybridMultilevel"/>
    <w:tmpl w:val="FA0AD72C"/>
    <w:lvl w:ilvl="0" w:tplc="624437CA">
      <w:start w:val="1"/>
      <w:numFmt w:val="bullet"/>
      <w:lvlText w:val=""/>
      <w:lvlJc w:val="left"/>
      <w:pPr>
        <w:tabs>
          <w:tab w:val="num" w:pos="720"/>
        </w:tabs>
        <w:ind w:left="720" w:hanging="360"/>
      </w:pPr>
      <w:rPr>
        <w:rFonts w:ascii="Wingdings 2" w:hAnsi="Wingdings 2" w:hint="default"/>
      </w:rPr>
    </w:lvl>
    <w:lvl w:ilvl="1" w:tplc="AD2AD364" w:tentative="1">
      <w:start w:val="1"/>
      <w:numFmt w:val="bullet"/>
      <w:lvlText w:val=""/>
      <w:lvlJc w:val="left"/>
      <w:pPr>
        <w:tabs>
          <w:tab w:val="num" w:pos="1440"/>
        </w:tabs>
        <w:ind w:left="1440" w:hanging="360"/>
      </w:pPr>
      <w:rPr>
        <w:rFonts w:ascii="Wingdings 2" w:hAnsi="Wingdings 2" w:hint="default"/>
      </w:rPr>
    </w:lvl>
    <w:lvl w:ilvl="2" w:tplc="27FC3602" w:tentative="1">
      <w:start w:val="1"/>
      <w:numFmt w:val="bullet"/>
      <w:lvlText w:val=""/>
      <w:lvlJc w:val="left"/>
      <w:pPr>
        <w:tabs>
          <w:tab w:val="num" w:pos="2160"/>
        </w:tabs>
        <w:ind w:left="2160" w:hanging="360"/>
      </w:pPr>
      <w:rPr>
        <w:rFonts w:ascii="Wingdings 2" w:hAnsi="Wingdings 2" w:hint="default"/>
      </w:rPr>
    </w:lvl>
    <w:lvl w:ilvl="3" w:tplc="44749144" w:tentative="1">
      <w:start w:val="1"/>
      <w:numFmt w:val="bullet"/>
      <w:lvlText w:val=""/>
      <w:lvlJc w:val="left"/>
      <w:pPr>
        <w:tabs>
          <w:tab w:val="num" w:pos="2880"/>
        </w:tabs>
        <w:ind w:left="2880" w:hanging="360"/>
      </w:pPr>
      <w:rPr>
        <w:rFonts w:ascii="Wingdings 2" w:hAnsi="Wingdings 2" w:hint="default"/>
      </w:rPr>
    </w:lvl>
    <w:lvl w:ilvl="4" w:tplc="7EEEF5E8" w:tentative="1">
      <w:start w:val="1"/>
      <w:numFmt w:val="bullet"/>
      <w:lvlText w:val=""/>
      <w:lvlJc w:val="left"/>
      <w:pPr>
        <w:tabs>
          <w:tab w:val="num" w:pos="3600"/>
        </w:tabs>
        <w:ind w:left="3600" w:hanging="360"/>
      </w:pPr>
      <w:rPr>
        <w:rFonts w:ascii="Wingdings 2" w:hAnsi="Wingdings 2" w:hint="default"/>
      </w:rPr>
    </w:lvl>
    <w:lvl w:ilvl="5" w:tplc="76844642" w:tentative="1">
      <w:start w:val="1"/>
      <w:numFmt w:val="bullet"/>
      <w:lvlText w:val=""/>
      <w:lvlJc w:val="left"/>
      <w:pPr>
        <w:tabs>
          <w:tab w:val="num" w:pos="4320"/>
        </w:tabs>
        <w:ind w:left="4320" w:hanging="360"/>
      </w:pPr>
      <w:rPr>
        <w:rFonts w:ascii="Wingdings 2" w:hAnsi="Wingdings 2" w:hint="default"/>
      </w:rPr>
    </w:lvl>
    <w:lvl w:ilvl="6" w:tplc="E318D66C" w:tentative="1">
      <w:start w:val="1"/>
      <w:numFmt w:val="bullet"/>
      <w:lvlText w:val=""/>
      <w:lvlJc w:val="left"/>
      <w:pPr>
        <w:tabs>
          <w:tab w:val="num" w:pos="5040"/>
        </w:tabs>
        <w:ind w:left="5040" w:hanging="360"/>
      </w:pPr>
      <w:rPr>
        <w:rFonts w:ascii="Wingdings 2" w:hAnsi="Wingdings 2" w:hint="default"/>
      </w:rPr>
    </w:lvl>
    <w:lvl w:ilvl="7" w:tplc="A11A1244" w:tentative="1">
      <w:start w:val="1"/>
      <w:numFmt w:val="bullet"/>
      <w:lvlText w:val=""/>
      <w:lvlJc w:val="left"/>
      <w:pPr>
        <w:tabs>
          <w:tab w:val="num" w:pos="5760"/>
        </w:tabs>
        <w:ind w:left="5760" w:hanging="360"/>
      </w:pPr>
      <w:rPr>
        <w:rFonts w:ascii="Wingdings 2" w:hAnsi="Wingdings 2" w:hint="default"/>
      </w:rPr>
    </w:lvl>
    <w:lvl w:ilvl="8" w:tplc="1B2E2F0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F744D3"/>
    <w:multiLevelType w:val="hybridMultilevel"/>
    <w:tmpl w:val="2CC4BECE"/>
    <w:lvl w:ilvl="0" w:tplc="93B03C50">
      <w:start w:val="1"/>
      <w:numFmt w:val="bullet"/>
      <w:lvlText w:val=""/>
      <w:lvlJc w:val="left"/>
      <w:pPr>
        <w:tabs>
          <w:tab w:val="num" w:pos="720"/>
        </w:tabs>
        <w:ind w:left="720" w:hanging="360"/>
      </w:pPr>
      <w:rPr>
        <w:rFonts w:ascii="Wingdings 2" w:hAnsi="Wingdings 2" w:hint="default"/>
      </w:rPr>
    </w:lvl>
    <w:lvl w:ilvl="1" w:tplc="2222EAD0" w:tentative="1">
      <w:start w:val="1"/>
      <w:numFmt w:val="bullet"/>
      <w:lvlText w:val=""/>
      <w:lvlJc w:val="left"/>
      <w:pPr>
        <w:tabs>
          <w:tab w:val="num" w:pos="1440"/>
        </w:tabs>
        <w:ind w:left="1440" w:hanging="360"/>
      </w:pPr>
      <w:rPr>
        <w:rFonts w:ascii="Wingdings 2" w:hAnsi="Wingdings 2" w:hint="default"/>
      </w:rPr>
    </w:lvl>
    <w:lvl w:ilvl="2" w:tplc="DBB89F82" w:tentative="1">
      <w:start w:val="1"/>
      <w:numFmt w:val="bullet"/>
      <w:lvlText w:val=""/>
      <w:lvlJc w:val="left"/>
      <w:pPr>
        <w:tabs>
          <w:tab w:val="num" w:pos="2160"/>
        </w:tabs>
        <w:ind w:left="2160" w:hanging="360"/>
      </w:pPr>
      <w:rPr>
        <w:rFonts w:ascii="Wingdings 2" w:hAnsi="Wingdings 2" w:hint="default"/>
      </w:rPr>
    </w:lvl>
    <w:lvl w:ilvl="3" w:tplc="DE700D0C" w:tentative="1">
      <w:start w:val="1"/>
      <w:numFmt w:val="bullet"/>
      <w:lvlText w:val=""/>
      <w:lvlJc w:val="left"/>
      <w:pPr>
        <w:tabs>
          <w:tab w:val="num" w:pos="2880"/>
        </w:tabs>
        <w:ind w:left="2880" w:hanging="360"/>
      </w:pPr>
      <w:rPr>
        <w:rFonts w:ascii="Wingdings 2" w:hAnsi="Wingdings 2" w:hint="default"/>
      </w:rPr>
    </w:lvl>
    <w:lvl w:ilvl="4" w:tplc="E5941222" w:tentative="1">
      <w:start w:val="1"/>
      <w:numFmt w:val="bullet"/>
      <w:lvlText w:val=""/>
      <w:lvlJc w:val="left"/>
      <w:pPr>
        <w:tabs>
          <w:tab w:val="num" w:pos="3600"/>
        </w:tabs>
        <w:ind w:left="3600" w:hanging="360"/>
      </w:pPr>
      <w:rPr>
        <w:rFonts w:ascii="Wingdings 2" w:hAnsi="Wingdings 2" w:hint="default"/>
      </w:rPr>
    </w:lvl>
    <w:lvl w:ilvl="5" w:tplc="FB4AE33A" w:tentative="1">
      <w:start w:val="1"/>
      <w:numFmt w:val="bullet"/>
      <w:lvlText w:val=""/>
      <w:lvlJc w:val="left"/>
      <w:pPr>
        <w:tabs>
          <w:tab w:val="num" w:pos="4320"/>
        </w:tabs>
        <w:ind w:left="4320" w:hanging="360"/>
      </w:pPr>
      <w:rPr>
        <w:rFonts w:ascii="Wingdings 2" w:hAnsi="Wingdings 2" w:hint="default"/>
      </w:rPr>
    </w:lvl>
    <w:lvl w:ilvl="6" w:tplc="B0CE6C9C" w:tentative="1">
      <w:start w:val="1"/>
      <w:numFmt w:val="bullet"/>
      <w:lvlText w:val=""/>
      <w:lvlJc w:val="left"/>
      <w:pPr>
        <w:tabs>
          <w:tab w:val="num" w:pos="5040"/>
        </w:tabs>
        <w:ind w:left="5040" w:hanging="360"/>
      </w:pPr>
      <w:rPr>
        <w:rFonts w:ascii="Wingdings 2" w:hAnsi="Wingdings 2" w:hint="default"/>
      </w:rPr>
    </w:lvl>
    <w:lvl w:ilvl="7" w:tplc="1A00F8DA" w:tentative="1">
      <w:start w:val="1"/>
      <w:numFmt w:val="bullet"/>
      <w:lvlText w:val=""/>
      <w:lvlJc w:val="left"/>
      <w:pPr>
        <w:tabs>
          <w:tab w:val="num" w:pos="5760"/>
        </w:tabs>
        <w:ind w:left="5760" w:hanging="360"/>
      </w:pPr>
      <w:rPr>
        <w:rFonts w:ascii="Wingdings 2" w:hAnsi="Wingdings 2" w:hint="default"/>
      </w:rPr>
    </w:lvl>
    <w:lvl w:ilvl="8" w:tplc="6E0E864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C408AE"/>
    <w:multiLevelType w:val="hybridMultilevel"/>
    <w:tmpl w:val="610090B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CB0446"/>
    <w:multiLevelType w:val="hybridMultilevel"/>
    <w:tmpl w:val="3C003AD4"/>
    <w:lvl w:ilvl="0" w:tplc="2020BD34">
      <w:start w:val="1"/>
      <w:numFmt w:val="bullet"/>
      <w:lvlText w:val=""/>
      <w:lvlJc w:val="left"/>
      <w:pPr>
        <w:tabs>
          <w:tab w:val="num" w:pos="720"/>
        </w:tabs>
        <w:ind w:left="720" w:hanging="360"/>
      </w:pPr>
      <w:rPr>
        <w:rFonts w:ascii="Wingdings 2" w:hAnsi="Wingdings 2" w:hint="default"/>
      </w:rPr>
    </w:lvl>
    <w:lvl w:ilvl="1" w:tplc="1540817C" w:tentative="1">
      <w:start w:val="1"/>
      <w:numFmt w:val="bullet"/>
      <w:lvlText w:val=""/>
      <w:lvlJc w:val="left"/>
      <w:pPr>
        <w:tabs>
          <w:tab w:val="num" w:pos="1440"/>
        </w:tabs>
        <w:ind w:left="1440" w:hanging="360"/>
      </w:pPr>
      <w:rPr>
        <w:rFonts w:ascii="Wingdings 2" w:hAnsi="Wingdings 2" w:hint="default"/>
      </w:rPr>
    </w:lvl>
    <w:lvl w:ilvl="2" w:tplc="1AAA3124" w:tentative="1">
      <w:start w:val="1"/>
      <w:numFmt w:val="bullet"/>
      <w:lvlText w:val=""/>
      <w:lvlJc w:val="left"/>
      <w:pPr>
        <w:tabs>
          <w:tab w:val="num" w:pos="2160"/>
        </w:tabs>
        <w:ind w:left="2160" w:hanging="360"/>
      </w:pPr>
      <w:rPr>
        <w:rFonts w:ascii="Wingdings 2" w:hAnsi="Wingdings 2" w:hint="default"/>
      </w:rPr>
    </w:lvl>
    <w:lvl w:ilvl="3" w:tplc="ABAA15A8" w:tentative="1">
      <w:start w:val="1"/>
      <w:numFmt w:val="bullet"/>
      <w:lvlText w:val=""/>
      <w:lvlJc w:val="left"/>
      <w:pPr>
        <w:tabs>
          <w:tab w:val="num" w:pos="2880"/>
        </w:tabs>
        <w:ind w:left="2880" w:hanging="360"/>
      </w:pPr>
      <w:rPr>
        <w:rFonts w:ascii="Wingdings 2" w:hAnsi="Wingdings 2" w:hint="default"/>
      </w:rPr>
    </w:lvl>
    <w:lvl w:ilvl="4" w:tplc="47143AD8" w:tentative="1">
      <w:start w:val="1"/>
      <w:numFmt w:val="bullet"/>
      <w:lvlText w:val=""/>
      <w:lvlJc w:val="left"/>
      <w:pPr>
        <w:tabs>
          <w:tab w:val="num" w:pos="3600"/>
        </w:tabs>
        <w:ind w:left="3600" w:hanging="360"/>
      </w:pPr>
      <w:rPr>
        <w:rFonts w:ascii="Wingdings 2" w:hAnsi="Wingdings 2" w:hint="default"/>
      </w:rPr>
    </w:lvl>
    <w:lvl w:ilvl="5" w:tplc="F2C874B2" w:tentative="1">
      <w:start w:val="1"/>
      <w:numFmt w:val="bullet"/>
      <w:lvlText w:val=""/>
      <w:lvlJc w:val="left"/>
      <w:pPr>
        <w:tabs>
          <w:tab w:val="num" w:pos="4320"/>
        </w:tabs>
        <w:ind w:left="4320" w:hanging="360"/>
      </w:pPr>
      <w:rPr>
        <w:rFonts w:ascii="Wingdings 2" w:hAnsi="Wingdings 2" w:hint="default"/>
      </w:rPr>
    </w:lvl>
    <w:lvl w:ilvl="6" w:tplc="50703A62" w:tentative="1">
      <w:start w:val="1"/>
      <w:numFmt w:val="bullet"/>
      <w:lvlText w:val=""/>
      <w:lvlJc w:val="left"/>
      <w:pPr>
        <w:tabs>
          <w:tab w:val="num" w:pos="5040"/>
        </w:tabs>
        <w:ind w:left="5040" w:hanging="360"/>
      </w:pPr>
      <w:rPr>
        <w:rFonts w:ascii="Wingdings 2" w:hAnsi="Wingdings 2" w:hint="default"/>
      </w:rPr>
    </w:lvl>
    <w:lvl w:ilvl="7" w:tplc="1DC8D0DE" w:tentative="1">
      <w:start w:val="1"/>
      <w:numFmt w:val="bullet"/>
      <w:lvlText w:val=""/>
      <w:lvlJc w:val="left"/>
      <w:pPr>
        <w:tabs>
          <w:tab w:val="num" w:pos="5760"/>
        </w:tabs>
        <w:ind w:left="5760" w:hanging="360"/>
      </w:pPr>
      <w:rPr>
        <w:rFonts w:ascii="Wingdings 2" w:hAnsi="Wingdings 2" w:hint="default"/>
      </w:rPr>
    </w:lvl>
    <w:lvl w:ilvl="8" w:tplc="6E3A48A8"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4"/>
  </w:num>
  <w:num w:numId="15">
    <w:abstractNumId w:val="36"/>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1"/>
  </w:num>
  <w:num w:numId="24">
    <w:abstractNumId w:val="42"/>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3"/>
  </w:num>
  <w:num w:numId="42">
    <w:abstractNumId w:val="45"/>
  </w:num>
  <w:num w:numId="43">
    <w:abstractNumId w:val="10"/>
  </w:num>
  <w:num w:numId="44">
    <w:abstractNumId w:val="9"/>
  </w:num>
  <w:num w:numId="45">
    <w:abstractNumId w:val="27"/>
  </w:num>
  <w:num w:numId="46">
    <w:abstractNumId w:val="43"/>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34FD"/>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156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A60"/>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1C7E"/>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629B"/>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9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6167"/>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0AA0"/>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4234"/>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753E"/>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9691226">
      <w:bodyDiv w:val="1"/>
      <w:marLeft w:val="0"/>
      <w:marRight w:val="0"/>
      <w:marTop w:val="0"/>
      <w:marBottom w:val="0"/>
      <w:divBdr>
        <w:top w:val="none" w:sz="0" w:space="0" w:color="auto"/>
        <w:left w:val="none" w:sz="0" w:space="0" w:color="auto"/>
        <w:bottom w:val="none" w:sz="0" w:space="0" w:color="auto"/>
        <w:right w:val="none" w:sz="0" w:space="0" w:color="auto"/>
      </w:divBdr>
      <w:divsChild>
        <w:div w:id="1550996648">
          <w:marLeft w:val="576"/>
          <w:marRight w:val="0"/>
          <w:marTop w:val="120"/>
          <w:marBottom w:val="0"/>
          <w:divBdr>
            <w:top w:val="none" w:sz="0" w:space="0" w:color="auto"/>
            <w:left w:val="none" w:sz="0" w:space="0" w:color="auto"/>
            <w:bottom w:val="none" w:sz="0" w:space="0" w:color="auto"/>
            <w:right w:val="none" w:sz="0" w:space="0" w:color="auto"/>
          </w:divBdr>
        </w:div>
        <w:div w:id="1392382334">
          <w:marLeft w:val="576"/>
          <w:marRight w:val="0"/>
          <w:marTop w:val="120"/>
          <w:marBottom w:val="0"/>
          <w:divBdr>
            <w:top w:val="none" w:sz="0" w:space="0" w:color="auto"/>
            <w:left w:val="none" w:sz="0" w:space="0" w:color="auto"/>
            <w:bottom w:val="none" w:sz="0" w:space="0" w:color="auto"/>
            <w:right w:val="none" w:sz="0" w:space="0" w:color="auto"/>
          </w:divBdr>
        </w:div>
        <w:div w:id="740178851">
          <w:marLeft w:val="576"/>
          <w:marRight w:val="0"/>
          <w:marTop w:val="120"/>
          <w:marBottom w:val="0"/>
          <w:divBdr>
            <w:top w:val="none" w:sz="0" w:space="0" w:color="auto"/>
            <w:left w:val="none" w:sz="0" w:space="0" w:color="auto"/>
            <w:bottom w:val="none" w:sz="0" w:space="0" w:color="auto"/>
            <w:right w:val="none" w:sz="0" w:space="0" w:color="auto"/>
          </w:divBdr>
        </w:div>
        <w:div w:id="1684284005">
          <w:marLeft w:val="576"/>
          <w:marRight w:val="0"/>
          <w:marTop w:val="120"/>
          <w:marBottom w:val="0"/>
          <w:divBdr>
            <w:top w:val="none" w:sz="0" w:space="0" w:color="auto"/>
            <w:left w:val="none" w:sz="0" w:space="0" w:color="auto"/>
            <w:bottom w:val="none" w:sz="0" w:space="0" w:color="auto"/>
            <w:right w:val="none" w:sz="0" w:space="0" w:color="auto"/>
          </w:divBdr>
        </w:div>
        <w:div w:id="171186278">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997014">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4100867">
      <w:bodyDiv w:val="1"/>
      <w:marLeft w:val="0"/>
      <w:marRight w:val="0"/>
      <w:marTop w:val="0"/>
      <w:marBottom w:val="0"/>
      <w:divBdr>
        <w:top w:val="none" w:sz="0" w:space="0" w:color="auto"/>
        <w:left w:val="none" w:sz="0" w:space="0" w:color="auto"/>
        <w:bottom w:val="none" w:sz="0" w:space="0" w:color="auto"/>
        <w:right w:val="none" w:sz="0" w:space="0" w:color="auto"/>
      </w:divBdr>
      <w:divsChild>
        <w:div w:id="1194152545">
          <w:marLeft w:val="576"/>
          <w:marRight w:val="0"/>
          <w:marTop w:val="120"/>
          <w:marBottom w:val="0"/>
          <w:divBdr>
            <w:top w:val="none" w:sz="0" w:space="0" w:color="auto"/>
            <w:left w:val="none" w:sz="0" w:space="0" w:color="auto"/>
            <w:bottom w:val="none" w:sz="0" w:space="0" w:color="auto"/>
            <w:right w:val="none" w:sz="0" w:space="0" w:color="auto"/>
          </w:divBdr>
        </w:div>
        <w:div w:id="2120759275">
          <w:marLeft w:val="576"/>
          <w:marRight w:val="0"/>
          <w:marTop w:val="120"/>
          <w:marBottom w:val="0"/>
          <w:divBdr>
            <w:top w:val="none" w:sz="0" w:space="0" w:color="auto"/>
            <w:left w:val="none" w:sz="0" w:space="0" w:color="auto"/>
            <w:bottom w:val="none" w:sz="0" w:space="0" w:color="auto"/>
            <w:right w:val="none" w:sz="0" w:space="0" w:color="auto"/>
          </w:divBdr>
        </w:div>
        <w:div w:id="1526013871">
          <w:marLeft w:val="576"/>
          <w:marRight w:val="0"/>
          <w:marTop w:val="120"/>
          <w:marBottom w:val="0"/>
          <w:divBdr>
            <w:top w:val="none" w:sz="0" w:space="0" w:color="auto"/>
            <w:left w:val="none" w:sz="0" w:space="0" w:color="auto"/>
            <w:bottom w:val="none" w:sz="0" w:space="0" w:color="auto"/>
            <w:right w:val="none" w:sz="0" w:space="0" w:color="auto"/>
          </w:divBdr>
        </w:div>
        <w:div w:id="104234906">
          <w:marLeft w:val="576"/>
          <w:marRight w:val="0"/>
          <w:marTop w:val="120"/>
          <w:marBottom w:val="0"/>
          <w:divBdr>
            <w:top w:val="none" w:sz="0" w:space="0" w:color="auto"/>
            <w:left w:val="none" w:sz="0" w:space="0" w:color="auto"/>
            <w:bottom w:val="none" w:sz="0" w:space="0" w:color="auto"/>
            <w:right w:val="none" w:sz="0" w:space="0" w:color="auto"/>
          </w:divBdr>
        </w:div>
        <w:div w:id="1509637145">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23279">
      <w:bodyDiv w:val="1"/>
      <w:marLeft w:val="0"/>
      <w:marRight w:val="0"/>
      <w:marTop w:val="0"/>
      <w:marBottom w:val="0"/>
      <w:divBdr>
        <w:top w:val="none" w:sz="0" w:space="0" w:color="auto"/>
        <w:left w:val="none" w:sz="0" w:space="0" w:color="auto"/>
        <w:bottom w:val="none" w:sz="0" w:space="0" w:color="auto"/>
        <w:right w:val="none" w:sz="0" w:space="0" w:color="auto"/>
      </w:divBdr>
      <w:divsChild>
        <w:div w:id="1593011114">
          <w:marLeft w:val="576"/>
          <w:marRight w:val="0"/>
          <w:marTop w:val="120"/>
          <w:marBottom w:val="0"/>
          <w:divBdr>
            <w:top w:val="none" w:sz="0" w:space="0" w:color="auto"/>
            <w:left w:val="none" w:sz="0" w:space="0" w:color="auto"/>
            <w:bottom w:val="none" w:sz="0" w:space="0" w:color="auto"/>
            <w:right w:val="none" w:sz="0" w:space="0" w:color="auto"/>
          </w:divBdr>
        </w:div>
        <w:div w:id="198779954">
          <w:marLeft w:val="576"/>
          <w:marRight w:val="0"/>
          <w:marTop w:val="120"/>
          <w:marBottom w:val="0"/>
          <w:divBdr>
            <w:top w:val="none" w:sz="0" w:space="0" w:color="auto"/>
            <w:left w:val="none" w:sz="0" w:space="0" w:color="auto"/>
            <w:bottom w:val="none" w:sz="0" w:space="0" w:color="auto"/>
            <w:right w:val="none" w:sz="0" w:space="0" w:color="auto"/>
          </w:divBdr>
        </w:div>
        <w:div w:id="741605584">
          <w:marLeft w:val="576"/>
          <w:marRight w:val="0"/>
          <w:marTop w:val="120"/>
          <w:marBottom w:val="0"/>
          <w:divBdr>
            <w:top w:val="none" w:sz="0" w:space="0" w:color="auto"/>
            <w:left w:val="none" w:sz="0" w:space="0" w:color="auto"/>
            <w:bottom w:val="none" w:sz="0" w:space="0" w:color="auto"/>
            <w:right w:val="none" w:sz="0" w:space="0" w:color="auto"/>
          </w:divBdr>
        </w:div>
        <w:div w:id="786847621">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9501796">
      <w:bodyDiv w:val="1"/>
      <w:marLeft w:val="0"/>
      <w:marRight w:val="0"/>
      <w:marTop w:val="0"/>
      <w:marBottom w:val="0"/>
      <w:divBdr>
        <w:top w:val="none" w:sz="0" w:space="0" w:color="auto"/>
        <w:left w:val="none" w:sz="0" w:space="0" w:color="auto"/>
        <w:bottom w:val="none" w:sz="0" w:space="0" w:color="auto"/>
        <w:right w:val="none" w:sz="0" w:space="0" w:color="auto"/>
      </w:divBdr>
      <w:divsChild>
        <w:div w:id="908345406">
          <w:marLeft w:val="576"/>
          <w:marRight w:val="0"/>
          <w:marTop w:val="120"/>
          <w:marBottom w:val="0"/>
          <w:divBdr>
            <w:top w:val="none" w:sz="0" w:space="0" w:color="auto"/>
            <w:left w:val="none" w:sz="0" w:space="0" w:color="auto"/>
            <w:bottom w:val="none" w:sz="0" w:space="0" w:color="auto"/>
            <w:right w:val="none" w:sz="0" w:space="0" w:color="auto"/>
          </w:divBdr>
        </w:div>
        <w:div w:id="448356969">
          <w:marLeft w:val="576"/>
          <w:marRight w:val="0"/>
          <w:marTop w:val="120"/>
          <w:marBottom w:val="0"/>
          <w:divBdr>
            <w:top w:val="none" w:sz="0" w:space="0" w:color="auto"/>
            <w:left w:val="none" w:sz="0" w:space="0" w:color="auto"/>
            <w:bottom w:val="none" w:sz="0" w:space="0" w:color="auto"/>
            <w:right w:val="none" w:sz="0" w:space="0" w:color="auto"/>
          </w:divBdr>
        </w:div>
        <w:div w:id="96684268">
          <w:marLeft w:val="576"/>
          <w:marRight w:val="0"/>
          <w:marTop w:val="120"/>
          <w:marBottom w:val="0"/>
          <w:divBdr>
            <w:top w:val="none" w:sz="0" w:space="0" w:color="auto"/>
            <w:left w:val="none" w:sz="0" w:space="0" w:color="auto"/>
            <w:bottom w:val="none" w:sz="0" w:space="0" w:color="auto"/>
            <w:right w:val="none" w:sz="0" w:space="0" w:color="auto"/>
          </w:divBdr>
        </w:div>
        <w:div w:id="390080660">
          <w:marLeft w:val="576"/>
          <w:marRight w:val="0"/>
          <w:marTop w:val="120"/>
          <w:marBottom w:val="0"/>
          <w:divBdr>
            <w:top w:val="none" w:sz="0" w:space="0" w:color="auto"/>
            <w:left w:val="none" w:sz="0" w:space="0" w:color="auto"/>
            <w:bottom w:val="none" w:sz="0" w:space="0" w:color="auto"/>
            <w:right w:val="none" w:sz="0" w:space="0" w:color="auto"/>
          </w:divBdr>
        </w:div>
      </w:divsChild>
    </w:div>
    <w:div w:id="1009598826">
      <w:bodyDiv w:val="1"/>
      <w:marLeft w:val="0"/>
      <w:marRight w:val="0"/>
      <w:marTop w:val="0"/>
      <w:marBottom w:val="0"/>
      <w:divBdr>
        <w:top w:val="none" w:sz="0" w:space="0" w:color="auto"/>
        <w:left w:val="none" w:sz="0" w:space="0" w:color="auto"/>
        <w:bottom w:val="none" w:sz="0" w:space="0" w:color="auto"/>
        <w:right w:val="none" w:sz="0" w:space="0" w:color="auto"/>
      </w:divBdr>
      <w:divsChild>
        <w:div w:id="938217762">
          <w:marLeft w:val="576"/>
          <w:marRight w:val="0"/>
          <w:marTop w:val="120"/>
          <w:marBottom w:val="0"/>
          <w:divBdr>
            <w:top w:val="none" w:sz="0" w:space="0" w:color="auto"/>
            <w:left w:val="none" w:sz="0" w:space="0" w:color="auto"/>
            <w:bottom w:val="none" w:sz="0" w:space="0" w:color="auto"/>
            <w:right w:val="none" w:sz="0" w:space="0" w:color="auto"/>
          </w:divBdr>
        </w:div>
        <w:div w:id="1604148851">
          <w:marLeft w:val="576"/>
          <w:marRight w:val="0"/>
          <w:marTop w:val="120"/>
          <w:marBottom w:val="0"/>
          <w:divBdr>
            <w:top w:val="none" w:sz="0" w:space="0" w:color="auto"/>
            <w:left w:val="none" w:sz="0" w:space="0" w:color="auto"/>
            <w:bottom w:val="none" w:sz="0" w:space="0" w:color="auto"/>
            <w:right w:val="none" w:sz="0" w:space="0" w:color="auto"/>
          </w:divBdr>
        </w:div>
        <w:div w:id="305934981">
          <w:marLeft w:val="576"/>
          <w:marRight w:val="0"/>
          <w:marTop w:val="120"/>
          <w:marBottom w:val="0"/>
          <w:divBdr>
            <w:top w:val="none" w:sz="0" w:space="0" w:color="auto"/>
            <w:left w:val="none" w:sz="0" w:space="0" w:color="auto"/>
            <w:bottom w:val="none" w:sz="0" w:space="0" w:color="auto"/>
            <w:right w:val="none" w:sz="0" w:space="0" w:color="auto"/>
          </w:divBdr>
        </w:div>
        <w:div w:id="91227351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5702486">
      <w:bodyDiv w:val="1"/>
      <w:marLeft w:val="0"/>
      <w:marRight w:val="0"/>
      <w:marTop w:val="0"/>
      <w:marBottom w:val="0"/>
      <w:divBdr>
        <w:top w:val="none" w:sz="0" w:space="0" w:color="auto"/>
        <w:left w:val="none" w:sz="0" w:space="0" w:color="auto"/>
        <w:bottom w:val="none" w:sz="0" w:space="0" w:color="auto"/>
        <w:right w:val="none" w:sz="0" w:space="0" w:color="auto"/>
      </w:divBdr>
      <w:divsChild>
        <w:div w:id="1953172793">
          <w:marLeft w:val="576"/>
          <w:marRight w:val="0"/>
          <w:marTop w:val="120"/>
          <w:marBottom w:val="0"/>
          <w:divBdr>
            <w:top w:val="none" w:sz="0" w:space="0" w:color="auto"/>
            <w:left w:val="none" w:sz="0" w:space="0" w:color="auto"/>
            <w:bottom w:val="none" w:sz="0" w:space="0" w:color="auto"/>
            <w:right w:val="none" w:sz="0" w:space="0" w:color="auto"/>
          </w:divBdr>
        </w:div>
        <w:div w:id="1514882559">
          <w:marLeft w:val="576"/>
          <w:marRight w:val="0"/>
          <w:marTop w:val="120"/>
          <w:marBottom w:val="0"/>
          <w:divBdr>
            <w:top w:val="none" w:sz="0" w:space="0" w:color="auto"/>
            <w:left w:val="none" w:sz="0" w:space="0" w:color="auto"/>
            <w:bottom w:val="none" w:sz="0" w:space="0" w:color="auto"/>
            <w:right w:val="none" w:sz="0" w:space="0" w:color="auto"/>
          </w:divBdr>
        </w:div>
        <w:div w:id="1809854313">
          <w:marLeft w:val="576"/>
          <w:marRight w:val="0"/>
          <w:marTop w:val="120"/>
          <w:marBottom w:val="0"/>
          <w:divBdr>
            <w:top w:val="none" w:sz="0" w:space="0" w:color="auto"/>
            <w:left w:val="none" w:sz="0" w:space="0" w:color="auto"/>
            <w:bottom w:val="none" w:sz="0" w:space="0" w:color="auto"/>
            <w:right w:val="none" w:sz="0" w:space="0" w:color="auto"/>
          </w:divBdr>
        </w:div>
        <w:div w:id="159046005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1533</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2021-09-30T08:21:00Z</dcterms:modified>
</cp:coreProperties>
</file>