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C3D6B" w:rsidRDefault="004C3D6B" w:rsidP="004C3D6B">
      <w:pPr>
        <w:spacing w:line="360" w:lineRule="auto"/>
        <w:jc w:val="center"/>
        <w:rPr>
          <w:rFonts w:ascii="Times New Roman" w:hAnsi="Times New Roman" w:cs="Times New Roman"/>
          <w:b/>
          <w:bCs/>
          <w:sz w:val="144"/>
          <w:szCs w:val="144"/>
        </w:rPr>
      </w:pPr>
      <w:r w:rsidRPr="004C3D6B">
        <w:rPr>
          <w:rFonts w:ascii="Times New Roman" w:hAnsi="Times New Roman" w:cs="Times New Roman"/>
          <w:b/>
          <w:bCs/>
          <w:sz w:val="56"/>
          <w:szCs w:val="56"/>
        </w:rPr>
        <w:t>Customer query track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C3D6B" w:rsidRDefault="004C3D6B" w:rsidP="00E53AA4">
      <w:pPr>
        <w:spacing w:line="360" w:lineRule="auto"/>
        <w:jc w:val="both"/>
        <w:rPr>
          <w:rFonts w:ascii="Times New Roman" w:hAnsi="Times New Roman" w:cs="Times New Roman"/>
          <w:b/>
          <w:sz w:val="40"/>
          <w:szCs w:val="40"/>
        </w:rPr>
      </w:pPr>
    </w:p>
    <w:p w:rsidR="004C3D6B" w:rsidRDefault="004C3D6B" w:rsidP="00E53AA4">
      <w:pPr>
        <w:spacing w:line="360" w:lineRule="auto"/>
        <w:jc w:val="both"/>
        <w:rPr>
          <w:rFonts w:ascii="Times New Roman" w:hAnsi="Times New Roman" w:cs="Times New Roman"/>
          <w:b/>
          <w:sz w:val="40"/>
          <w:szCs w:val="40"/>
        </w:rPr>
      </w:pPr>
    </w:p>
    <w:p w:rsidR="004C3D6B" w:rsidRDefault="004C3D6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E2035" w:rsidRDefault="005E2035" w:rsidP="00E53AA4">
      <w:pPr>
        <w:spacing w:line="360" w:lineRule="auto"/>
        <w:jc w:val="both"/>
        <w:rPr>
          <w:rFonts w:ascii="Times New Roman" w:hAnsi="Times New Roman" w:cs="Times New Roman"/>
          <w:b/>
          <w:sz w:val="52"/>
          <w:szCs w:val="52"/>
        </w:rPr>
      </w:pPr>
      <w:r w:rsidRPr="005E2035">
        <w:rPr>
          <w:rFonts w:ascii="Times New Roman" w:hAnsi="Times New Roman" w:cs="Times New Roman"/>
          <w:sz w:val="32"/>
          <w:szCs w:val="32"/>
        </w:rPr>
        <w:t>Using a novel approach with video-recordings of sales interactions, this study focuses on a dynamic analysis of salesperson effectiveness in handling customer queries. We conceptualize salesperson behaviors, namely, resolving, relating, and emoting, as separate elements of customer query handling and empirically identify the distinct verbal and nonverbal cues that salespeople use to display these behaviors during sales interactions. We draw from compensation effects in social cognition theory to propose that customers’ perceptions of a salesperson’s effectiveness are prone to trade-offs between competence (resolving behaviors) and warmth (relating and emoting behaviors). Results, robust to endogeneity corrections, support the proposed tradeoffs such that the effectiveness of salesperson’s resolving behavior is significantly curtailed, even neutralized, by the salesperson’s relating and emoting behaviors. We situate these counterintuitive results within the extant theory and research on sales interactions, and outline implications for practice.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5E203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2B32" w:rsidRDefault="0015475D" w:rsidP="005E2B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B32">
        <w:rPr>
          <w:rFonts w:ascii="Times New Roman" w:hAnsi="Times New Roman" w:cs="Times New Roman"/>
          <w:sz w:val="32"/>
          <w:szCs w:val="32"/>
          <w:lang w:val="en-IN"/>
        </w:rPr>
        <w:t>The query understanding of conversational search in E-commerce is of great difference with the natural language understanding in t</w:t>
      </w:r>
      <w:r w:rsidRPr="005E2B32">
        <w:rPr>
          <w:rFonts w:ascii="Times New Roman" w:hAnsi="Times New Roman" w:cs="Times New Roman"/>
          <w:sz w:val="32"/>
          <w:szCs w:val="32"/>
          <w:lang w:val="en-IN"/>
        </w:rPr>
        <w:t xml:space="preserve">ask-oriented dialog system. </w:t>
      </w:r>
    </w:p>
    <w:p w:rsidR="00000000" w:rsidRPr="005E2B32" w:rsidRDefault="0015475D" w:rsidP="005E2B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B32">
        <w:rPr>
          <w:rFonts w:ascii="Times New Roman" w:hAnsi="Times New Roman" w:cs="Times New Roman"/>
          <w:sz w:val="32"/>
          <w:szCs w:val="32"/>
          <w:lang w:val="en-IN"/>
        </w:rPr>
        <w:t>If slot filling is applied, large amount of semantic slots should be defined to cover all product properties, e.g. brand, color, size, style, skirt length and so on, and it is an expensive manual work.</w:t>
      </w:r>
    </w:p>
    <w:p w:rsidR="00000000" w:rsidRPr="005E2B32" w:rsidRDefault="0015475D" w:rsidP="005E2B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B32">
        <w:rPr>
          <w:rFonts w:ascii="Times New Roman" w:hAnsi="Times New Roman" w:cs="Times New Roman"/>
          <w:sz w:val="32"/>
          <w:szCs w:val="32"/>
          <w:lang w:val="en-IN"/>
        </w:rPr>
        <w:t xml:space="preserve">In </w:t>
      </w:r>
      <w:r w:rsidRPr="005E2B32">
        <w:rPr>
          <w:rFonts w:ascii="Times New Roman" w:hAnsi="Times New Roman" w:cs="Times New Roman"/>
          <w:sz w:val="32"/>
          <w:szCs w:val="32"/>
          <w:lang w:val="en-IN"/>
        </w:rPr>
        <w:t xml:space="preserve">task-oriented dialog systems, natural language understanding mainly composes of two components: slot filling and dialog state tracking. </w:t>
      </w:r>
    </w:p>
    <w:p w:rsidR="00000000" w:rsidRPr="005E2B32" w:rsidRDefault="0015475D" w:rsidP="005E2B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B32">
        <w:rPr>
          <w:rFonts w:ascii="Times New Roman" w:hAnsi="Times New Roman" w:cs="Times New Roman"/>
          <w:sz w:val="32"/>
          <w:szCs w:val="32"/>
          <w:lang w:val="en-IN"/>
        </w:rPr>
        <w:t>It is noteworthy that queries in E-commerce search commonly only contain several unordered keywords that describe some</w:t>
      </w:r>
      <w:r w:rsidRPr="005E2B32">
        <w:rPr>
          <w:rFonts w:ascii="Times New Roman" w:hAnsi="Times New Roman" w:cs="Times New Roman"/>
          <w:sz w:val="32"/>
          <w:szCs w:val="32"/>
          <w:lang w:val="en-IN"/>
        </w:rPr>
        <w:t xml:space="preserve"> key properties of user’s needed products so as the internal query.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2B32" w:rsidRDefault="0015475D" w:rsidP="005E2B32">
      <w:pPr>
        <w:numPr>
          <w:ilvl w:val="0"/>
          <w:numId w:val="45"/>
        </w:numPr>
        <w:spacing w:line="360" w:lineRule="auto"/>
        <w:jc w:val="both"/>
        <w:rPr>
          <w:rFonts w:ascii="Times New Roman" w:hAnsi="Times New Roman" w:cs="Times New Roman"/>
          <w:bCs/>
          <w:sz w:val="32"/>
          <w:szCs w:val="32"/>
          <w:lang w:val="en-IN"/>
        </w:rPr>
      </w:pPr>
      <w:r w:rsidRPr="005E2B32">
        <w:rPr>
          <w:rFonts w:ascii="Times New Roman" w:hAnsi="Times New Roman" w:cs="Times New Roman"/>
          <w:bCs/>
          <w:sz w:val="32"/>
          <w:szCs w:val="32"/>
          <w:lang w:val="en-IN"/>
        </w:rPr>
        <w:t>Customers seek both specificity and clarity from the salesperson’s response: specificity to process the potentially unique question the customer has, and clarity to provide a response th</w:t>
      </w:r>
      <w:r w:rsidRPr="005E2B32">
        <w:rPr>
          <w:rFonts w:ascii="Times New Roman" w:hAnsi="Times New Roman" w:cs="Times New Roman"/>
          <w:bCs/>
          <w:sz w:val="32"/>
          <w:szCs w:val="32"/>
          <w:lang w:val="en-IN"/>
        </w:rPr>
        <w:t>at helps resolve or reframe the underlying issues.</w:t>
      </w:r>
    </w:p>
    <w:p w:rsidR="00000000" w:rsidRPr="005E2B32" w:rsidRDefault="0015475D" w:rsidP="005E2B32">
      <w:pPr>
        <w:numPr>
          <w:ilvl w:val="0"/>
          <w:numId w:val="45"/>
        </w:numPr>
        <w:spacing w:line="360" w:lineRule="auto"/>
        <w:jc w:val="both"/>
        <w:rPr>
          <w:rFonts w:ascii="Times New Roman" w:hAnsi="Times New Roman" w:cs="Times New Roman"/>
          <w:bCs/>
          <w:sz w:val="32"/>
          <w:szCs w:val="32"/>
          <w:lang w:val="en-IN"/>
        </w:rPr>
      </w:pPr>
      <w:r w:rsidRPr="005E2B32">
        <w:rPr>
          <w:rFonts w:ascii="Times New Roman" w:hAnsi="Times New Roman" w:cs="Times New Roman"/>
          <w:bCs/>
          <w:sz w:val="32"/>
          <w:szCs w:val="32"/>
          <w:lang w:val="en-IN"/>
        </w:rPr>
        <w:lastRenderedPageBreak/>
        <w:t>However, some studies also report opposite, less functional effects of relating behaviors, especially in non-routine or problem-related contexts.</w:t>
      </w:r>
    </w:p>
    <w:p w:rsidR="00000000" w:rsidRPr="005E2B32" w:rsidRDefault="0015475D" w:rsidP="005E2B32">
      <w:pPr>
        <w:numPr>
          <w:ilvl w:val="0"/>
          <w:numId w:val="45"/>
        </w:numPr>
        <w:spacing w:line="360" w:lineRule="auto"/>
        <w:jc w:val="both"/>
        <w:rPr>
          <w:rFonts w:ascii="Times New Roman" w:hAnsi="Times New Roman" w:cs="Times New Roman"/>
          <w:bCs/>
          <w:sz w:val="32"/>
          <w:szCs w:val="32"/>
          <w:lang w:val="en-IN"/>
        </w:rPr>
      </w:pPr>
      <w:r w:rsidRPr="005E2B32">
        <w:rPr>
          <w:rFonts w:ascii="Times New Roman" w:hAnsi="Times New Roman" w:cs="Times New Roman"/>
          <w:bCs/>
          <w:sz w:val="32"/>
          <w:szCs w:val="32"/>
          <w:lang w:val="en-IN"/>
        </w:rPr>
        <w:t>Customer queries are deliberate attempts on the part of t</w:t>
      </w:r>
      <w:r w:rsidRPr="005E2B32">
        <w:rPr>
          <w:rFonts w:ascii="Times New Roman" w:hAnsi="Times New Roman" w:cs="Times New Roman"/>
          <w:bCs/>
          <w:sz w:val="32"/>
          <w:szCs w:val="32"/>
          <w:lang w:val="en-IN"/>
        </w:rPr>
        <w:t xml:space="preserve">he customer to control and direct the sales communications toward issues and concerns that address their decision uncertainty. </w:t>
      </w:r>
    </w:p>
    <w:p w:rsidR="00F94960" w:rsidRPr="005E2B32" w:rsidRDefault="0015475D" w:rsidP="00E53AA4">
      <w:pPr>
        <w:numPr>
          <w:ilvl w:val="0"/>
          <w:numId w:val="45"/>
        </w:numPr>
        <w:spacing w:line="360" w:lineRule="auto"/>
        <w:jc w:val="both"/>
        <w:rPr>
          <w:rFonts w:ascii="Times New Roman" w:hAnsi="Times New Roman" w:cs="Times New Roman"/>
          <w:bCs/>
          <w:sz w:val="32"/>
          <w:szCs w:val="32"/>
          <w:lang w:val="en-IN"/>
        </w:rPr>
      </w:pPr>
      <w:r w:rsidRPr="005E2B32">
        <w:rPr>
          <w:rFonts w:ascii="Times New Roman" w:hAnsi="Times New Roman" w:cs="Times New Roman"/>
          <w:bCs/>
          <w:sz w:val="32"/>
          <w:szCs w:val="32"/>
          <w:lang w:val="en-IN"/>
        </w:rPr>
        <w:t xml:space="preserve">At the start of a sales interaction, the customer likely has limited knowledge and thus issues basic and general queries.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E2B32" w:rsidRPr="005E2B32" w:rsidRDefault="005E2B32" w:rsidP="005E2B32">
      <w:pPr>
        <w:pStyle w:val="NormalWeb"/>
        <w:numPr>
          <w:ilvl w:val="0"/>
          <w:numId w:val="46"/>
        </w:numPr>
        <w:spacing w:before="0" w:beforeAutospacing="0" w:after="0" w:afterAutospacing="0" w:line="360" w:lineRule="auto"/>
        <w:ind w:left="426"/>
        <w:jc w:val="both"/>
        <w:rPr>
          <w:sz w:val="32"/>
          <w:szCs w:val="32"/>
        </w:rPr>
      </w:pPr>
      <w:r w:rsidRPr="005E2B32">
        <w:rPr>
          <w:sz w:val="32"/>
          <w:szCs w:val="32"/>
        </w:rPr>
        <w:t>We also propose a self attention based neural network to handle the task in a machine comprehension perspective.</w:t>
      </w:r>
    </w:p>
    <w:p w:rsidR="005E2B32" w:rsidRPr="005E2B32" w:rsidRDefault="005E2B32" w:rsidP="005E2B32">
      <w:pPr>
        <w:pStyle w:val="NormalWeb"/>
        <w:numPr>
          <w:ilvl w:val="0"/>
          <w:numId w:val="46"/>
        </w:numPr>
        <w:spacing w:before="0" w:beforeAutospacing="0" w:after="0" w:afterAutospacing="0" w:line="360" w:lineRule="auto"/>
        <w:ind w:left="426"/>
        <w:jc w:val="both"/>
        <w:rPr>
          <w:sz w:val="32"/>
          <w:szCs w:val="32"/>
        </w:rPr>
      </w:pPr>
      <w:r w:rsidRPr="005E2B32">
        <w:rPr>
          <w:sz w:val="32"/>
          <w:szCs w:val="32"/>
        </w:rPr>
        <w:t xml:space="preserve">To handle this task, we involve a machine comprehension perspective, and propose a neural network based query tracking model. </w:t>
      </w:r>
    </w:p>
    <w:p w:rsidR="005E2B32" w:rsidRPr="005E2B32" w:rsidRDefault="005E2B32" w:rsidP="005E2B32">
      <w:pPr>
        <w:pStyle w:val="NormalWeb"/>
        <w:numPr>
          <w:ilvl w:val="0"/>
          <w:numId w:val="46"/>
        </w:numPr>
        <w:spacing w:before="0" w:beforeAutospacing="0" w:after="0" w:afterAutospacing="0" w:line="360" w:lineRule="auto"/>
        <w:ind w:left="426"/>
        <w:jc w:val="both"/>
        <w:rPr>
          <w:sz w:val="32"/>
          <w:szCs w:val="32"/>
        </w:rPr>
      </w:pPr>
      <w:r w:rsidRPr="005E2B32">
        <w:rPr>
          <w:sz w:val="32"/>
          <w:szCs w:val="32"/>
        </w:rPr>
        <w:t>In query tracking, we propose to leverage self attention based encoder as a more suitable substitute.</w:t>
      </w:r>
    </w:p>
    <w:p w:rsidR="005E2B32" w:rsidRPr="005E2B32" w:rsidRDefault="005E2B32" w:rsidP="005E2B32">
      <w:pPr>
        <w:pStyle w:val="NormalWeb"/>
        <w:numPr>
          <w:ilvl w:val="0"/>
          <w:numId w:val="46"/>
        </w:numPr>
        <w:spacing w:before="0" w:beforeAutospacing="0" w:after="0" w:afterAutospacing="0" w:line="360" w:lineRule="auto"/>
        <w:ind w:left="426"/>
        <w:jc w:val="both"/>
        <w:rPr>
          <w:sz w:val="32"/>
          <w:szCs w:val="32"/>
        </w:rPr>
      </w:pPr>
      <w:r w:rsidRPr="005E2B32">
        <w:rPr>
          <w:sz w:val="32"/>
          <w:szCs w:val="32"/>
        </w:rPr>
        <w:t>In our model, we update the internal query without the help of slot, and turn the problem to a word-level binary classification.</w:t>
      </w:r>
    </w:p>
    <w:p w:rsidR="003A5D44" w:rsidRPr="005E2B32" w:rsidRDefault="005E2B32" w:rsidP="00E53AA4">
      <w:pPr>
        <w:pStyle w:val="NormalWeb"/>
        <w:numPr>
          <w:ilvl w:val="0"/>
          <w:numId w:val="46"/>
        </w:numPr>
        <w:spacing w:before="0" w:beforeAutospacing="0" w:after="0" w:afterAutospacing="0" w:line="360" w:lineRule="auto"/>
        <w:ind w:left="426"/>
        <w:jc w:val="both"/>
        <w:rPr>
          <w:sz w:val="32"/>
          <w:szCs w:val="32"/>
        </w:rPr>
      </w:pPr>
      <w:r w:rsidRPr="005E2B32">
        <w:rPr>
          <w:sz w:val="32"/>
          <w:szCs w:val="32"/>
        </w:rPr>
        <w:t>We propose a novel neural network model based on machine comprehension perspective.</w:t>
      </w:r>
    </w:p>
    <w:p w:rsidR="005E2B32" w:rsidRDefault="005E2B32" w:rsidP="00E53AA4">
      <w:pPr>
        <w:pStyle w:val="NormalWeb"/>
        <w:spacing w:before="0" w:beforeAutospacing="0" w:after="0" w:afterAutospacing="0" w:line="360" w:lineRule="auto"/>
        <w:jc w:val="both"/>
        <w:rPr>
          <w:b/>
          <w:sz w:val="40"/>
          <w:szCs w:val="40"/>
        </w:rPr>
      </w:pPr>
    </w:p>
    <w:p w:rsidR="005E2B32" w:rsidRDefault="005E2B3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E2B32" w:rsidRDefault="0015475D" w:rsidP="005E2B3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B32">
        <w:rPr>
          <w:rFonts w:ascii="Times New Roman" w:eastAsia="AdvGulliv-R" w:hAnsi="Times New Roman" w:cs="Times New Roman"/>
          <w:bCs/>
          <w:sz w:val="32"/>
          <w:szCs w:val="32"/>
          <w:lang w:val="en-IN"/>
        </w:rPr>
        <w:t xml:space="preserve">Prior studies tend to use dependent variables that reflect desired sales outcomes including customer satisfaction and sales performance. </w:t>
      </w:r>
    </w:p>
    <w:p w:rsidR="00000000" w:rsidRPr="005E2B32" w:rsidRDefault="0015475D" w:rsidP="005E2B3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B32">
        <w:rPr>
          <w:rFonts w:ascii="Times New Roman" w:eastAsia="AdvGulliv-R" w:hAnsi="Times New Roman" w:cs="Times New Roman"/>
          <w:bCs/>
          <w:sz w:val="32"/>
          <w:szCs w:val="32"/>
          <w:lang w:val="en-IN"/>
        </w:rPr>
        <w:t xml:space="preserve">Adaptive confidence </w:t>
      </w:r>
      <w:r w:rsidRPr="005E2B32">
        <w:rPr>
          <w:rFonts w:ascii="Times New Roman" w:eastAsia="AdvGulliv-R" w:hAnsi="Times New Roman" w:cs="Times New Roman"/>
          <w:bCs/>
          <w:sz w:val="32"/>
          <w:szCs w:val="32"/>
          <w:lang w:val="en-IN"/>
        </w:rPr>
        <w:t>acts as an antecedent of adaptive behaviors, which affect the salesperson’s outcome performance.</w:t>
      </w:r>
    </w:p>
    <w:p w:rsidR="00000000" w:rsidRPr="005E2B32" w:rsidRDefault="0015475D" w:rsidP="005E2B3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B32">
        <w:rPr>
          <w:rFonts w:ascii="Times New Roman" w:eastAsia="AdvGulliv-R" w:hAnsi="Times New Roman" w:cs="Times New Roman"/>
          <w:bCs/>
          <w:sz w:val="32"/>
          <w:szCs w:val="32"/>
          <w:lang w:val="en-IN"/>
        </w:rPr>
        <w:t>There is a positive relationship among listening behavior and adaptive selling, sales performance, and job satisfaction.</w:t>
      </w:r>
    </w:p>
    <w:p w:rsidR="00000000" w:rsidRPr="005E2B32" w:rsidRDefault="0015475D" w:rsidP="005E2B3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B32">
        <w:rPr>
          <w:rFonts w:ascii="Times New Roman" w:eastAsia="AdvGulliv-R" w:hAnsi="Times New Roman" w:cs="Times New Roman"/>
          <w:bCs/>
          <w:sz w:val="32"/>
          <w:szCs w:val="32"/>
          <w:lang w:val="en-IN"/>
        </w:rPr>
        <w:t>This evidence confirms that customer</w:t>
      </w:r>
      <w:r w:rsidRPr="005E2B32">
        <w:rPr>
          <w:rFonts w:ascii="Times New Roman" w:eastAsia="AdvGulliv-R" w:hAnsi="Times New Roman" w:cs="Times New Roman"/>
          <w:bCs/>
          <w:sz w:val="32"/>
          <w:szCs w:val="32"/>
          <w:lang w:val="en-IN"/>
        </w:rPr>
        <w:t>s continuously monitor salespeople’s efficacy in handling their queries and weigh resolving behaviors more heavily at later stages (when the queries are more significant and specific) compared with earlier stages (when queries are basic and broad).</w:t>
      </w:r>
      <w:r w:rsidRPr="005E2B3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75BCA" w:rsidRDefault="00075BCA" w:rsidP="00E53AA4">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sz w:val="28"/>
                <w:szCs w:val="28"/>
              </w:rPr>
              <w:t>Thin slices of expressive behavior as predictors of interpersonal consequences: A meta-analysis</w:t>
            </w:r>
          </w:p>
        </w:tc>
        <w:tc>
          <w:tcPr>
            <w:tcW w:w="3192" w:type="dxa"/>
          </w:tcPr>
          <w:p w:rsidR="000C407B" w:rsidRPr="00075BCA" w:rsidRDefault="00075BCA" w:rsidP="00075BCA">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sz w:val="28"/>
                <w:szCs w:val="28"/>
              </w:rPr>
              <w:t xml:space="preserve">Ambady, N., &amp; Rosenthal, R. (1992). </w:t>
            </w:r>
          </w:p>
        </w:tc>
        <w:tc>
          <w:tcPr>
            <w:tcW w:w="3192" w:type="dxa"/>
          </w:tcPr>
          <w:p w:rsidR="000C407B" w:rsidRPr="00075BCA" w:rsidRDefault="00075BCA" w:rsidP="00E53AA4">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sz w:val="28"/>
                <w:szCs w:val="28"/>
              </w:rPr>
              <w:t>A meta-analysis was conducted on the accuracy of predictions of various objective outcomes in the areas of social and clinical psychology from short observations of expressive behavior.</w:t>
            </w:r>
          </w:p>
        </w:tc>
      </w:tr>
      <w:tr w:rsidR="000C407B" w:rsidTr="000C407B">
        <w:trPr>
          <w:trHeight w:val="2942"/>
        </w:trPr>
        <w:tc>
          <w:tcPr>
            <w:tcW w:w="3192" w:type="dxa"/>
          </w:tcPr>
          <w:p w:rsidR="000C407B" w:rsidRPr="00075BCA" w:rsidRDefault="00075BCA" w:rsidP="00E53AA4">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sz w:val="28"/>
                <w:szCs w:val="28"/>
              </w:rPr>
              <w:lastRenderedPageBreak/>
              <w:t>The impact of salesperson credibility-building statements on later stages of the sales encounter</w:t>
            </w:r>
          </w:p>
        </w:tc>
        <w:tc>
          <w:tcPr>
            <w:tcW w:w="3192" w:type="dxa"/>
          </w:tcPr>
          <w:p w:rsidR="000C407B" w:rsidRPr="00075BCA" w:rsidRDefault="00075BCA" w:rsidP="00075BCA">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sz w:val="28"/>
                <w:szCs w:val="28"/>
              </w:rPr>
              <w:t xml:space="preserve">Arndt, A., Evans, K., Landry, T. D., Mady, S., &amp; Pongpatipat, C. (2014). </w:t>
            </w:r>
          </w:p>
        </w:tc>
        <w:tc>
          <w:tcPr>
            <w:tcW w:w="3192" w:type="dxa"/>
          </w:tcPr>
          <w:p w:rsidR="000C407B" w:rsidRPr="00075BCA" w:rsidRDefault="00075BCA" w:rsidP="00E53AA4">
            <w:pPr>
              <w:tabs>
                <w:tab w:val="left" w:pos="720"/>
              </w:tabs>
              <w:spacing w:after="100" w:line="360" w:lineRule="auto"/>
              <w:jc w:val="both"/>
              <w:rPr>
                <w:rFonts w:ascii="Times New Roman" w:hAnsi="Times New Roman" w:cs="Times New Roman"/>
                <w:sz w:val="28"/>
                <w:szCs w:val="28"/>
              </w:rPr>
            </w:pPr>
            <w:r w:rsidRPr="00075BCA">
              <w:rPr>
                <w:rFonts w:ascii="Times New Roman" w:hAnsi="Times New Roman" w:cs="Times New Roman"/>
                <w:color w:val="333333"/>
                <w:sz w:val="28"/>
                <w:szCs w:val="28"/>
                <w:shd w:val="clear" w:color="auto" w:fill="FFFFFF"/>
              </w:rPr>
              <w:t>Empirical results show that customers are more likely to react positively to credibility-building statements that match their buying style expectations.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E7C67" w:rsidRDefault="004E7C6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E7C67" w:rsidRDefault="004E7C67" w:rsidP="004E7C67">
      <w:pPr>
        <w:spacing w:after="0" w:line="360" w:lineRule="auto"/>
        <w:jc w:val="both"/>
        <w:rPr>
          <w:b/>
          <w:sz w:val="28"/>
          <w:szCs w:val="28"/>
        </w:rPr>
      </w:pPr>
    </w:p>
    <w:p w:rsidR="00D81E16" w:rsidRPr="004E7C67" w:rsidRDefault="00D81E16" w:rsidP="004E7C67">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4E7C67"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4E7C67">
      <w:pPr>
        <w:pStyle w:val="ListParagraph"/>
        <w:numPr>
          <w:ilvl w:val="1"/>
          <w:numId w:val="48"/>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004E7C67">
        <w:rPr>
          <w:b/>
          <w:sz w:val="28"/>
          <w:szCs w:val="28"/>
        </w:rPr>
        <w:t>3</w:t>
      </w:r>
      <w:r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E7C67"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E7C67"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4E7C67">
        <w:rPr>
          <w:rFonts w:ascii="Times New Roman" w:hAnsi="Times New Roman" w:cs="Times New Roman"/>
          <w:b/>
          <w:sz w:val="40"/>
          <w:szCs w:val="40"/>
        </w:rPr>
        <w:t>CHAPTER 4</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223C3" w:rsidRPr="00D223C3" w:rsidRDefault="00D223C3" w:rsidP="00D223C3">
      <w:pPr>
        <w:pStyle w:val="BodyText"/>
        <w:rPr>
          <w:bCs/>
          <w:iCs/>
          <w:sz w:val="32"/>
          <w:szCs w:val="32"/>
          <w:lang w:val="en-IN"/>
        </w:rPr>
      </w:pPr>
      <w:r w:rsidRPr="00D223C3">
        <w:rPr>
          <w:bCs/>
          <w:iCs/>
          <w:sz w:val="32"/>
          <w:szCs w:val="32"/>
          <w:lang w:val="en-IN"/>
        </w:rPr>
        <w:t xml:space="preserve">    In this paper, We define a real-world task of context-aware query tracking for the E-commerce conversational search system, and propose a novel attention based neural network model on machine comprehension perspective. For evaluation, we develop a Chinese E-commerce conversational search dataset for query tracking from online search engine query logs. And experiments suggest that our proposed model outperforms several baseline methods showing the potential of machine comprehension like model for this task and the efficiency of attention based model.</w:t>
      </w:r>
      <w:r w:rsidRPr="00D223C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D223C3" w:rsidRDefault="00D223C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4E7C67">
        <w:rPr>
          <w:b/>
          <w:iCs/>
          <w:sz w:val="40"/>
          <w:szCs w:val="40"/>
        </w:rPr>
        <w:t>CHAPTER-5</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223C3" w:rsidRDefault="0015475D" w:rsidP="00D223C3">
      <w:pPr>
        <w:pStyle w:val="BodyText"/>
        <w:numPr>
          <w:ilvl w:val="0"/>
          <w:numId w:val="42"/>
        </w:numPr>
        <w:rPr>
          <w:sz w:val="32"/>
          <w:szCs w:val="32"/>
          <w:lang w:val="en-IN"/>
        </w:rPr>
      </w:pPr>
      <w:r w:rsidRPr="00D223C3">
        <w:rPr>
          <w:sz w:val="32"/>
          <w:szCs w:val="32"/>
          <w:lang w:val="en-IN"/>
        </w:rPr>
        <w:t>Ambady, N., &amp; Rosenthal, R. (1992). Thin slices of expressive behavior as predictors of interperso</w:t>
      </w:r>
      <w:r w:rsidRPr="00D223C3">
        <w:rPr>
          <w:sz w:val="32"/>
          <w:szCs w:val="32"/>
          <w:lang w:val="en-IN"/>
        </w:rPr>
        <w:t xml:space="preserve">nal consequences: A meta-analysis. Psychological Bulletin, 111(2), 256–274 </w:t>
      </w:r>
    </w:p>
    <w:p w:rsidR="00000000" w:rsidRPr="00D223C3" w:rsidRDefault="0015475D" w:rsidP="00D223C3">
      <w:pPr>
        <w:pStyle w:val="BodyText"/>
        <w:numPr>
          <w:ilvl w:val="0"/>
          <w:numId w:val="42"/>
        </w:numPr>
        <w:rPr>
          <w:sz w:val="32"/>
          <w:szCs w:val="32"/>
          <w:lang w:val="en-IN"/>
        </w:rPr>
      </w:pPr>
      <w:r w:rsidRPr="00D223C3">
        <w:rPr>
          <w:sz w:val="32"/>
          <w:szCs w:val="32"/>
          <w:lang w:val="en-IN"/>
        </w:rPr>
        <w:t xml:space="preserve">Arndt, A., Evans, K., Landry, T. D., Mady, S., &amp; Pongpatipat, C. (2014). The impact of salesperson credibility-building statements on later stages of the sales encounter. Journal </w:t>
      </w:r>
      <w:r w:rsidRPr="00D223C3">
        <w:rPr>
          <w:sz w:val="32"/>
          <w:szCs w:val="32"/>
          <w:lang w:val="en-IN"/>
        </w:rPr>
        <w:t xml:space="preserve">of Personal Selling &amp; Sales Management, 34(1), 19-32. </w:t>
      </w:r>
    </w:p>
    <w:p w:rsidR="00000000" w:rsidRPr="00D223C3" w:rsidRDefault="0015475D" w:rsidP="00D223C3">
      <w:pPr>
        <w:pStyle w:val="BodyText"/>
        <w:numPr>
          <w:ilvl w:val="0"/>
          <w:numId w:val="42"/>
        </w:numPr>
        <w:rPr>
          <w:sz w:val="32"/>
          <w:szCs w:val="32"/>
          <w:lang w:val="en-IN"/>
        </w:rPr>
      </w:pPr>
      <w:r w:rsidRPr="00D223C3">
        <w:rPr>
          <w:sz w:val="32"/>
          <w:szCs w:val="32"/>
          <w:lang w:val="en-IN"/>
        </w:rPr>
        <w:t>Banin, A. Y., Boso, N., Hultman, M., Souchen, A. L., Hughes, P., &amp; Nemkova, E. (2016). Salesperson improvisation: Antecedants, performance outcomes, and boundary conditions. Industrial Marketing Manag</w:t>
      </w:r>
      <w:r w:rsidRPr="00D223C3">
        <w:rPr>
          <w:sz w:val="32"/>
          <w:szCs w:val="32"/>
          <w:lang w:val="en-IN"/>
        </w:rPr>
        <w:t xml:space="preserve">ement, 59, 120-130. </w:t>
      </w:r>
    </w:p>
    <w:p w:rsidR="00000000" w:rsidRPr="00D223C3" w:rsidRDefault="0015475D" w:rsidP="00D223C3">
      <w:pPr>
        <w:pStyle w:val="BodyText"/>
        <w:numPr>
          <w:ilvl w:val="0"/>
          <w:numId w:val="42"/>
        </w:numPr>
        <w:rPr>
          <w:sz w:val="32"/>
          <w:szCs w:val="32"/>
          <w:lang w:val="en-IN"/>
        </w:rPr>
      </w:pPr>
      <w:r w:rsidRPr="00D223C3">
        <w:rPr>
          <w:sz w:val="32"/>
          <w:szCs w:val="32"/>
          <w:lang w:val="en-IN"/>
        </w:rPr>
        <w:t>Barrick, M. R., &amp; Mount, M. K. (1991). The big five personality dimensions and job performance: A meta</w:t>
      </w:r>
      <w:r w:rsidRPr="00D223C3">
        <w:rPr>
          <w:rFonts w:ascii="Cambria Math" w:hAnsi="Cambria Math" w:cs="Cambria Math"/>
          <w:sz w:val="32"/>
          <w:szCs w:val="32"/>
          <w:lang w:val="en-IN"/>
        </w:rPr>
        <w:t>‐</w:t>
      </w:r>
      <w:r w:rsidRPr="00D223C3">
        <w:rPr>
          <w:sz w:val="32"/>
          <w:szCs w:val="32"/>
          <w:lang w:val="en-IN"/>
        </w:rPr>
        <w:t xml:space="preserve">analysis. Personnel Psychology, 44(1), 1-26. </w:t>
      </w:r>
    </w:p>
    <w:p w:rsidR="00000000" w:rsidRPr="00D223C3" w:rsidRDefault="0015475D" w:rsidP="00D223C3">
      <w:pPr>
        <w:pStyle w:val="BodyText"/>
        <w:numPr>
          <w:ilvl w:val="0"/>
          <w:numId w:val="42"/>
        </w:numPr>
        <w:rPr>
          <w:sz w:val="32"/>
          <w:szCs w:val="32"/>
          <w:lang w:val="en-IN"/>
        </w:rPr>
      </w:pPr>
      <w:r w:rsidRPr="00D223C3">
        <w:rPr>
          <w:sz w:val="32"/>
          <w:szCs w:val="32"/>
          <w:lang w:val="en-IN"/>
        </w:rPr>
        <w:t>Campbell, K. S., &amp; Davis, L. (2006). The sociolinguistic basis of managing rapport w</w:t>
      </w:r>
      <w:r w:rsidRPr="00D223C3">
        <w:rPr>
          <w:sz w:val="32"/>
          <w:szCs w:val="32"/>
          <w:lang w:val="en-IN"/>
        </w:rPr>
        <w:t>hen overcoming buying objections. Journal of Business Communication, 43(1), 43-66.</w:t>
      </w:r>
      <w:r w:rsidRPr="00D223C3">
        <w:rPr>
          <w:sz w:val="32"/>
          <w:szCs w:val="32"/>
        </w:rPr>
        <w:t xml:space="preserve"> </w:t>
      </w:r>
    </w:p>
    <w:p w:rsidR="00000000" w:rsidRPr="00D223C3" w:rsidRDefault="0015475D" w:rsidP="00D223C3">
      <w:pPr>
        <w:pStyle w:val="BodyText"/>
        <w:numPr>
          <w:ilvl w:val="0"/>
          <w:numId w:val="42"/>
        </w:numPr>
        <w:rPr>
          <w:sz w:val="32"/>
          <w:szCs w:val="32"/>
          <w:lang w:val="en-IN"/>
        </w:rPr>
      </w:pPr>
      <w:r w:rsidRPr="00D223C3">
        <w:rPr>
          <w:sz w:val="32"/>
          <w:szCs w:val="32"/>
          <w:lang w:val="en-IN"/>
        </w:rPr>
        <w:t xml:space="preserve">Clopton, S. W., Stoddard, J. E., &amp; Clay, J. W. (2001). Salesperson characteristics affecting consumer complaint responses. Journal of Consumer Behaviour, 1(2), 124-139. </w:t>
      </w:r>
    </w:p>
    <w:p w:rsidR="00000000" w:rsidRPr="00D223C3" w:rsidRDefault="0015475D" w:rsidP="00D223C3">
      <w:pPr>
        <w:pStyle w:val="BodyText"/>
        <w:numPr>
          <w:ilvl w:val="0"/>
          <w:numId w:val="42"/>
        </w:numPr>
        <w:rPr>
          <w:sz w:val="32"/>
          <w:szCs w:val="32"/>
          <w:lang w:val="en-IN"/>
        </w:rPr>
      </w:pPr>
      <w:r w:rsidRPr="00D223C3">
        <w:rPr>
          <w:sz w:val="32"/>
          <w:szCs w:val="32"/>
          <w:lang w:val="en-IN"/>
        </w:rPr>
        <w:lastRenderedPageBreak/>
        <w:t>Comer, L. B., &amp; Drollinger, T. (1999). Active empathetic listening and selling success: A conceptual framework. Journal of Personal Selling &amp; Sales Management, 19(1), 15-29.</w:t>
      </w:r>
    </w:p>
    <w:p w:rsidR="00000000" w:rsidRPr="00D223C3" w:rsidRDefault="0015475D" w:rsidP="00D223C3">
      <w:pPr>
        <w:pStyle w:val="BodyText"/>
        <w:numPr>
          <w:ilvl w:val="0"/>
          <w:numId w:val="42"/>
        </w:numPr>
        <w:rPr>
          <w:sz w:val="32"/>
          <w:szCs w:val="32"/>
          <w:lang w:val="en-IN"/>
        </w:rPr>
      </w:pPr>
      <w:r w:rsidRPr="00D223C3">
        <w:rPr>
          <w:sz w:val="32"/>
          <w:szCs w:val="32"/>
          <w:lang w:val="en-IN"/>
        </w:rPr>
        <w:t>Daly, J. A., &amp; Redlich, M. H. (2016). Handling question and objection affects aud</w:t>
      </w:r>
      <w:r w:rsidRPr="00D223C3">
        <w:rPr>
          <w:sz w:val="32"/>
          <w:szCs w:val="32"/>
          <w:lang w:val="en-IN"/>
        </w:rPr>
        <w:t xml:space="preserve">ience judgements of speakers. Communication Education, 65(2), 164-181. </w:t>
      </w:r>
    </w:p>
    <w:p w:rsidR="00000000" w:rsidRPr="00D223C3" w:rsidRDefault="0015475D" w:rsidP="00D223C3">
      <w:pPr>
        <w:pStyle w:val="BodyText"/>
        <w:numPr>
          <w:ilvl w:val="0"/>
          <w:numId w:val="42"/>
        </w:numPr>
        <w:rPr>
          <w:sz w:val="32"/>
          <w:szCs w:val="32"/>
          <w:lang w:val="en-IN"/>
        </w:rPr>
      </w:pPr>
      <w:r w:rsidRPr="00D223C3">
        <w:rPr>
          <w:sz w:val="32"/>
          <w:szCs w:val="32"/>
          <w:lang w:val="en-IN"/>
        </w:rPr>
        <w:t>Deelstra, J. T., Peeters, M. J. W., &amp; Zijlstra, F. R. H. (2003). Receiving instrumental support at work. Journal of Applied Psychology, 88(2), 324-331.</w:t>
      </w:r>
    </w:p>
    <w:p w:rsidR="00000000" w:rsidRPr="00D223C3" w:rsidRDefault="0015475D" w:rsidP="00D223C3">
      <w:pPr>
        <w:pStyle w:val="BodyText"/>
        <w:numPr>
          <w:ilvl w:val="0"/>
          <w:numId w:val="42"/>
        </w:numPr>
        <w:rPr>
          <w:sz w:val="32"/>
          <w:szCs w:val="32"/>
          <w:lang w:val="en-IN"/>
        </w:rPr>
      </w:pPr>
      <w:r w:rsidRPr="00D223C3">
        <w:rPr>
          <w:sz w:val="32"/>
          <w:szCs w:val="32"/>
          <w:lang w:val="en-IN"/>
        </w:rPr>
        <w:t>Goetz, J. L., Keltner, D., &amp; S</w:t>
      </w:r>
      <w:r w:rsidRPr="00D223C3">
        <w:rPr>
          <w:sz w:val="32"/>
          <w:szCs w:val="32"/>
          <w:lang w:val="en-IN"/>
        </w:rPr>
        <w:t xml:space="preserve">imon-Thomas, E. (2010). Compassion: An evolutionary analysis and empirical review. Psychological Bulletin, 136(3), 351-374. </w:t>
      </w:r>
    </w:p>
    <w:p w:rsidR="00F94960" w:rsidRDefault="00F94960" w:rsidP="00E53AA4">
      <w:pPr>
        <w:pStyle w:val="BodyText"/>
        <w:rPr>
          <w:sz w:val="32"/>
          <w:szCs w:val="32"/>
        </w:rPr>
      </w:pPr>
    </w:p>
    <w:sectPr w:rsidR="00F9496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75D" w:rsidRDefault="0015475D" w:rsidP="003654DF">
      <w:pPr>
        <w:spacing w:after="0" w:line="240" w:lineRule="auto"/>
      </w:pPr>
      <w:r>
        <w:separator/>
      </w:r>
    </w:p>
  </w:endnote>
  <w:endnote w:type="continuationSeparator" w:id="1">
    <w:p w:rsidR="0015475D" w:rsidRDefault="001547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75D" w:rsidRDefault="0015475D" w:rsidP="003654DF">
      <w:pPr>
        <w:spacing w:after="0" w:line="240" w:lineRule="auto"/>
      </w:pPr>
      <w:r>
        <w:separator/>
      </w:r>
    </w:p>
  </w:footnote>
  <w:footnote w:type="continuationSeparator" w:id="1">
    <w:p w:rsidR="0015475D" w:rsidRDefault="001547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2475">
        <w:pPr>
          <w:pStyle w:val="Header"/>
          <w:jc w:val="right"/>
        </w:pPr>
        <w:fldSimple w:instr=" PAGE   \* MERGEFORMAT ">
          <w:r w:rsidR="004E7C6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47E9"/>
    <w:multiLevelType w:val="hybridMultilevel"/>
    <w:tmpl w:val="D50E30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204D5F"/>
    <w:multiLevelType w:val="hybridMultilevel"/>
    <w:tmpl w:val="FB941362"/>
    <w:lvl w:ilvl="0" w:tplc="E1A40E66">
      <w:start w:val="1"/>
      <w:numFmt w:val="bullet"/>
      <w:lvlText w:val=""/>
      <w:lvlJc w:val="left"/>
      <w:pPr>
        <w:tabs>
          <w:tab w:val="num" w:pos="720"/>
        </w:tabs>
        <w:ind w:left="720" w:hanging="360"/>
      </w:pPr>
      <w:rPr>
        <w:rFonts w:ascii="Wingdings 2" w:hAnsi="Wingdings 2" w:hint="default"/>
      </w:rPr>
    </w:lvl>
    <w:lvl w:ilvl="1" w:tplc="C66EE43C" w:tentative="1">
      <w:start w:val="1"/>
      <w:numFmt w:val="bullet"/>
      <w:lvlText w:val=""/>
      <w:lvlJc w:val="left"/>
      <w:pPr>
        <w:tabs>
          <w:tab w:val="num" w:pos="1440"/>
        </w:tabs>
        <w:ind w:left="1440" w:hanging="360"/>
      </w:pPr>
      <w:rPr>
        <w:rFonts w:ascii="Wingdings 2" w:hAnsi="Wingdings 2" w:hint="default"/>
      </w:rPr>
    </w:lvl>
    <w:lvl w:ilvl="2" w:tplc="8C5E5FB2" w:tentative="1">
      <w:start w:val="1"/>
      <w:numFmt w:val="bullet"/>
      <w:lvlText w:val=""/>
      <w:lvlJc w:val="left"/>
      <w:pPr>
        <w:tabs>
          <w:tab w:val="num" w:pos="2160"/>
        </w:tabs>
        <w:ind w:left="2160" w:hanging="360"/>
      </w:pPr>
      <w:rPr>
        <w:rFonts w:ascii="Wingdings 2" w:hAnsi="Wingdings 2" w:hint="default"/>
      </w:rPr>
    </w:lvl>
    <w:lvl w:ilvl="3" w:tplc="96CED5BE" w:tentative="1">
      <w:start w:val="1"/>
      <w:numFmt w:val="bullet"/>
      <w:lvlText w:val=""/>
      <w:lvlJc w:val="left"/>
      <w:pPr>
        <w:tabs>
          <w:tab w:val="num" w:pos="2880"/>
        </w:tabs>
        <w:ind w:left="2880" w:hanging="360"/>
      </w:pPr>
      <w:rPr>
        <w:rFonts w:ascii="Wingdings 2" w:hAnsi="Wingdings 2" w:hint="default"/>
      </w:rPr>
    </w:lvl>
    <w:lvl w:ilvl="4" w:tplc="7C7ABF4E" w:tentative="1">
      <w:start w:val="1"/>
      <w:numFmt w:val="bullet"/>
      <w:lvlText w:val=""/>
      <w:lvlJc w:val="left"/>
      <w:pPr>
        <w:tabs>
          <w:tab w:val="num" w:pos="3600"/>
        </w:tabs>
        <w:ind w:left="3600" w:hanging="360"/>
      </w:pPr>
      <w:rPr>
        <w:rFonts w:ascii="Wingdings 2" w:hAnsi="Wingdings 2" w:hint="default"/>
      </w:rPr>
    </w:lvl>
    <w:lvl w:ilvl="5" w:tplc="CD5CE29A" w:tentative="1">
      <w:start w:val="1"/>
      <w:numFmt w:val="bullet"/>
      <w:lvlText w:val=""/>
      <w:lvlJc w:val="left"/>
      <w:pPr>
        <w:tabs>
          <w:tab w:val="num" w:pos="4320"/>
        </w:tabs>
        <w:ind w:left="4320" w:hanging="360"/>
      </w:pPr>
      <w:rPr>
        <w:rFonts w:ascii="Wingdings 2" w:hAnsi="Wingdings 2" w:hint="default"/>
      </w:rPr>
    </w:lvl>
    <w:lvl w:ilvl="6" w:tplc="E60AD382" w:tentative="1">
      <w:start w:val="1"/>
      <w:numFmt w:val="bullet"/>
      <w:lvlText w:val=""/>
      <w:lvlJc w:val="left"/>
      <w:pPr>
        <w:tabs>
          <w:tab w:val="num" w:pos="5040"/>
        </w:tabs>
        <w:ind w:left="5040" w:hanging="360"/>
      </w:pPr>
      <w:rPr>
        <w:rFonts w:ascii="Wingdings 2" w:hAnsi="Wingdings 2" w:hint="default"/>
      </w:rPr>
    </w:lvl>
    <w:lvl w:ilvl="7" w:tplc="9EB631DA" w:tentative="1">
      <w:start w:val="1"/>
      <w:numFmt w:val="bullet"/>
      <w:lvlText w:val=""/>
      <w:lvlJc w:val="left"/>
      <w:pPr>
        <w:tabs>
          <w:tab w:val="num" w:pos="5760"/>
        </w:tabs>
        <w:ind w:left="5760" w:hanging="360"/>
      </w:pPr>
      <w:rPr>
        <w:rFonts w:ascii="Wingdings 2" w:hAnsi="Wingdings 2" w:hint="default"/>
      </w:rPr>
    </w:lvl>
    <w:lvl w:ilvl="8" w:tplc="C794298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D40957"/>
    <w:multiLevelType w:val="hybridMultilevel"/>
    <w:tmpl w:val="F35C9928"/>
    <w:lvl w:ilvl="0" w:tplc="275099E4">
      <w:start w:val="1"/>
      <w:numFmt w:val="bullet"/>
      <w:lvlText w:val=""/>
      <w:lvlJc w:val="left"/>
      <w:pPr>
        <w:tabs>
          <w:tab w:val="num" w:pos="720"/>
        </w:tabs>
        <w:ind w:left="720" w:hanging="360"/>
      </w:pPr>
      <w:rPr>
        <w:rFonts w:ascii="Wingdings 2" w:hAnsi="Wingdings 2" w:hint="default"/>
      </w:rPr>
    </w:lvl>
    <w:lvl w:ilvl="1" w:tplc="37DC50F4" w:tentative="1">
      <w:start w:val="1"/>
      <w:numFmt w:val="bullet"/>
      <w:lvlText w:val=""/>
      <w:lvlJc w:val="left"/>
      <w:pPr>
        <w:tabs>
          <w:tab w:val="num" w:pos="1440"/>
        </w:tabs>
        <w:ind w:left="1440" w:hanging="360"/>
      </w:pPr>
      <w:rPr>
        <w:rFonts w:ascii="Wingdings 2" w:hAnsi="Wingdings 2" w:hint="default"/>
      </w:rPr>
    </w:lvl>
    <w:lvl w:ilvl="2" w:tplc="135AEB4A" w:tentative="1">
      <w:start w:val="1"/>
      <w:numFmt w:val="bullet"/>
      <w:lvlText w:val=""/>
      <w:lvlJc w:val="left"/>
      <w:pPr>
        <w:tabs>
          <w:tab w:val="num" w:pos="2160"/>
        </w:tabs>
        <w:ind w:left="2160" w:hanging="360"/>
      </w:pPr>
      <w:rPr>
        <w:rFonts w:ascii="Wingdings 2" w:hAnsi="Wingdings 2" w:hint="default"/>
      </w:rPr>
    </w:lvl>
    <w:lvl w:ilvl="3" w:tplc="F94EB2FE" w:tentative="1">
      <w:start w:val="1"/>
      <w:numFmt w:val="bullet"/>
      <w:lvlText w:val=""/>
      <w:lvlJc w:val="left"/>
      <w:pPr>
        <w:tabs>
          <w:tab w:val="num" w:pos="2880"/>
        </w:tabs>
        <w:ind w:left="2880" w:hanging="360"/>
      </w:pPr>
      <w:rPr>
        <w:rFonts w:ascii="Wingdings 2" w:hAnsi="Wingdings 2" w:hint="default"/>
      </w:rPr>
    </w:lvl>
    <w:lvl w:ilvl="4" w:tplc="2772BB28" w:tentative="1">
      <w:start w:val="1"/>
      <w:numFmt w:val="bullet"/>
      <w:lvlText w:val=""/>
      <w:lvlJc w:val="left"/>
      <w:pPr>
        <w:tabs>
          <w:tab w:val="num" w:pos="3600"/>
        </w:tabs>
        <w:ind w:left="3600" w:hanging="360"/>
      </w:pPr>
      <w:rPr>
        <w:rFonts w:ascii="Wingdings 2" w:hAnsi="Wingdings 2" w:hint="default"/>
      </w:rPr>
    </w:lvl>
    <w:lvl w:ilvl="5" w:tplc="5F4C46F6" w:tentative="1">
      <w:start w:val="1"/>
      <w:numFmt w:val="bullet"/>
      <w:lvlText w:val=""/>
      <w:lvlJc w:val="left"/>
      <w:pPr>
        <w:tabs>
          <w:tab w:val="num" w:pos="4320"/>
        </w:tabs>
        <w:ind w:left="4320" w:hanging="360"/>
      </w:pPr>
      <w:rPr>
        <w:rFonts w:ascii="Wingdings 2" w:hAnsi="Wingdings 2" w:hint="default"/>
      </w:rPr>
    </w:lvl>
    <w:lvl w:ilvl="6" w:tplc="E04C4070" w:tentative="1">
      <w:start w:val="1"/>
      <w:numFmt w:val="bullet"/>
      <w:lvlText w:val=""/>
      <w:lvlJc w:val="left"/>
      <w:pPr>
        <w:tabs>
          <w:tab w:val="num" w:pos="5040"/>
        </w:tabs>
        <w:ind w:left="5040" w:hanging="360"/>
      </w:pPr>
      <w:rPr>
        <w:rFonts w:ascii="Wingdings 2" w:hAnsi="Wingdings 2" w:hint="default"/>
      </w:rPr>
    </w:lvl>
    <w:lvl w:ilvl="7" w:tplc="6FF0A28C" w:tentative="1">
      <w:start w:val="1"/>
      <w:numFmt w:val="bullet"/>
      <w:lvlText w:val=""/>
      <w:lvlJc w:val="left"/>
      <w:pPr>
        <w:tabs>
          <w:tab w:val="num" w:pos="5760"/>
        </w:tabs>
        <w:ind w:left="5760" w:hanging="360"/>
      </w:pPr>
      <w:rPr>
        <w:rFonts w:ascii="Wingdings 2" w:hAnsi="Wingdings 2" w:hint="default"/>
      </w:rPr>
    </w:lvl>
    <w:lvl w:ilvl="8" w:tplc="5FC6CBDC" w:tentative="1">
      <w:start w:val="1"/>
      <w:numFmt w:val="bullet"/>
      <w:lvlText w:val=""/>
      <w:lvlJc w:val="left"/>
      <w:pPr>
        <w:tabs>
          <w:tab w:val="num" w:pos="6480"/>
        </w:tabs>
        <w:ind w:left="6480" w:hanging="360"/>
      </w:pPr>
      <w:rPr>
        <w:rFonts w:ascii="Wingdings 2" w:hAnsi="Wingdings 2" w:hint="default"/>
      </w:rPr>
    </w:lvl>
  </w:abstractNum>
  <w:abstractNum w:abstractNumId="32">
    <w:nsid w:val="526358AD"/>
    <w:multiLevelType w:val="hybridMultilevel"/>
    <w:tmpl w:val="5874E762"/>
    <w:lvl w:ilvl="0" w:tplc="51CA1EBE">
      <w:start w:val="1"/>
      <w:numFmt w:val="bullet"/>
      <w:lvlText w:val=""/>
      <w:lvlJc w:val="left"/>
      <w:pPr>
        <w:tabs>
          <w:tab w:val="num" w:pos="720"/>
        </w:tabs>
        <w:ind w:left="720" w:hanging="360"/>
      </w:pPr>
      <w:rPr>
        <w:rFonts w:ascii="Wingdings 2" w:hAnsi="Wingdings 2" w:hint="default"/>
      </w:rPr>
    </w:lvl>
    <w:lvl w:ilvl="1" w:tplc="A060F80C" w:tentative="1">
      <w:start w:val="1"/>
      <w:numFmt w:val="bullet"/>
      <w:lvlText w:val=""/>
      <w:lvlJc w:val="left"/>
      <w:pPr>
        <w:tabs>
          <w:tab w:val="num" w:pos="1440"/>
        </w:tabs>
        <w:ind w:left="1440" w:hanging="360"/>
      </w:pPr>
      <w:rPr>
        <w:rFonts w:ascii="Wingdings 2" w:hAnsi="Wingdings 2" w:hint="default"/>
      </w:rPr>
    </w:lvl>
    <w:lvl w:ilvl="2" w:tplc="AB1E5276" w:tentative="1">
      <w:start w:val="1"/>
      <w:numFmt w:val="bullet"/>
      <w:lvlText w:val=""/>
      <w:lvlJc w:val="left"/>
      <w:pPr>
        <w:tabs>
          <w:tab w:val="num" w:pos="2160"/>
        </w:tabs>
        <w:ind w:left="2160" w:hanging="360"/>
      </w:pPr>
      <w:rPr>
        <w:rFonts w:ascii="Wingdings 2" w:hAnsi="Wingdings 2" w:hint="default"/>
      </w:rPr>
    </w:lvl>
    <w:lvl w:ilvl="3" w:tplc="04688CF4" w:tentative="1">
      <w:start w:val="1"/>
      <w:numFmt w:val="bullet"/>
      <w:lvlText w:val=""/>
      <w:lvlJc w:val="left"/>
      <w:pPr>
        <w:tabs>
          <w:tab w:val="num" w:pos="2880"/>
        </w:tabs>
        <w:ind w:left="2880" w:hanging="360"/>
      </w:pPr>
      <w:rPr>
        <w:rFonts w:ascii="Wingdings 2" w:hAnsi="Wingdings 2" w:hint="default"/>
      </w:rPr>
    </w:lvl>
    <w:lvl w:ilvl="4" w:tplc="F0EE8FEA" w:tentative="1">
      <w:start w:val="1"/>
      <w:numFmt w:val="bullet"/>
      <w:lvlText w:val=""/>
      <w:lvlJc w:val="left"/>
      <w:pPr>
        <w:tabs>
          <w:tab w:val="num" w:pos="3600"/>
        </w:tabs>
        <w:ind w:left="3600" w:hanging="360"/>
      </w:pPr>
      <w:rPr>
        <w:rFonts w:ascii="Wingdings 2" w:hAnsi="Wingdings 2" w:hint="default"/>
      </w:rPr>
    </w:lvl>
    <w:lvl w:ilvl="5" w:tplc="A97A1F88" w:tentative="1">
      <w:start w:val="1"/>
      <w:numFmt w:val="bullet"/>
      <w:lvlText w:val=""/>
      <w:lvlJc w:val="left"/>
      <w:pPr>
        <w:tabs>
          <w:tab w:val="num" w:pos="4320"/>
        </w:tabs>
        <w:ind w:left="4320" w:hanging="360"/>
      </w:pPr>
      <w:rPr>
        <w:rFonts w:ascii="Wingdings 2" w:hAnsi="Wingdings 2" w:hint="default"/>
      </w:rPr>
    </w:lvl>
    <w:lvl w:ilvl="6" w:tplc="E9A60EF8" w:tentative="1">
      <w:start w:val="1"/>
      <w:numFmt w:val="bullet"/>
      <w:lvlText w:val=""/>
      <w:lvlJc w:val="left"/>
      <w:pPr>
        <w:tabs>
          <w:tab w:val="num" w:pos="5040"/>
        </w:tabs>
        <w:ind w:left="5040" w:hanging="360"/>
      </w:pPr>
      <w:rPr>
        <w:rFonts w:ascii="Wingdings 2" w:hAnsi="Wingdings 2" w:hint="default"/>
      </w:rPr>
    </w:lvl>
    <w:lvl w:ilvl="7" w:tplc="9CDE69A4" w:tentative="1">
      <w:start w:val="1"/>
      <w:numFmt w:val="bullet"/>
      <w:lvlText w:val=""/>
      <w:lvlJc w:val="left"/>
      <w:pPr>
        <w:tabs>
          <w:tab w:val="num" w:pos="5760"/>
        </w:tabs>
        <w:ind w:left="5760" w:hanging="360"/>
      </w:pPr>
      <w:rPr>
        <w:rFonts w:ascii="Wingdings 2" w:hAnsi="Wingdings 2" w:hint="default"/>
      </w:rPr>
    </w:lvl>
    <w:lvl w:ilvl="8" w:tplc="361EABE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416667"/>
    <w:multiLevelType w:val="multilevel"/>
    <w:tmpl w:val="9EE42B3A"/>
    <w:lvl w:ilvl="0">
      <w:start w:val="3"/>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74014"/>
    <w:multiLevelType w:val="hybridMultilevel"/>
    <w:tmpl w:val="EE165684"/>
    <w:lvl w:ilvl="0" w:tplc="5A4C762A">
      <w:start w:val="1"/>
      <w:numFmt w:val="bullet"/>
      <w:lvlText w:val=""/>
      <w:lvlJc w:val="left"/>
      <w:pPr>
        <w:tabs>
          <w:tab w:val="num" w:pos="720"/>
        </w:tabs>
        <w:ind w:left="720" w:hanging="360"/>
      </w:pPr>
      <w:rPr>
        <w:rFonts w:ascii="Wingdings 2" w:hAnsi="Wingdings 2" w:hint="default"/>
      </w:rPr>
    </w:lvl>
    <w:lvl w:ilvl="1" w:tplc="9F063EF4" w:tentative="1">
      <w:start w:val="1"/>
      <w:numFmt w:val="bullet"/>
      <w:lvlText w:val=""/>
      <w:lvlJc w:val="left"/>
      <w:pPr>
        <w:tabs>
          <w:tab w:val="num" w:pos="1440"/>
        </w:tabs>
        <w:ind w:left="1440" w:hanging="360"/>
      </w:pPr>
      <w:rPr>
        <w:rFonts w:ascii="Wingdings 2" w:hAnsi="Wingdings 2" w:hint="default"/>
      </w:rPr>
    </w:lvl>
    <w:lvl w:ilvl="2" w:tplc="78D62948" w:tentative="1">
      <w:start w:val="1"/>
      <w:numFmt w:val="bullet"/>
      <w:lvlText w:val=""/>
      <w:lvlJc w:val="left"/>
      <w:pPr>
        <w:tabs>
          <w:tab w:val="num" w:pos="2160"/>
        </w:tabs>
        <w:ind w:left="2160" w:hanging="360"/>
      </w:pPr>
      <w:rPr>
        <w:rFonts w:ascii="Wingdings 2" w:hAnsi="Wingdings 2" w:hint="default"/>
      </w:rPr>
    </w:lvl>
    <w:lvl w:ilvl="3" w:tplc="0744FAC2" w:tentative="1">
      <w:start w:val="1"/>
      <w:numFmt w:val="bullet"/>
      <w:lvlText w:val=""/>
      <w:lvlJc w:val="left"/>
      <w:pPr>
        <w:tabs>
          <w:tab w:val="num" w:pos="2880"/>
        </w:tabs>
        <w:ind w:left="2880" w:hanging="360"/>
      </w:pPr>
      <w:rPr>
        <w:rFonts w:ascii="Wingdings 2" w:hAnsi="Wingdings 2" w:hint="default"/>
      </w:rPr>
    </w:lvl>
    <w:lvl w:ilvl="4" w:tplc="ACA0E2D4" w:tentative="1">
      <w:start w:val="1"/>
      <w:numFmt w:val="bullet"/>
      <w:lvlText w:val=""/>
      <w:lvlJc w:val="left"/>
      <w:pPr>
        <w:tabs>
          <w:tab w:val="num" w:pos="3600"/>
        </w:tabs>
        <w:ind w:left="3600" w:hanging="360"/>
      </w:pPr>
      <w:rPr>
        <w:rFonts w:ascii="Wingdings 2" w:hAnsi="Wingdings 2" w:hint="default"/>
      </w:rPr>
    </w:lvl>
    <w:lvl w:ilvl="5" w:tplc="6BAE5CCE" w:tentative="1">
      <w:start w:val="1"/>
      <w:numFmt w:val="bullet"/>
      <w:lvlText w:val=""/>
      <w:lvlJc w:val="left"/>
      <w:pPr>
        <w:tabs>
          <w:tab w:val="num" w:pos="4320"/>
        </w:tabs>
        <w:ind w:left="4320" w:hanging="360"/>
      </w:pPr>
      <w:rPr>
        <w:rFonts w:ascii="Wingdings 2" w:hAnsi="Wingdings 2" w:hint="default"/>
      </w:rPr>
    </w:lvl>
    <w:lvl w:ilvl="6" w:tplc="CFE896C6" w:tentative="1">
      <w:start w:val="1"/>
      <w:numFmt w:val="bullet"/>
      <w:lvlText w:val=""/>
      <w:lvlJc w:val="left"/>
      <w:pPr>
        <w:tabs>
          <w:tab w:val="num" w:pos="5040"/>
        </w:tabs>
        <w:ind w:left="5040" w:hanging="360"/>
      </w:pPr>
      <w:rPr>
        <w:rFonts w:ascii="Wingdings 2" w:hAnsi="Wingdings 2" w:hint="default"/>
      </w:rPr>
    </w:lvl>
    <w:lvl w:ilvl="7" w:tplc="AD3A2F5E" w:tentative="1">
      <w:start w:val="1"/>
      <w:numFmt w:val="bullet"/>
      <w:lvlText w:val=""/>
      <w:lvlJc w:val="left"/>
      <w:pPr>
        <w:tabs>
          <w:tab w:val="num" w:pos="5760"/>
        </w:tabs>
        <w:ind w:left="5760" w:hanging="360"/>
      </w:pPr>
      <w:rPr>
        <w:rFonts w:ascii="Wingdings 2" w:hAnsi="Wingdings 2" w:hint="default"/>
      </w:rPr>
    </w:lvl>
    <w:lvl w:ilvl="8" w:tplc="7FFC58E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6E6AE0"/>
    <w:multiLevelType w:val="hybridMultilevel"/>
    <w:tmpl w:val="DB2E08F6"/>
    <w:lvl w:ilvl="0" w:tplc="18805AFA">
      <w:start w:val="1"/>
      <w:numFmt w:val="bullet"/>
      <w:lvlText w:val=""/>
      <w:lvlJc w:val="left"/>
      <w:pPr>
        <w:tabs>
          <w:tab w:val="num" w:pos="720"/>
        </w:tabs>
        <w:ind w:left="720" w:hanging="360"/>
      </w:pPr>
      <w:rPr>
        <w:rFonts w:ascii="Wingdings 2" w:hAnsi="Wingdings 2" w:hint="default"/>
      </w:rPr>
    </w:lvl>
    <w:lvl w:ilvl="1" w:tplc="91A276B2" w:tentative="1">
      <w:start w:val="1"/>
      <w:numFmt w:val="bullet"/>
      <w:lvlText w:val=""/>
      <w:lvlJc w:val="left"/>
      <w:pPr>
        <w:tabs>
          <w:tab w:val="num" w:pos="1440"/>
        </w:tabs>
        <w:ind w:left="1440" w:hanging="360"/>
      </w:pPr>
      <w:rPr>
        <w:rFonts w:ascii="Wingdings 2" w:hAnsi="Wingdings 2" w:hint="default"/>
      </w:rPr>
    </w:lvl>
    <w:lvl w:ilvl="2" w:tplc="30126E46" w:tentative="1">
      <w:start w:val="1"/>
      <w:numFmt w:val="bullet"/>
      <w:lvlText w:val=""/>
      <w:lvlJc w:val="left"/>
      <w:pPr>
        <w:tabs>
          <w:tab w:val="num" w:pos="2160"/>
        </w:tabs>
        <w:ind w:left="2160" w:hanging="360"/>
      </w:pPr>
      <w:rPr>
        <w:rFonts w:ascii="Wingdings 2" w:hAnsi="Wingdings 2" w:hint="default"/>
      </w:rPr>
    </w:lvl>
    <w:lvl w:ilvl="3" w:tplc="D9288718" w:tentative="1">
      <w:start w:val="1"/>
      <w:numFmt w:val="bullet"/>
      <w:lvlText w:val=""/>
      <w:lvlJc w:val="left"/>
      <w:pPr>
        <w:tabs>
          <w:tab w:val="num" w:pos="2880"/>
        </w:tabs>
        <w:ind w:left="2880" w:hanging="360"/>
      </w:pPr>
      <w:rPr>
        <w:rFonts w:ascii="Wingdings 2" w:hAnsi="Wingdings 2" w:hint="default"/>
      </w:rPr>
    </w:lvl>
    <w:lvl w:ilvl="4" w:tplc="099E6DE0" w:tentative="1">
      <w:start w:val="1"/>
      <w:numFmt w:val="bullet"/>
      <w:lvlText w:val=""/>
      <w:lvlJc w:val="left"/>
      <w:pPr>
        <w:tabs>
          <w:tab w:val="num" w:pos="3600"/>
        </w:tabs>
        <w:ind w:left="3600" w:hanging="360"/>
      </w:pPr>
      <w:rPr>
        <w:rFonts w:ascii="Wingdings 2" w:hAnsi="Wingdings 2" w:hint="default"/>
      </w:rPr>
    </w:lvl>
    <w:lvl w:ilvl="5" w:tplc="CCDC93C4" w:tentative="1">
      <w:start w:val="1"/>
      <w:numFmt w:val="bullet"/>
      <w:lvlText w:val=""/>
      <w:lvlJc w:val="left"/>
      <w:pPr>
        <w:tabs>
          <w:tab w:val="num" w:pos="4320"/>
        </w:tabs>
        <w:ind w:left="4320" w:hanging="360"/>
      </w:pPr>
      <w:rPr>
        <w:rFonts w:ascii="Wingdings 2" w:hAnsi="Wingdings 2" w:hint="default"/>
      </w:rPr>
    </w:lvl>
    <w:lvl w:ilvl="6" w:tplc="46CA1AC6" w:tentative="1">
      <w:start w:val="1"/>
      <w:numFmt w:val="bullet"/>
      <w:lvlText w:val=""/>
      <w:lvlJc w:val="left"/>
      <w:pPr>
        <w:tabs>
          <w:tab w:val="num" w:pos="5040"/>
        </w:tabs>
        <w:ind w:left="5040" w:hanging="360"/>
      </w:pPr>
      <w:rPr>
        <w:rFonts w:ascii="Wingdings 2" w:hAnsi="Wingdings 2" w:hint="default"/>
      </w:rPr>
    </w:lvl>
    <w:lvl w:ilvl="7" w:tplc="70027082" w:tentative="1">
      <w:start w:val="1"/>
      <w:numFmt w:val="bullet"/>
      <w:lvlText w:val=""/>
      <w:lvlJc w:val="left"/>
      <w:pPr>
        <w:tabs>
          <w:tab w:val="num" w:pos="5760"/>
        </w:tabs>
        <w:ind w:left="5760" w:hanging="360"/>
      </w:pPr>
      <w:rPr>
        <w:rFonts w:ascii="Wingdings 2" w:hAnsi="Wingdings 2" w:hint="default"/>
      </w:rPr>
    </w:lvl>
    <w:lvl w:ilvl="8" w:tplc="95F46042"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6"/>
  </w:num>
  <w:num w:numId="15">
    <w:abstractNumId w:val="37"/>
  </w:num>
  <w:num w:numId="16">
    <w:abstractNumId w:val="33"/>
  </w:num>
  <w:num w:numId="17">
    <w:abstractNumId w:val="8"/>
  </w:num>
  <w:num w:numId="18">
    <w:abstractNumId w:val="35"/>
  </w:num>
  <w:num w:numId="19">
    <w:abstractNumId w:val="24"/>
  </w:num>
  <w:num w:numId="20">
    <w:abstractNumId w:val="7"/>
  </w:num>
  <w:num w:numId="21">
    <w:abstractNumId w:val="47"/>
  </w:num>
  <w:num w:numId="22">
    <w:abstractNumId w:val="19"/>
  </w:num>
  <w:num w:numId="23">
    <w:abstractNumId w:val="43"/>
  </w:num>
  <w:num w:numId="24">
    <w:abstractNumId w:val="45"/>
  </w:num>
  <w:num w:numId="25">
    <w:abstractNumId w:val="29"/>
  </w:num>
  <w:num w:numId="26">
    <w:abstractNumId w:val="18"/>
  </w:num>
  <w:num w:numId="27">
    <w:abstractNumId w:val="4"/>
  </w:num>
  <w:num w:numId="28">
    <w:abstractNumId w:val="12"/>
  </w:num>
  <w:num w:numId="29">
    <w:abstractNumId w:val="30"/>
  </w:num>
  <w:num w:numId="30">
    <w:abstractNumId w:val="40"/>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44"/>
  </w:num>
  <w:num w:numId="43">
    <w:abstractNumId w:val="38"/>
  </w:num>
  <w:num w:numId="44">
    <w:abstractNumId w:val="10"/>
  </w:num>
  <w:num w:numId="45">
    <w:abstractNumId w:val="31"/>
  </w:num>
  <w:num w:numId="46">
    <w:abstractNumId w:val="0"/>
  </w:num>
  <w:num w:numId="47">
    <w:abstractNumId w:val="32"/>
  </w:num>
  <w:num w:numId="48">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5B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75D"/>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D6B"/>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7C6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035"/>
    <w:rsid w:val="005E2B3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475"/>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3C3"/>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A78"/>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3611319">
      <w:bodyDiv w:val="1"/>
      <w:marLeft w:val="0"/>
      <w:marRight w:val="0"/>
      <w:marTop w:val="0"/>
      <w:marBottom w:val="0"/>
      <w:divBdr>
        <w:top w:val="none" w:sz="0" w:space="0" w:color="auto"/>
        <w:left w:val="none" w:sz="0" w:space="0" w:color="auto"/>
        <w:bottom w:val="none" w:sz="0" w:space="0" w:color="auto"/>
        <w:right w:val="none" w:sz="0" w:space="0" w:color="auto"/>
      </w:divBdr>
      <w:divsChild>
        <w:div w:id="582833672">
          <w:marLeft w:val="576"/>
          <w:marRight w:val="0"/>
          <w:marTop w:val="120"/>
          <w:marBottom w:val="0"/>
          <w:divBdr>
            <w:top w:val="none" w:sz="0" w:space="0" w:color="auto"/>
            <w:left w:val="none" w:sz="0" w:space="0" w:color="auto"/>
            <w:bottom w:val="none" w:sz="0" w:space="0" w:color="auto"/>
            <w:right w:val="none" w:sz="0" w:space="0" w:color="auto"/>
          </w:divBdr>
        </w:div>
        <w:div w:id="444885864">
          <w:marLeft w:val="576"/>
          <w:marRight w:val="0"/>
          <w:marTop w:val="120"/>
          <w:marBottom w:val="0"/>
          <w:divBdr>
            <w:top w:val="none" w:sz="0" w:space="0" w:color="auto"/>
            <w:left w:val="none" w:sz="0" w:space="0" w:color="auto"/>
            <w:bottom w:val="none" w:sz="0" w:space="0" w:color="auto"/>
            <w:right w:val="none" w:sz="0" w:space="0" w:color="auto"/>
          </w:divBdr>
        </w:div>
        <w:div w:id="310912129">
          <w:marLeft w:val="576"/>
          <w:marRight w:val="0"/>
          <w:marTop w:val="120"/>
          <w:marBottom w:val="0"/>
          <w:divBdr>
            <w:top w:val="none" w:sz="0" w:space="0" w:color="auto"/>
            <w:left w:val="none" w:sz="0" w:space="0" w:color="auto"/>
            <w:bottom w:val="none" w:sz="0" w:space="0" w:color="auto"/>
            <w:right w:val="none" w:sz="0" w:space="0" w:color="auto"/>
          </w:divBdr>
        </w:div>
        <w:div w:id="195474848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551658">
      <w:bodyDiv w:val="1"/>
      <w:marLeft w:val="0"/>
      <w:marRight w:val="0"/>
      <w:marTop w:val="0"/>
      <w:marBottom w:val="0"/>
      <w:divBdr>
        <w:top w:val="none" w:sz="0" w:space="0" w:color="auto"/>
        <w:left w:val="none" w:sz="0" w:space="0" w:color="auto"/>
        <w:bottom w:val="none" w:sz="0" w:space="0" w:color="auto"/>
        <w:right w:val="none" w:sz="0" w:space="0" w:color="auto"/>
      </w:divBdr>
      <w:divsChild>
        <w:div w:id="78186740">
          <w:marLeft w:val="576"/>
          <w:marRight w:val="0"/>
          <w:marTop w:val="120"/>
          <w:marBottom w:val="0"/>
          <w:divBdr>
            <w:top w:val="none" w:sz="0" w:space="0" w:color="auto"/>
            <w:left w:val="none" w:sz="0" w:space="0" w:color="auto"/>
            <w:bottom w:val="none" w:sz="0" w:space="0" w:color="auto"/>
            <w:right w:val="none" w:sz="0" w:space="0" w:color="auto"/>
          </w:divBdr>
        </w:div>
        <w:div w:id="1929271138">
          <w:marLeft w:val="576"/>
          <w:marRight w:val="0"/>
          <w:marTop w:val="120"/>
          <w:marBottom w:val="0"/>
          <w:divBdr>
            <w:top w:val="none" w:sz="0" w:space="0" w:color="auto"/>
            <w:left w:val="none" w:sz="0" w:space="0" w:color="auto"/>
            <w:bottom w:val="none" w:sz="0" w:space="0" w:color="auto"/>
            <w:right w:val="none" w:sz="0" w:space="0" w:color="auto"/>
          </w:divBdr>
        </w:div>
        <w:div w:id="1752120390">
          <w:marLeft w:val="576"/>
          <w:marRight w:val="0"/>
          <w:marTop w:val="120"/>
          <w:marBottom w:val="0"/>
          <w:divBdr>
            <w:top w:val="none" w:sz="0" w:space="0" w:color="auto"/>
            <w:left w:val="none" w:sz="0" w:space="0" w:color="auto"/>
            <w:bottom w:val="none" w:sz="0" w:space="0" w:color="auto"/>
            <w:right w:val="none" w:sz="0" w:space="0" w:color="auto"/>
          </w:divBdr>
        </w:div>
        <w:div w:id="1675642128">
          <w:marLeft w:val="576"/>
          <w:marRight w:val="0"/>
          <w:marTop w:val="120"/>
          <w:marBottom w:val="0"/>
          <w:divBdr>
            <w:top w:val="none" w:sz="0" w:space="0" w:color="auto"/>
            <w:left w:val="none" w:sz="0" w:space="0" w:color="auto"/>
            <w:bottom w:val="none" w:sz="0" w:space="0" w:color="auto"/>
            <w:right w:val="none" w:sz="0" w:space="0" w:color="auto"/>
          </w:divBdr>
        </w:div>
        <w:div w:id="38256402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14089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0704129">
      <w:bodyDiv w:val="1"/>
      <w:marLeft w:val="0"/>
      <w:marRight w:val="0"/>
      <w:marTop w:val="0"/>
      <w:marBottom w:val="0"/>
      <w:divBdr>
        <w:top w:val="none" w:sz="0" w:space="0" w:color="auto"/>
        <w:left w:val="none" w:sz="0" w:space="0" w:color="auto"/>
        <w:bottom w:val="none" w:sz="0" w:space="0" w:color="auto"/>
        <w:right w:val="none" w:sz="0" w:space="0" w:color="auto"/>
      </w:divBdr>
      <w:divsChild>
        <w:div w:id="577328669">
          <w:marLeft w:val="576"/>
          <w:marRight w:val="0"/>
          <w:marTop w:val="120"/>
          <w:marBottom w:val="0"/>
          <w:divBdr>
            <w:top w:val="none" w:sz="0" w:space="0" w:color="auto"/>
            <w:left w:val="none" w:sz="0" w:space="0" w:color="auto"/>
            <w:bottom w:val="none" w:sz="0" w:space="0" w:color="auto"/>
            <w:right w:val="none" w:sz="0" w:space="0" w:color="auto"/>
          </w:divBdr>
        </w:div>
        <w:div w:id="971246947">
          <w:marLeft w:val="576"/>
          <w:marRight w:val="0"/>
          <w:marTop w:val="120"/>
          <w:marBottom w:val="0"/>
          <w:divBdr>
            <w:top w:val="none" w:sz="0" w:space="0" w:color="auto"/>
            <w:left w:val="none" w:sz="0" w:space="0" w:color="auto"/>
            <w:bottom w:val="none" w:sz="0" w:space="0" w:color="auto"/>
            <w:right w:val="none" w:sz="0" w:space="0" w:color="auto"/>
          </w:divBdr>
        </w:div>
        <w:div w:id="746152868">
          <w:marLeft w:val="576"/>
          <w:marRight w:val="0"/>
          <w:marTop w:val="120"/>
          <w:marBottom w:val="0"/>
          <w:divBdr>
            <w:top w:val="none" w:sz="0" w:space="0" w:color="auto"/>
            <w:left w:val="none" w:sz="0" w:space="0" w:color="auto"/>
            <w:bottom w:val="none" w:sz="0" w:space="0" w:color="auto"/>
            <w:right w:val="none" w:sz="0" w:space="0" w:color="auto"/>
          </w:divBdr>
        </w:div>
        <w:div w:id="98115919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9621024">
      <w:bodyDiv w:val="1"/>
      <w:marLeft w:val="0"/>
      <w:marRight w:val="0"/>
      <w:marTop w:val="0"/>
      <w:marBottom w:val="0"/>
      <w:divBdr>
        <w:top w:val="none" w:sz="0" w:space="0" w:color="auto"/>
        <w:left w:val="none" w:sz="0" w:space="0" w:color="auto"/>
        <w:bottom w:val="none" w:sz="0" w:space="0" w:color="auto"/>
        <w:right w:val="none" w:sz="0" w:space="0" w:color="auto"/>
      </w:divBdr>
      <w:divsChild>
        <w:div w:id="445663525">
          <w:marLeft w:val="576"/>
          <w:marRight w:val="0"/>
          <w:marTop w:val="120"/>
          <w:marBottom w:val="0"/>
          <w:divBdr>
            <w:top w:val="none" w:sz="0" w:space="0" w:color="auto"/>
            <w:left w:val="none" w:sz="0" w:space="0" w:color="auto"/>
            <w:bottom w:val="none" w:sz="0" w:space="0" w:color="auto"/>
            <w:right w:val="none" w:sz="0" w:space="0" w:color="auto"/>
          </w:divBdr>
        </w:div>
        <w:div w:id="609748549">
          <w:marLeft w:val="576"/>
          <w:marRight w:val="0"/>
          <w:marTop w:val="120"/>
          <w:marBottom w:val="0"/>
          <w:divBdr>
            <w:top w:val="none" w:sz="0" w:space="0" w:color="auto"/>
            <w:left w:val="none" w:sz="0" w:space="0" w:color="auto"/>
            <w:bottom w:val="none" w:sz="0" w:space="0" w:color="auto"/>
            <w:right w:val="none" w:sz="0" w:space="0" w:color="auto"/>
          </w:divBdr>
        </w:div>
        <w:div w:id="3675970">
          <w:marLeft w:val="576"/>
          <w:marRight w:val="0"/>
          <w:marTop w:val="120"/>
          <w:marBottom w:val="0"/>
          <w:divBdr>
            <w:top w:val="none" w:sz="0" w:space="0" w:color="auto"/>
            <w:left w:val="none" w:sz="0" w:space="0" w:color="auto"/>
            <w:bottom w:val="none" w:sz="0" w:space="0" w:color="auto"/>
            <w:right w:val="none" w:sz="0" w:space="0" w:color="auto"/>
          </w:divBdr>
        </w:div>
        <w:div w:id="119951524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9758968">
      <w:bodyDiv w:val="1"/>
      <w:marLeft w:val="0"/>
      <w:marRight w:val="0"/>
      <w:marTop w:val="0"/>
      <w:marBottom w:val="0"/>
      <w:divBdr>
        <w:top w:val="none" w:sz="0" w:space="0" w:color="auto"/>
        <w:left w:val="none" w:sz="0" w:space="0" w:color="auto"/>
        <w:bottom w:val="none" w:sz="0" w:space="0" w:color="auto"/>
        <w:right w:val="none" w:sz="0" w:space="0" w:color="auto"/>
      </w:divBdr>
      <w:divsChild>
        <w:div w:id="334697169">
          <w:marLeft w:val="576"/>
          <w:marRight w:val="0"/>
          <w:marTop w:val="120"/>
          <w:marBottom w:val="0"/>
          <w:divBdr>
            <w:top w:val="none" w:sz="0" w:space="0" w:color="auto"/>
            <w:left w:val="none" w:sz="0" w:space="0" w:color="auto"/>
            <w:bottom w:val="none" w:sz="0" w:space="0" w:color="auto"/>
            <w:right w:val="none" w:sz="0" w:space="0" w:color="auto"/>
          </w:divBdr>
        </w:div>
        <w:div w:id="1782841521">
          <w:marLeft w:val="576"/>
          <w:marRight w:val="0"/>
          <w:marTop w:val="120"/>
          <w:marBottom w:val="0"/>
          <w:divBdr>
            <w:top w:val="none" w:sz="0" w:space="0" w:color="auto"/>
            <w:left w:val="none" w:sz="0" w:space="0" w:color="auto"/>
            <w:bottom w:val="none" w:sz="0" w:space="0" w:color="auto"/>
            <w:right w:val="none" w:sz="0" w:space="0" w:color="auto"/>
          </w:divBdr>
        </w:div>
        <w:div w:id="51118875">
          <w:marLeft w:val="576"/>
          <w:marRight w:val="0"/>
          <w:marTop w:val="120"/>
          <w:marBottom w:val="0"/>
          <w:divBdr>
            <w:top w:val="none" w:sz="0" w:space="0" w:color="auto"/>
            <w:left w:val="none" w:sz="0" w:space="0" w:color="auto"/>
            <w:bottom w:val="none" w:sz="0" w:space="0" w:color="auto"/>
            <w:right w:val="none" w:sz="0" w:space="0" w:color="auto"/>
          </w:divBdr>
        </w:div>
        <w:div w:id="988439844">
          <w:marLeft w:val="576"/>
          <w:marRight w:val="0"/>
          <w:marTop w:val="120"/>
          <w:marBottom w:val="0"/>
          <w:divBdr>
            <w:top w:val="none" w:sz="0" w:space="0" w:color="auto"/>
            <w:left w:val="none" w:sz="0" w:space="0" w:color="auto"/>
            <w:bottom w:val="none" w:sz="0" w:space="0" w:color="auto"/>
            <w:right w:val="none" w:sz="0" w:space="0" w:color="auto"/>
          </w:divBdr>
        </w:div>
        <w:div w:id="11316280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4307270">
      <w:bodyDiv w:val="1"/>
      <w:marLeft w:val="0"/>
      <w:marRight w:val="0"/>
      <w:marTop w:val="0"/>
      <w:marBottom w:val="0"/>
      <w:divBdr>
        <w:top w:val="none" w:sz="0" w:space="0" w:color="auto"/>
        <w:left w:val="none" w:sz="0" w:space="0" w:color="auto"/>
        <w:bottom w:val="none" w:sz="0" w:space="0" w:color="auto"/>
        <w:right w:val="none" w:sz="0" w:space="0" w:color="auto"/>
      </w:divBdr>
      <w:divsChild>
        <w:div w:id="325785006">
          <w:marLeft w:val="576"/>
          <w:marRight w:val="0"/>
          <w:marTop w:val="120"/>
          <w:marBottom w:val="0"/>
          <w:divBdr>
            <w:top w:val="none" w:sz="0" w:space="0" w:color="auto"/>
            <w:left w:val="none" w:sz="0" w:space="0" w:color="auto"/>
            <w:bottom w:val="none" w:sz="0" w:space="0" w:color="auto"/>
            <w:right w:val="none" w:sz="0" w:space="0" w:color="auto"/>
          </w:divBdr>
        </w:div>
        <w:div w:id="828520180">
          <w:marLeft w:val="576"/>
          <w:marRight w:val="0"/>
          <w:marTop w:val="120"/>
          <w:marBottom w:val="0"/>
          <w:divBdr>
            <w:top w:val="none" w:sz="0" w:space="0" w:color="auto"/>
            <w:left w:val="none" w:sz="0" w:space="0" w:color="auto"/>
            <w:bottom w:val="none" w:sz="0" w:space="0" w:color="auto"/>
            <w:right w:val="none" w:sz="0" w:space="0" w:color="auto"/>
          </w:divBdr>
        </w:div>
        <w:div w:id="1376463652">
          <w:marLeft w:val="576"/>
          <w:marRight w:val="0"/>
          <w:marTop w:val="120"/>
          <w:marBottom w:val="0"/>
          <w:divBdr>
            <w:top w:val="none" w:sz="0" w:space="0" w:color="auto"/>
            <w:left w:val="none" w:sz="0" w:space="0" w:color="auto"/>
            <w:bottom w:val="none" w:sz="0" w:space="0" w:color="auto"/>
            <w:right w:val="none" w:sz="0" w:space="0" w:color="auto"/>
          </w:divBdr>
        </w:div>
        <w:div w:id="275135903">
          <w:marLeft w:val="576"/>
          <w:marRight w:val="0"/>
          <w:marTop w:val="120"/>
          <w:marBottom w:val="0"/>
          <w:divBdr>
            <w:top w:val="none" w:sz="0" w:space="0" w:color="auto"/>
            <w:left w:val="none" w:sz="0" w:space="0" w:color="auto"/>
            <w:bottom w:val="none" w:sz="0" w:space="0" w:color="auto"/>
            <w:right w:val="none" w:sz="0" w:space="0" w:color="auto"/>
          </w:divBdr>
        </w:div>
        <w:div w:id="58484910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13</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2021-10-01T15:37:00Z</dcterms:modified>
</cp:coreProperties>
</file>