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24A90" w:rsidRDefault="00845895" w:rsidP="00A24A90">
      <w:pPr>
        <w:spacing w:line="360" w:lineRule="auto"/>
        <w:jc w:val="center"/>
        <w:rPr>
          <w:rFonts w:ascii="Times New Roman" w:hAnsi="Times New Roman" w:cs="Times New Roman"/>
          <w:b/>
          <w:bCs/>
          <w:sz w:val="144"/>
          <w:szCs w:val="144"/>
        </w:rPr>
      </w:pPr>
    </w:p>
    <w:p w:rsidR="00CF3C1B" w:rsidRPr="00A24A90" w:rsidRDefault="00A24A90" w:rsidP="00A24A90">
      <w:pPr>
        <w:spacing w:line="360" w:lineRule="auto"/>
        <w:jc w:val="center"/>
        <w:rPr>
          <w:rFonts w:ascii="Times New Roman" w:hAnsi="Times New Roman" w:cs="Times New Roman"/>
          <w:b/>
          <w:bCs/>
          <w:sz w:val="144"/>
          <w:szCs w:val="144"/>
        </w:rPr>
      </w:pPr>
      <w:r w:rsidRPr="00A24A90">
        <w:rPr>
          <w:rFonts w:ascii="Times New Roman" w:hAnsi="Times New Roman" w:cs="Times New Roman"/>
          <w:b/>
          <w:bCs/>
          <w:color w:val="000000"/>
          <w:sz w:val="56"/>
          <w:szCs w:val="56"/>
        </w:rPr>
        <w:t>Call center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4A90" w:rsidRDefault="00A24A9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B1B3B" w:rsidRPr="003B1B3B" w:rsidRDefault="003B1B3B" w:rsidP="003B1B3B">
      <w:pPr>
        <w:spacing w:line="360" w:lineRule="auto"/>
        <w:jc w:val="both"/>
        <w:rPr>
          <w:rFonts w:ascii="Times New Roman" w:hAnsi="Times New Roman" w:cs="Times New Roman"/>
          <w:bCs/>
          <w:sz w:val="32"/>
          <w:szCs w:val="32"/>
          <w:lang w:val="en-IN"/>
        </w:rPr>
      </w:pPr>
      <w:r w:rsidRPr="003B1B3B">
        <w:rPr>
          <w:rFonts w:ascii="Times New Roman" w:hAnsi="Times New Roman" w:cs="Times New Roman"/>
          <w:bCs/>
          <w:sz w:val="32"/>
          <w:szCs w:val="32"/>
          <w:lang w:val="en-IN"/>
        </w:rPr>
        <w:t xml:space="preserve">   To investigate call centre management from the perspective of the managers, particularly what the key management responsibilities are in managing call centres and the key performance indicators (KPIs) used in managing call centres. A survey of call centre managers, followed by in-depth interviews. There is confusion over the strategic intent of call centres. Centres are primarily used by organisations as a means of reducing costs, with customer service delivery a secondary consideration. Call centre managers, however, declared customer service as their main management responsibility. The metrics employed in the call centres resulted in managers concentrating on the call itself rather than the outcome of the call from the perspective of the customer or the organisation. Some quantitative measures were used as proxies for customer service, but the achievement of the relevant KPI became a goal in its own right. There appears to be an insatiable appetite for quantitative performance measures, despite their limitations, almost to the exclusion of all other performance measures. The implication of the results for call centre managers, and their managers, is that call centres could be better managed if a wider range of means and measures were used.</w:t>
      </w:r>
      <w:r w:rsidRPr="003B1B3B">
        <w:rPr>
          <w:rFonts w:ascii="Times New Roman" w:hAnsi="Times New Roman" w:cs="Times New Roman"/>
          <w:bCs/>
          <w:sz w:val="32"/>
          <w:szCs w:val="32"/>
        </w:rPr>
        <w:t xml:space="preserve"> </w:t>
      </w:r>
    </w:p>
    <w:p w:rsidR="003B1B3B" w:rsidRDefault="003B1B3B"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2766" w:rsidRDefault="009F74C0" w:rsidP="004E27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2766">
        <w:rPr>
          <w:rFonts w:ascii="Times New Roman" w:hAnsi="Times New Roman" w:cs="Times New Roman"/>
          <w:sz w:val="32"/>
          <w:szCs w:val="32"/>
          <w:lang w:val="en-IN"/>
        </w:rPr>
        <w:t xml:space="preserve">Workforce management systems, when combined with simulation software, take existing or </w:t>
      </w:r>
      <w:r w:rsidRPr="004E2766">
        <w:rPr>
          <w:rFonts w:ascii="Times New Roman" w:hAnsi="Times New Roman" w:cs="Times New Roman"/>
          <w:sz w:val="32"/>
          <w:szCs w:val="32"/>
          <w:lang w:val="en-IN"/>
        </w:rPr>
        <w:t xml:space="preserve">historical conditions and allow managers to adjust the parameters to conduct what-if scenarios. </w:t>
      </w:r>
    </w:p>
    <w:p w:rsidR="00000000" w:rsidRPr="004E2766" w:rsidRDefault="009F74C0" w:rsidP="004E27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2766">
        <w:rPr>
          <w:rFonts w:ascii="Times New Roman" w:hAnsi="Times New Roman" w:cs="Times New Roman"/>
          <w:sz w:val="32"/>
          <w:szCs w:val="32"/>
          <w:lang w:val="en-IN"/>
        </w:rPr>
        <w:t xml:space="preserve">Several useful guidelines, discussed in the next section, for monitoring systems should be considered before selecting a system and installing it in a new or </w:t>
      </w:r>
      <w:r w:rsidRPr="004E2766">
        <w:rPr>
          <w:rFonts w:ascii="Times New Roman" w:hAnsi="Times New Roman" w:cs="Times New Roman"/>
          <w:sz w:val="32"/>
          <w:szCs w:val="32"/>
          <w:lang w:val="en-IN"/>
        </w:rPr>
        <w:t xml:space="preserve">existing call center operation. </w:t>
      </w:r>
    </w:p>
    <w:p w:rsidR="00000000" w:rsidRPr="004E2766" w:rsidRDefault="009F74C0" w:rsidP="004E27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2766">
        <w:rPr>
          <w:rFonts w:ascii="Times New Roman" w:hAnsi="Times New Roman" w:cs="Times New Roman"/>
          <w:sz w:val="32"/>
          <w:szCs w:val="32"/>
          <w:lang w:val="en-IN"/>
        </w:rPr>
        <w:t xml:space="preserve">The existence of virtual multisite centers, teleworking, or dispersed call/contact center operations does not mean that workforce management systems cannot be employed. </w:t>
      </w:r>
    </w:p>
    <w:p w:rsidR="00000000" w:rsidRPr="004E2766" w:rsidRDefault="009F74C0" w:rsidP="004E27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2766">
        <w:rPr>
          <w:rFonts w:ascii="Times New Roman" w:hAnsi="Times New Roman" w:cs="Times New Roman"/>
          <w:sz w:val="32"/>
          <w:szCs w:val="32"/>
          <w:lang w:val="en-IN"/>
        </w:rPr>
        <w:t xml:space="preserve">Organizations of all types depend on the existence </w:t>
      </w:r>
      <w:r w:rsidRPr="004E2766">
        <w:rPr>
          <w:rFonts w:ascii="Times New Roman" w:hAnsi="Times New Roman" w:cs="Times New Roman"/>
          <w:sz w:val="32"/>
          <w:szCs w:val="32"/>
          <w:lang w:val="en-IN"/>
        </w:rPr>
        <w:t xml:space="preserve">of shared meanings and interpretations of reality, which facilitate coordinated action among employees.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2766" w:rsidRDefault="009F74C0" w:rsidP="004E2766">
      <w:pPr>
        <w:numPr>
          <w:ilvl w:val="0"/>
          <w:numId w:val="45"/>
        </w:numPr>
        <w:spacing w:line="360" w:lineRule="auto"/>
        <w:jc w:val="both"/>
        <w:rPr>
          <w:rFonts w:ascii="Times New Roman" w:hAnsi="Times New Roman" w:cs="Times New Roman"/>
          <w:bCs/>
          <w:sz w:val="32"/>
          <w:szCs w:val="32"/>
          <w:lang w:val="en-IN"/>
        </w:rPr>
      </w:pPr>
      <w:r w:rsidRPr="004E2766">
        <w:rPr>
          <w:rFonts w:ascii="Times New Roman" w:hAnsi="Times New Roman" w:cs="Times New Roman"/>
          <w:bCs/>
          <w:sz w:val="32"/>
          <w:szCs w:val="32"/>
          <w:lang w:val="en-IN"/>
        </w:rPr>
        <w:t>A lack of understanding by senior management was also described as a problem with three call centre managers explaining that their managers did not fu</w:t>
      </w:r>
      <w:r w:rsidRPr="004E2766">
        <w:rPr>
          <w:rFonts w:ascii="Times New Roman" w:hAnsi="Times New Roman" w:cs="Times New Roman"/>
          <w:bCs/>
          <w:sz w:val="32"/>
          <w:szCs w:val="32"/>
          <w:lang w:val="en-IN"/>
        </w:rPr>
        <w:t>lly appreciate the pressures of the call centre and the impact that the call centre had on the entire organisation.</w:t>
      </w:r>
    </w:p>
    <w:p w:rsidR="00000000" w:rsidRPr="004E2766" w:rsidRDefault="009F74C0" w:rsidP="004E2766">
      <w:pPr>
        <w:numPr>
          <w:ilvl w:val="0"/>
          <w:numId w:val="45"/>
        </w:numPr>
        <w:spacing w:line="360" w:lineRule="auto"/>
        <w:jc w:val="both"/>
        <w:rPr>
          <w:rFonts w:ascii="Times New Roman" w:hAnsi="Times New Roman" w:cs="Times New Roman"/>
          <w:bCs/>
          <w:sz w:val="32"/>
          <w:szCs w:val="32"/>
          <w:lang w:val="en-IN"/>
        </w:rPr>
      </w:pPr>
      <w:r w:rsidRPr="004E2766">
        <w:rPr>
          <w:rFonts w:ascii="Times New Roman" w:hAnsi="Times New Roman" w:cs="Times New Roman"/>
          <w:bCs/>
          <w:sz w:val="32"/>
          <w:szCs w:val="32"/>
          <w:lang w:val="en-IN"/>
        </w:rPr>
        <w:t xml:space="preserve">The manager would look at the hot spots on the heat chart to determine at a glance, where problems were occurring. </w:t>
      </w:r>
    </w:p>
    <w:p w:rsidR="00000000" w:rsidRPr="004E2766" w:rsidRDefault="009F74C0" w:rsidP="004E2766">
      <w:pPr>
        <w:numPr>
          <w:ilvl w:val="0"/>
          <w:numId w:val="45"/>
        </w:numPr>
        <w:spacing w:line="360" w:lineRule="auto"/>
        <w:jc w:val="both"/>
        <w:rPr>
          <w:rFonts w:ascii="Times New Roman" w:hAnsi="Times New Roman" w:cs="Times New Roman"/>
          <w:bCs/>
          <w:sz w:val="32"/>
          <w:szCs w:val="32"/>
          <w:lang w:val="en-IN"/>
        </w:rPr>
      </w:pPr>
      <w:r w:rsidRPr="004E2766">
        <w:rPr>
          <w:rFonts w:ascii="Times New Roman" w:hAnsi="Times New Roman" w:cs="Times New Roman"/>
          <w:bCs/>
          <w:sz w:val="32"/>
          <w:szCs w:val="32"/>
          <w:lang w:val="en-IN"/>
        </w:rPr>
        <w:lastRenderedPageBreak/>
        <w:t>The problem is that th</w:t>
      </w:r>
      <w:r w:rsidRPr="004E2766">
        <w:rPr>
          <w:rFonts w:ascii="Times New Roman" w:hAnsi="Times New Roman" w:cs="Times New Roman"/>
          <w:bCs/>
          <w:sz w:val="32"/>
          <w:szCs w:val="32"/>
          <w:lang w:val="en-IN"/>
        </w:rPr>
        <w:t xml:space="preserve">e ease of measurement which leads to automatic reporting can create the belief that the attributes being measured are important. </w:t>
      </w:r>
    </w:p>
    <w:p w:rsidR="00F94960" w:rsidRPr="004E2766" w:rsidRDefault="009F74C0" w:rsidP="00E53AA4">
      <w:pPr>
        <w:numPr>
          <w:ilvl w:val="0"/>
          <w:numId w:val="45"/>
        </w:numPr>
        <w:spacing w:line="360" w:lineRule="auto"/>
        <w:jc w:val="both"/>
        <w:rPr>
          <w:rFonts w:ascii="Times New Roman" w:hAnsi="Times New Roman" w:cs="Times New Roman"/>
          <w:bCs/>
          <w:sz w:val="32"/>
          <w:szCs w:val="32"/>
          <w:lang w:val="en-IN"/>
        </w:rPr>
      </w:pPr>
      <w:r w:rsidRPr="004E2766">
        <w:rPr>
          <w:rFonts w:ascii="Times New Roman" w:hAnsi="Times New Roman" w:cs="Times New Roman"/>
          <w:bCs/>
          <w:sz w:val="32"/>
          <w:szCs w:val="32"/>
          <w:lang w:val="en-IN"/>
        </w:rPr>
        <w:t xml:space="preserve">The survey revealed that call centre agent turnover was a problem (40 per cent of </w:t>
      </w:r>
      <w:r w:rsidRPr="004E2766">
        <w:rPr>
          <w:rFonts w:ascii="Times New Roman" w:hAnsi="Times New Roman" w:cs="Times New Roman"/>
          <w:bCs/>
          <w:sz w:val="32"/>
          <w:szCs w:val="32"/>
          <w:lang w:val="en-IN"/>
        </w:rPr>
        <w:t>respondents reported annual turnover of agents was over 10 per cent), however little was being done to address the fundamental causes of the turnover.</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2766" w:rsidRPr="004E2766" w:rsidRDefault="004E2766" w:rsidP="004E2766">
      <w:pPr>
        <w:pStyle w:val="NormalWeb"/>
        <w:numPr>
          <w:ilvl w:val="0"/>
          <w:numId w:val="46"/>
        </w:numPr>
        <w:spacing w:before="0" w:beforeAutospacing="0" w:after="0" w:afterAutospacing="0" w:line="360" w:lineRule="auto"/>
        <w:ind w:left="426"/>
        <w:jc w:val="both"/>
        <w:rPr>
          <w:sz w:val="32"/>
          <w:szCs w:val="32"/>
        </w:rPr>
      </w:pPr>
      <w:r w:rsidRPr="004E2766">
        <w:rPr>
          <w:sz w:val="32"/>
          <w:szCs w:val="32"/>
        </w:rPr>
        <w:t>As telephone services matured, several solutions to resource management challenges were proposed.</w:t>
      </w:r>
    </w:p>
    <w:p w:rsidR="004E2766" w:rsidRPr="004E2766" w:rsidRDefault="004E2766" w:rsidP="004E2766">
      <w:pPr>
        <w:pStyle w:val="NormalWeb"/>
        <w:numPr>
          <w:ilvl w:val="0"/>
          <w:numId w:val="46"/>
        </w:numPr>
        <w:spacing w:before="0" w:beforeAutospacing="0" w:after="0" w:afterAutospacing="0" w:line="360" w:lineRule="auto"/>
        <w:ind w:left="426"/>
        <w:jc w:val="both"/>
        <w:rPr>
          <w:sz w:val="32"/>
          <w:szCs w:val="32"/>
        </w:rPr>
      </w:pPr>
      <w:r w:rsidRPr="004E2766">
        <w:rPr>
          <w:sz w:val="32"/>
          <w:szCs w:val="32"/>
        </w:rPr>
        <w:t>In a call center, most callers get connected to a CSR much quicker than the average, but some wait far beyond the average.</w:t>
      </w:r>
    </w:p>
    <w:p w:rsidR="004E2766" w:rsidRPr="004E2766" w:rsidRDefault="004E2766" w:rsidP="004E2766">
      <w:pPr>
        <w:pStyle w:val="NormalWeb"/>
        <w:numPr>
          <w:ilvl w:val="0"/>
          <w:numId w:val="46"/>
        </w:numPr>
        <w:spacing w:before="0" w:beforeAutospacing="0" w:after="0" w:afterAutospacing="0" w:line="360" w:lineRule="auto"/>
        <w:ind w:left="426"/>
        <w:jc w:val="both"/>
        <w:rPr>
          <w:sz w:val="32"/>
          <w:szCs w:val="32"/>
        </w:rPr>
      </w:pPr>
      <w:r w:rsidRPr="004E2766">
        <w:rPr>
          <w:sz w:val="32"/>
          <w:szCs w:val="32"/>
        </w:rPr>
        <w:t xml:space="preserve">It is important that service level be interpreted in the context of call blockage, that is, calls not getting through. </w:t>
      </w:r>
    </w:p>
    <w:p w:rsidR="003A5D44" w:rsidRPr="004E2766" w:rsidRDefault="004E2766" w:rsidP="00E53AA4">
      <w:pPr>
        <w:pStyle w:val="NormalWeb"/>
        <w:numPr>
          <w:ilvl w:val="0"/>
          <w:numId w:val="46"/>
        </w:numPr>
        <w:spacing w:before="0" w:beforeAutospacing="0" w:after="0" w:afterAutospacing="0" w:line="360" w:lineRule="auto"/>
        <w:ind w:left="426"/>
        <w:jc w:val="both"/>
        <w:rPr>
          <w:sz w:val="32"/>
          <w:szCs w:val="32"/>
        </w:rPr>
      </w:pPr>
      <w:r w:rsidRPr="004E2766">
        <w:rPr>
          <w:sz w:val="32"/>
          <w:szCs w:val="32"/>
        </w:rPr>
        <w:t>Any time some portion of callers is getting busy signals, no matter whether generated by the system resulting from a limited number of staff and lines during a busy period, service level reports only report on the calls that are getting through.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2766" w:rsidRDefault="009F74C0" w:rsidP="004E27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766">
        <w:rPr>
          <w:rFonts w:ascii="Times New Roman" w:eastAsia="AdvGulliv-R" w:hAnsi="Times New Roman" w:cs="Times New Roman"/>
          <w:bCs/>
          <w:sz w:val="32"/>
          <w:szCs w:val="32"/>
          <w:lang w:val="en-IN"/>
        </w:rPr>
        <w:t>This particular research is interested in investigating what the key management responsibilities are in managing call centres and the key performance indicators (KPIs) used in managing call centres.</w:t>
      </w:r>
    </w:p>
    <w:p w:rsidR="00000000" w:rsidRPr="004E2766" w:rsidRDefault="009F74C0" w:rsidP="004E27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766">
        <w:rPr>
          <w:rFonts w:ascii="Times New Roman" w:eastAsia="AdvGulliv-R" w:hAnsi="Times New Roman" w:cs="Times New Roman"/>
          <w:bCs/>
          <w:sz w:val="32"/>
          <w:szCs w:val="32"/>
          <w:lang w:val="en-IN"/>
        </w:rPr>
        <w:lastRenderedPageBreak/>
        <w:t>An a</w:t>
      </w:r>
      <w:r w:rsidRPr="004E2766">
        <w:rPr>
          <w:rFonts w:ascii="Times New Roman" w:eastAsia="AdvGulliv-R" w:hAnsi="Times New Roman" w:cs="Times New Roman"/>
          <w:bCs/>
          <w:sz w:val="32"/>
          <w:szCs w:val="32"/>
          <w:lang w:val="en-IN"/>
        </w:rPr>
        <w:t>ssessment of how well the reported performance measures fit with the strategic objectives of the centres will be attempted.</w:t>
      </w:r>
    </w:p>
    <w:p w:rsidR="00000000" w:rsidRPr="004E2766" w:rsidRDefault="009F74C0" w:rsidP="004E27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766">
        <w:rPr>
          <w:rFonts w:ascii="Times New Roman" w:eastAsia="AdvGulliv-R" w:hAnsi="Times New Roman" w:cs="Times New Roman"/>
          <w:bCs/>
          <w:sz w:val="32"/>
          <w:szCs w:val="32"/>
          <w:lang w:val="en-IN"/>
        </w:rPr>
        <w:t>The call centre employed performance standards including a service quality checklist, which aimed to promote consistency of service</w:t>
      </w:r>
      <w:r w:rsidRPr="004E2766">
        <w:rPr>
          <w:rFonts w:ascii="Times New Roman" w:eastAsia="AdvGulliv-R" w:hAnsi="Times New Roman" w:cs="Times New Roman"/>
          <w:bCs/>
          <w:sz w:val="32"/>
          <w:szCs w:val="32"/>
          <w:lang w:val="en-IN"/>
        </w:rPr>
        <w:t>.</w:t>
      </w:r>
    </w:p>
    <w:p w:rsidR="00000000" w:rsidRPr="004E2766" w:rsidRDefault="009F74C0" w:rsidP="004E27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766">
        <w:rPr>
          <w:rFonts w:ascii="Times New Roman" w:eastAsia="AdvGulliv-R" w:hAnsi="Times New Roman" w:cs="Times New Roman"/>
          <w:bCs/>
          <w:sz w:val="32"/>
          <w:szCs w:val="32"/>
          <w:lang w:val="en-IN"/>
        </w:rPr>
        <w:t>They found that the performance objectives and performance management programs were weighted towards numerical quotas and targets for efficiency and speed.</w:t>
      </w:r>
    </w:p>
    <w:p w:rsidR="00B31569" w:rsidRPr="004E2766" w:rsidRDefault="009F74C0"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766">
        <w:rPr>
          <w:rFonts w:ascii="Times New Roman" w:eastAsia="AdvGulliv-R" w:hAnsi="Times New Roman" w:cs="Times New Roman"/>
          <w:bCs/>
          <w:sz w:val="32"/>
          <w:szCs w:val="32"/>
          <w:lang w:val="en-IN"/>
        </w:rPr>
        <w:t>There was clear resentment in one case as it was only the areas where performance was adverse to</w:t>
      </w:r>
      <w:r w:rsidRPr="004E2766">
        <w:rPr>
          <w:rFonts w:ascii="Times New Roman" w:eastAsia="AdvGulliv-R" w:hAnsi="Times New Roman" w:cs="Times New Roman"/>
          <w:bCs/>
          <w:sz w:val="32"/>
          <w:szCs w:val="32"/>
          <w:lang w:val="en-IN"/>
        </w:rPr>
        <w:t xml:space="preserve"> agreed KPIs that ever received any attention.</w:t>
      </w:r>
      <w:r w:rsidRPr="004E276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805CE" w:rsidRDefault="00F822E6"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Taylorism, targets and the pursuit of quantity and quality by call centre management</w:t>
            </w:r>
          </w:p>
        </w:tc>
        <w:tc>
          <w:tcPr>
            <w:tcW w:w="3192" w:type="dxa"/>
          </w:tcPr>
          <w:p w:rsidR="000C407B" w:rsidRPr="00A805CE" w:rsidRDefault="00F822E6" w:rsidP="00F822E6">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 xml:space="preserve">Bain, P., Watson, A., Mulvey, G., Taylor, P. and Gall, G. (2002), </w:t>
            </w:r>
          </w:p>
        </w:tc>
        <w:tc>
          <w:tcPr>
            <w:tcW w:w="3192" w:type="dxa"/>
          </w:tcPr>
          <w:p w:rsidR="000C407B" w:rsidRPr="00A805CE" w:rsidRDefault="00F822E6"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color w:val="333333"/>
                <w:sz w:val="28"/>
                <w:szCs w:val="28"/>
                <w:shd w:val="clear" w:color="auto" w:fill="FFFFFF"/>
              </w:rPr>
              <w:t>The paper concludes that call centre work reflects a pardigmic re–configuration of customer servicing operations, and that the continuing application of Taylorist methods appears likely.</w:t>
            </w:r>
          </w:p>
        </w:tc>
      </w:tr>
      <w:tr w:rsidR="000C407B" w:rsidTr="000C407B">
        <w:trPr>
          <w:trHeight w:val="2942"/>
        </w:trPr>
        <w:tc>
          <w:tcPr>
            <w:tcW w:w="3192" w:type="dxa"/>
          </w:tcPr>
          <w:p w:rsidR="000C407B" w:rsidRPr="00A805CE" w:rsidRDefault="00F822E6"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lastRenderedPageBreak/>
              <w:t>Edwards revisited: technical control and call centres</w:t>
            </w:r>
          </w:p>
        </w:tc>
        <w:tc>
          <w:tcPr>
            <w:tcW w:w="3192" w:type="dxa"/>
          </w:tcPr>
          <w:p w:rsidR="000C407B" w:rsidRPr="00A805CE" w:rsidRDefault="00F822E6" w:rsidP="00F822E6">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 xml:space="preserve">Callaghan, G. and Thompson, P. (2001), </w:t>
            </w:r>
          </w:p>
        </w:tc>
        <w:tc>
          <w:tcPr>
            <w:tcW w:w="3192" w:type="dxa"/>
          </w:tcPr>
          <w:p w:rsidR="000C407B" w:rsidRPr="00A805CE" w:rsidRDefault="00F822E6"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color w:val="333333"/>
                <w:sz w:val="28"/>
                <w:szCs w:val="28"/>
                <w:shd w:val="clear" w:color="auto" w:fill="FFFFFF"/>
              </w:rPr>
              <w:t>Data collection includes taped semi-structured interviews with customer service representatives and managers as well as non-participant observation of recruitment, training and the labour process. </w:t>
            </w:r>
          </w:p>
        </w:tc>
      </w:tr>
      <w:tr w:rsidR="000C407B" w:rsidTr="000C407B">
        <w:tc>
          <w:tcPr>
            <w:tcW w:w="3192" w:type="dxa"/>
          </w:tcPr>
          <w:p w:rsidR="000C407B" w:rsidRPr="00A805CE" w:rsidRDefault="007B3944"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Operational determinants of caller satisfaction in the call center</w:t>
            </w:r>
          </w:p>
        </w:tc>
        <w:tc>
          <w:tcPr>
            <w:tcW w:w="3192" w:type="dxa"/>
          </w:tcPr>
          <w:p w:rsidR="000C407B" w:rsidRPr="00A805CE" w:rsidRDefault="00F822E6" w:rsidP="007B394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 xml:space="preserve">Feinberg, R.A., Kim, I.-S. and Hokama, L. (2000), </w:t>
            </w:r>
          </w:p>
        </w:tc>
        <w:tc>
          <w:tcPr>
            <w:tcW w:w="3192" w:type="dxa"/>
          </w:tcPr>
          <w:p w:rsidR="000C407B" w:rsidRPr="00A805CE" w:rsidRDefault="007B3944"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color w:val="333333"/>
                <w:sz w:val="28"/>
                <w:szCs w:val="28"/>
                <w:shd w:val="clear" w:color="auto" w:fill="FFFFFF"/>
              </w:rPr>
              <w:t>When China's offfarm migrants find it too difficult to cope in the cities, most have the fallback position that they can return to their homes in the countryside.</w:t>
            </w:r>
          </w:p>
        </w:tc>
      </w:tr>
      <w:tr w:rsidR="000C407B" w:rsidTr="000C407B">
        <w:tc>
          <w:tcPr>
            <w:tcW w:w="3192" w:type="dxa"/>
          </w:tcPr>
          <w:p w:rsidR="000C407B" w:rsidRPr="00A805CE" w:rsidRDefault="007B3944"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The Balanced Scorecard</w:t>
            </w:r>
          </w:p>
        </w:tc>
        <w:tc>
          <w:tcPr>
            <w:tcW w:w="3192" w:type="dxa"/>
          </w:tcPr>
          <w:p w:rsidR="000C407B" w:rsidRPr="00A805CE" w:rsidRDefault="007B3944" w:rsidP="007B394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sz w:val="28"/>
                <w:szCs w:val="28"/>
              </w:rPr>
              <w:t xml:space="preserve">South Melbourne. Kaplan, R.S. and Norton, D.P. (1996), </w:t>
            </w:r>
          </w:p>
        </w:tc>
        <w:tc>
          <w:tcPr>
            <w:tcW w:w="3192" w:type="dxa"/>
          </w:tcPr>
          <w:p w:rsidR="000C407B" w:rsidRPr="00A805CE" w:rsidRDefault="007B3944" w:rsidP="00E53AA4">
            <w:pPr>
              <w:tabs>
                <w:tab w:val="left" w:pos="720"/>
              </w:tabs>
              <w:spacing w:after="100" w:line="360" w:lineRule="auto"/>
              <w:jc w:val="both"/>
              <w:rPr>
                <w:rFonts w:ascii="Times New Roman" w:hAnsi="Times New Roman" w:cs="Times New Roman"/>
                <w:sz w:val="28"/>
                <w:szCs w:val="28"/>
              </w:rPr>
            </w:pPr>
            <w:r w:rsidRPr="00A805CE">
              <w:rPr>
                <w:rFonts w:ascii="Times New Roman" w:hAnsi="Times New Roman" w:cs="Times New Roman"/>
                <w:color w:val="333333"/>
                <w:sz w:val="28"/>
                <w:szCs w:val="28"/>
                <w:shd w:val="clear" w:color="auto" w:fill="FFFFFF"/>
              </w:rPr>
              <w:t>Various studies have been done on the above theme, but no enough studies have been conducted in Sri Lankan context, especially in banking sector.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777142" w:rsidRDefault="00777142" w:rsidP="00E53AA4">
      <w:pPr>
        <w:tabs>
          <w:tab w:val="left" w:pos="720"/>
        </w:tabs>
        <w:spacing w:after="100" w:line="360" w:lineRule="auto"/>
        <w:jc w:val="both"/>
        <w:rPr>
          <w:rFonts w:ascii="Times New Roman" w:hAnsi="Times New Roman" w:cs="Times New Roman"/>
          <w:b/>
          <w:sz w:val="24"/>
          <w:szCs w:val="24"/>
        </w:rPr>
      </w:pPr>
    </w:p>
    <w:p w:rsidR="00777142" w:rsidRDefault="00777142" w:rsidP="00E53AA4">
      <w:pPr>
        <w:tabs>
          <w:tab w:val="left" w:pos="720"/>
        </w:tabs>
        <w:spacing w:after="100" w:line="360" w:lineRule="auto"/>
        <w:jc w:val="both"/>
        <w:rPr>
          <w:rFonts w:ascii="Times New Roman" w:hAnsi="Times New Roman" w:cs="Times New Roman"/>
          <w:b/>
          <w:sz w:val="24"/>
          <w:szCs w:val="24"/>
        </w:rPr>
      </w:pPr>
    </w:p>
    <w:p w:rsidR="00777142" w:rsidRDefault="0077714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77142" w:rsidRDefault="0077714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77142" w:rsidRDefault="0077714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7142" w:rsidP="00E53AA4">
      <w:pPr>
        <w:spacing w:after="0" w:line="360" w:lineRule="auto"/>
        <w:jc w:val="both"/>
        <w:rPr>
          <w:rFonts w:ascii="Times New Roman" w:hAnsi="Times New Roman" w:cs="Times New Roman"/>
        </w:rPr>
      </w:pPr>
      <w:r w:rsidRPr="00777142">
        <w:rPr>
          <w:rFonts w:ascii="Times New Roman" w:hAnsi="Times New Roman" w:cs="Times New Roman"/>
        </w:rPr>
        <w:drawing>
          <wp:inline distT="0" distB="0" distL="0" distR="0">
            <wp:extent cx="5943600" cy="37592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3759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66C44" w:rsidRPr="00566C44" w:rsidRDefault="00566C44" w:rsidP="00566C44">
      <w:pPr>
        <w:pStyle w:val="BodyText"/>
        <w:rPr>
          <w:bCs/>
          <w:iCs/>
          <w:sz w:val="32"/>
          <w:szCs w:val="32"/>
          <w:lang w:val="en-IN"/>
        </w:rPr>
      </w:pPr>
      <w:r w:rsidRPr="00566C44">
        <w:rPr>
          <w:bCs/>
          <w:iCs/>
          <w:sz w:val="32"/>
          <w:szCs w:val="32"/>
          <w:lang w:val="en-IN"/>
        </w:rPr>
        <w:t xml:space="preserve">    This research has sought to make a contribution to improving the management of call centres. The first step was a survey of centre managers, to develop understanding of how managers see their main responsibilities. The results expose serious limitations in the management of call centres, which then lead to suggestions to improve their management. The key management responsibilities were seen to be a combination of achieving customer service goals and meeting financial budgets. There was strong evidence of a conflict between these two responsibilities. Quantitative KPIs were dominant in what call centre managers believe to be their KPIs. The measurement of many aspects of the call centre performance was at odds with the espoused management responsibility of customer service. There was evidence that the achievement of norms in quantitative KPIs became the goal itself. It was clear from the findings that little emphasis is placed on qualitative measures.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66C44" w:rsidRDefault="00566C44" w:rsidP="00E53AA4">
      <w:pPr>
        <w:pStyle w:val="BodyText"/>
        <w:rPr>
          <w:b/>
          <w:iCs/>
          <w:sz w:val="28"/>
          <w:szCs w:val="28"/>
        </w:rPr>
      </w:pPr>
    </w:p>
    <w:p w:rsidR="00566C44" w:rsidRDefault="00566C44" w:rsidP="00E53AA4">
      <w:pPr>
        <w:pStyle w:val="BodyText"/>
        <w:rPr>
          <w:b/>
          <w:iCs/>
          <w:sz w:val="28"/>
          <w:szCs w:val="28"/>
        </w:rPr>
      </w:pPr>
    </w:p>
    <w:p w:rsidR="00566C44" w:rsidRDefault="00566C44" w:rsidP="00E53AA4">
      <w:pPr>
        <w:pStyle w:val="BodyText"/>
        <w:rPr>
          <w:b/>
          <w:iCs/>
          <w:sz w:val="28"/>
          <w:szCs w:val="28"/>
        </w:rPr>
      </w:pPr>
    </w:p>
    <w:p w:rsidR="00566C44" w:rsidRDefault="00566C44" w:rsidP="00E53AA4">
      <w:pPr>
        <w:pStyle w:val="BodyText"/>
        <w:rPr>
          <w:b/>
          <w:iCs/>
          <w:sz w:val="28"/>
          <w:szCs w:val="28"/>
        </w:rPr>
      </w:pPr>
    </w:p>
    <w:p w:rsidR="00566C44" w:rsidRDefault="00566C44" w:rsidP="00E53AA4">
      <w:pPr>
        <w:pStyle w:val="BodyText"/>
        <w:rPr>
          <w:b/>
          <w:iCs/>
          <w:sz w:val="28"/>
          <w:szCs w:val="28"/>
        </w:rPr>
      </w:pPr>
    </w:p>
    <w:p w:rsidR="00566C44" w:rsidRDefault="00566C4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66C44" w:rsidRDefault="009F74C0" w:rsidP="00566C44">
      <w:pPr>
        <w:pStyle w:val="BodyText"/>
        <w:numPr>
          <w:ilvl w:val="0"/>
          <w:numId w:val="42"/>
        </w:numPr>
        <w:rPr>
          <w:sz w:val="32"/>
          <w:szCs w:val="32"/>
          <w:lang w:val="en-IN"/>
        </w:rPr>
      </w:pPr>
      <w:r w:rsidRPr="00566C44">
        <w:rPr>
          <w:sz w:val="32"/>
          <w:szCs w:val="32"/>
          <w:lang w:val="en-IN"/>
        </w:rPr>
        <w:t xml:space="preserve">Alreck, P.L. and Settle, R.B. (1995), The Survey Research Handbook, 2nd ed., McGraw-Hill, Boston, MA. </w:t>
      </w:r>
    </w:p>
    <w:p w:rsidR="00000000" w:rsidRPr="00566C44" w:rsidRDefault="009F74C0" w:rsidP="00566C44">
      <w:pPr>
        <w:pStyle w:val="BodyText"/>
        <w:numPr>
          <w:ilvl w:val="0"/>
          <w:numId w:val="42"/>
        </w:numPr>
        <w:rPr>
          <w:sz w:val="32"/>
          <w:szCs w:val="32"/>
          <w:lang w:val="en-IN"/>
        </w:rPr>
      </w:pPr>
      <w:r w:rsidRPr="00566C44">
        <w:rPr>
          <w:sz w:val="32"/>
          <w:szCs w:val="32"/>
          <w:lang w:val="en-IN"/>
        </w:rPr>
        <w:t xml:space="preserve">Australian Council of Trade Unions (2002), On the Line – The Future of Australia’s Call Centre Industry, ACTU, Melbourne. </w:t>
      </w:r>
    </w:p>
    <w:p w:rsidR="00000000" w:rsidRPr="00566C44" w:rsidRDefault="009F74C0" w:rsidP="00566C44">
      <w:pPr>
        <w:pStyle w:val="BodyText"/>
        <w:numPr>
          <w:ilvl w:val="0"/>
          <w:numId w:val="42"/>
        </w:numPr>
        <w:rPr>
          <w:sz w:val="32"/>
          <w:szCs w:val="32"/>
          <w:lang w:val="en-IN"/>
        </w:rPr>
      </w:pPr>
      <w:r w:rsidRPr="00566C44">
        <w:rPr>
          <w:sz w:val="32"/>
          <w:szCs w:val="32"/>
          <w:lang w:val="en-IN"/>
        </w:rPr>
        <w:t>Bain, P., Watson, A., Mu</w:t>
      </w:r>
      <w:r w:rsidRPr="00566C44">
        <w:rPr>
          <w:sz w:val="32"/>
          <w:szCs w:val="32"/>
          <w:lang w:val="en-IN"/>
        </w:rPr>
        <w:t xml:space="preserve">lvey, G., Taylor, P. and Gall, G. (2002), “Taylorism, targets and the pursuit of quantity and quality by call centre management”, New Technology, Work and Employment, Vol. 17 No. 3, pp. 170-85. </w:t>
      </w:r>
    </w:p>
    <w:p w:rsidR="00000000" w:rsidRPr="00566C44" w:rsidRDefault="009F74C0" w:rsidP="00566C44">
      <w:pPr>
        <w:pStyle w:val="BodyText"/>
        <w:numPr>
          <w:ilvl w:val="0"/>
          <w:numId w:val="42"/>
        </w:numPr>
        <w:rPr>
          <w:sz w:val="32"/>
          <w:szCs w:val="32"/>
          <w:lang w:val="en-IN"/>
        </w:rPr>
      </w:pPr>
      <w:r w:rsidRPr="00566C44">
        <w:rPr>
          <w:sz w:val="32"/>
          <w:szCs w:val="32"/>
          <w:lang w:val="en-IN"/>
        </w:rPr>
        <w:t>Callaghan, G. and Thompson, P. (2001), “Edwards revisited: t</w:t>
      </w:r>
      <w:r w:rsidRPr="00566C44">
        <w:rPr>
          <w:sz w:val="32"/>
          <w:szCs w:val="32"/>
          <w:lang w:val="en-IN"/>
        </w:rPr>
        <w:t xml:space="preserve">echnical control and call centres”, Economic and Industrial Democracy, Vol. 22 No. 1, pp. 15-37. </w:t>
      </w:r>
    </w:p>
    <w:p w:rsidR="00000000" w:rsidRPr="00566C44" w:rsidRDefault="009F74C0" w:rsidP="00566C44">
      <w:pPr>
        <w:pStyle w:val="BodyText"/>
        <w:numPr>
          <w:ilvl w:val="0"/>
          <w:numId w:val="42"/>
        </w:numPr>
        <w:rPr>
          <w:sz w:val="32"/>
          <w:szCs w:val="32"/>
          <w:lang w:val="en-IN"/>
        </w:rPr>
      </w:pPr>
      <w:r w:rsidRPr="00566C44">
        <w:rPr>
          <w:sz w:val="32"/>
          <w:szCs w:val="32"/>
          <w:lang w:val="en-IN"/>
        </w:rPr>
        <w:t>Call Centre Managment (2000), Measuring People Performance, September/October.</w:t>
      </w:r>
      <w:r w:rsidRPr="00566C44">
        <w:rPr>
          <w:sz w:val="32"/>
          <w:szCs w:val="32"/>
        </w:rPr>
        <w:t xml:space="preserve"> </w:t>
      </w:r>
    </w:p>
    <w:p w:rsidR="00000000" w:rsidRPr="00566C44" w:rsidRDefault="009F74C0" w:rsidP="00566C44">
      <w:pPr>
        <w:pStyle w:val="BodyText"/>
        <w:numPr>
          <w:ilvl w:val="0"/>
          <w:numId w:val="42"/>
        </w:numPr>
        <w:rPr>
          <w:sz w:val="32"/>
          <w:szCs w:val="32"/>
          <w:lang w:val="en-IN"/>
        </w:rPr>
      </w:pPr>
      <w:r w:rsidRPr="00566C44">
        <w:rPr>
          <w:sz w:val="32"/>
          <w:szCs w:val="32"/>
          <w:lang w:val="en-IN"/>
        </w:rPr>
        <w:t xml:space="preserve">Feinberg, R.A., Kim, I.-S. and Hokama, L. (2000), “Operational determinants </w:t>
      </w:r>
      <w:r w:rsidRPr="00566C44">
        <w:rPr>
          <w:sz w:val="32"/>
          <w:szCs w:val="32"/>
          <w:lang w:val="en-IN"/>
        </w:rPr>
        <w:t xml:space="preserve">of caller satisfaction in the call center”, International Journal of Service Industry Management, Vol. 11 No. 2, pp. 131-41. </w:t>
      </w:r>
    </w:p>
    <w:p w:rsidR="00000000" w:rsidRPr="00566C44" w:rsidRDefault="009F74C0" w:rsidP="00566C44">
      <w:pPr>
        <w:pStyle w:val="BodyText"/>
        <w:numPr>
          <w:ilvl w:val="0"/>
          <w:numId w:val="42"/>
        </w:numPr>
        <w:rPr>
          <w:sz w:val="32"/>
          <w:szCs w:val="32"/>
          <w:lang w:val="en-IN"/>
        </w:rPr>
      </w:pPr>
      <w:r w:rsidRPr="00566C44">
        <w:rPr>
          <w:sz w:val="32"/>
          <w:szCs w:val="32"/>
          <w:lang w:val="en-IN"/>
        </w:rPr>
        <w:t>Frenkel, S. and Donoghue, L. (1996), Call Centres and Service Excellence, CCC Paper No. 066, Australian Graduate School of Manage</w:t>
      </w:r>
      <w:r w:rsidRPr="00566C44">
        <w:rPr>
          <w:sz w:val="32"/>
          <w:szCs w:val="32"/>
          <w:lang w:val="en-IN"/>
        </w:rPr>
        <w:t xml:space="preserve">ment, University of New South Wales, Sydney. </w:t>
      </w:r>
    </w:p>
    <w:p w:rsidR="00000000" w:rsidRPr="00566C44" w:rsidRDefault="009F74C0" w:rsidP="00566C44">
      <w:pPr>
        <w:pStyle w:val="BodyText"/>
        <w:numPr>
          <w:ilvl w:val="0"/>
          <w:numId w:val="42"/>
        </w:numPr>
        <w:rPr>
          <w:sz w:val="32"/>
          <w:szCs w:val="32"/>
          <w:lang w:val="en-IN"/>
        </w:rPr>
      </w:pPr>
      <w:r w:rsidRPr="00566C44">
        <w:rPr>
          <w:sz w:val="32"/>
          <w:szCs w:val="32"/>
          <w:lang w:val="en-IN"/>
        </w:rPr>
        <w:lastRenderedPageBreak/>
        <w:t xml:space="preserve">Gilmore, A. and Moreland, L. (2000), “Call centres: how can service quality be managed?”, Irish Marketing Review, Vol. 13 No. 1, pp. 3-11. </w:t>
      </w:r>
    </w:p>
    <w:p w:rsidR="00000000" w:rsidRPr="00566C44" w:rsidRDefault="009F74C0" w:rsidP="00566C44">
      <w:pPr>
        <w:pStyle w:val="BodyText"/>
        <w:numPr>
          <w:ilvl w:val="0"/>
          <w:numId w:val="42"/>
        </w:numPr>
        <w:rPr>
          <w:sz w:val="32"/>
          <w:szCs w:val="32"/>
          <w:lang w:val="en-IN"/>
        </w:rPr>
      </w:pPr>
      <w:r w:rsidRPr="00566C44">
        <w:rPr>
          <w:sz w:val="32"/>
          <w:szCs w:val="32"/>
          <w:lang w:val="en-IN"/>
        </w:rPr>
        <w:t>Hallis Contact Centre (2002), Turnover Report 2000-2001, Steven Hall</w:t>
      </w:r>
      <w:r w:rsidRPr="00566C44">
        <w:rPr>
          <w:sz w:val="32"/>
          <w:szCs w:val="32"/>
          <w:lang w:val="en-IN"/>
        </w:rPr>
        <w:t xml:space="preserve">is Personnel Services Pty Ltd, </w:t>
      </w:r>
    </w:p>
    <w:p w:rsidR="00000000" w:rsidRPr="00566C44" w:rsidRDefault="009F74C0" w:rsidP="00566C44">
      <w:pPr>
        <w:pStyle w:val="BodyText"/>
        <w:numPr>
          <w:ilvl w:val="0"/>
          <w:numId w:val="42"/>
        </w:numPr>
        <w:rPr>
          <w:sz w:val="32"/>
          <w:szCs w:val="32"/>
          <w:lang w:val="en-IN"/>
        </w:rPr>
      </w:pPr>
      <w:r w:rsidRPr="00566C44">
        <w:rPr>
          <w:sz w:val="32"/>
          <w:szCs w:val="32"/>
          <w:lang w:val="en-IN"/>
        </w:rPr>
        <w:t xml:space="preserve">South Melbourne. Kaplan, R.S. and Norton, D.P. (1996), The Balanced Scorecard, Harvard Business School Press, Boston, MA.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74C0" w:rsidRDefault="009F74C0" w:rsidP="003654DF">
      <w:pPr>
        <w:spacing w:after="0" w:line="240" w:lineRule="auto"/>
      </w:pPr>
      <w:r>
        <w:separator/>
      </w:r>
    </w:p>
  </w:endnote>
  <w:endnote w:type="continuationSeparator" w:id="1">
    <w:p w:rsidR="009F74C0" w:rsidRDefault="009F74C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74C0" w:rsidRDefault="009F74C0" w:rsidP="003654DF">
      <w:pPr>
        <w:spacing w:after="0" w:line="240" w:lineRule="auto"/>
      </w:pPr>
      <w:r>
        <w:separator/>
      </w:r>
    </w:p>
  </w:footnote>
  <w:footnote w:type="continuationSeparator" w:id="1">
    <w:p w:rsidR="009F74C0" w:rsidRDefault="009F74C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16C9">
        <w:pPr>
          <w:pStyle w:val="Header"/>
          <w:jc w:val="right"/>
        </w:pPr>
        <w:fldSimple w:instr=" PAGE   \* MERGEFORMAT ">
          <w:r w:rsidR="0077714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04437"/>
    <w:multiLevelType w:val="hybridMultilevel"/>
    <w:tmpl w:val="555AE1D6"/>
    <w:lvl w:ilvl="0" w:tplc="83B6764E">
      <w:start w:val="1"/>
      <w:numFmt w:val="bullet"/>
      <w:lvlText w:val=""/>
      <w:lvlJc w:val="left"/>
      <w:pPr>
        <w:tabs>
          <w:tab w:val="num" w:pos="720"/>
        </w:tabs>
        <w:ind w:left="720" w:hanging="360"/>
      </w:pPr>
      <w:rPr>
        <w:rFonts w:ascii="Wingdings 2" w:hAnsi="Wingdings 2" w:hint="default"/>
      </w:rPr>
    </w:lvl>
    <w:lvl w:ilvl="1" w:tplc="16A2C4FE" w:tentative="1">
      <w:start w:val="1"/>
      <w:numFmt w:val="bullet"/>
      <w:lvlText w:val=""/>
      <w:lvlJc w:val="left"/>
      <w:pPr>
        <w:tabs>
          <w:tab w:val="num" w:pos="1440"/>
        </w:tabs>
        <w:ind w:left="1440" w:hanging="360"/>
      </w:pPr>
      <w:rPr>
        <w:rFonts w:ascii="Wingdings 2" w:hAnsi="Wingdings 2" w:hint="default"/>
      </w:rPr>
    </w:lvl>
    <w:lvl w:ilvl="2" w:tplc="E3E45CC4" w:tentative="1">
      <w:start w:val="1"/>
      <w:numFmt w:val="bullet"/>
      <w:lvlText w:val=""/>
      <w:lvlJc w:val="left"/>
      <w:pPr>
        <w:tabs>
          <w:tab w:val="num" w:pos="2160"/>
        </w:tabs>
        <w:ind w:left="2160" w:hanging="360"/>
      </w:pPr>
      <w:rPr>
        <w:rFonts w:ascii="Wingdings 2" w:hAnsi="Wingdings 2" w:hint="default"/>
      </w:rPr>
    </w:lvl>
    <w:lvl w:ilvl="3" w:tplc="3788CF7C" w:tentative="1">
      <w:start w:val="1"/>
      <w:numFmt w:val="bullet"/>
      <w:lvlText w:val=""/>
      <w:lvlJc w:val="left"/>
      <w:pPr>
        <w:tabs>
          <w:tab w:val="num" w:pos="2880"/>
        </w:tabs>
        <w:ind w:left="2880" w:hanging="360"/>
      </w:pPr>
      <w:rPr>
        <w:rFonts w:ascii="Wingdings 2" w:hAnsi="Wingdings 2" w:hint="default"/>
      </w:rPr>
    </w:lvl>
    <w:lvl w:ilvl="4" w:tplc="531E2392" w:tentative="1">
      <w:start w:val="1"/>
      <w:numFmt w:val="bullet"/>
      <w:lvlText w:val=""/>
      <w:lvlJc w:val="left"/>
      <w:pPr>
        <w:tabs>
          <w:tab w:val="num" w:pos="3600"/>
        </w:tabs>
        <w:ind w:left="3600" w:hanging="360"/>
      </w:pPr>
      <w:rPr>
        <w:rFonts w:ascii="Wingdings 2" w:hAnsi="Wingdings 2" w:hint="default"/>
      </w:rPr>
    </w:lvl>
    <w:lvl w:ilvl="5" w:tplc="0DA4B9A0" w:tentative="1">
      <w:start w:val="1"/>
      <w:numFmt w:val="bullet"/>
      <w:lvlText w:val=""/>
      <w:lvlJc w:val="left"/>
      <w:pPr>
        <w:tabs>
          <w:tab w:val="num" w:pos="4320"/>
        </w:tabs>
        <w:ind w:left="4320" w:hanging="360"/>
      </w:pPr>
      <w:rPr>
        <w:rFonts w:ascii="Wingdings 2" w:hAnsi="Wingdings 2" w:hint="default"/>
      </w:rPr>
    </w:lvl>
    <w:lvl w:ilvl="6" w:tplc="B0EE25B2" w:tentative="1">
      <w:start w:val="1"/>
      <w:numFmt w:val="bullet"/>
      <w:lvlText w:val=""/>
      <w:lvlJc w:val="left"/>
      <w:pPr>
        <w:tabs>
          <w:tab w:val="num" w:pos="5040"/>
        </w:tabs>
        <w:ind w:left="5040" w:hanging="360"/>
      </w:pPr>
      <w:rPr>
        <w:rFonts w:ascii="Wingdings 2" w:hAnsi="Wingdings 2" w:hint="default"/>
      </w:rPr>
    </w:lvl>
    <w:lvl w:ilvl="7" w:tplc="A48C3802" w:tentative="1">
      <w:start w:val="1"/>
      <w:numFmt w:val="bullet"/>
      <w:lvlText w:val=""/>
      <w:lvlJc w:val="left"/>
      <w:pPr>
        <w:tabs>
          <w:tab w:val="num" w:pos="5760"/>
        </w:tabs>
        <w:ind w:left="5760" w:hanging="360"/>
      </w:pPr>
      <w:rPr>
        <w:rFonts w:ascii="Wingdings 2" w:hAnsi="Wingdings 2" w:hint="default"/>
      </w:rPr>
    </w:lvl>
    <w:lvl w:ilvl="8" w:tplc="ECB6C47C"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791A74"/>
    <w:multiLevelType w:val="hybridMultilevel"/>
    <w:tmpl w:val="35684F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8F095C"/>
    <w:multiLevelType w:val="hybridMultilevel"/>
    <w:tmpl w:val="755A8120"/>
    <w:lvl w:ilvl="0" w:tplc="28C0ADBC">
      <w:start w:val="1"/>
      <w:numFmt w:val="bullet"/>
      <w:lvlText w:val=""/>
      <w:lvlJc w:val="left"/>
      <w:pPr>
        <w:tabs>
          <w:tab w:val="num" w:pos="720"/>
        </w:tabs>
        <w:ind w:left="720" w:hanging="360"/>
      </w:pPr>
      <w:rPr>
        <w:rFonts w:ascii="Wingdings 2" w:hAnsi="Wingdings 2" w:hint="default"/>
      </w:rPr>
    </w:lvl>
    <w:lvl w:ilvl="1" w:tplc="8758C4F4" w:tentative="1">
      <w:start w:val="1"/>
      <w:numFmt w:val="bullet"/>
      <w:lvlText w:val=""/>
      <w:lvlJc w:val="left"/>
      <w:pPr>
        <w:tabs>
          <w:tab w:val="num" w:pos="1440"/>
        </w:tabs>
        <w:ind w:left="1440" w:hanging="360"/>
      </w:pPr>
      <w:rPr>
        <w:rFonts w:ascii="Wingdings 2" w:hAnsi="Wingdings 2" w:hint="default"/>
      </w:rPr>
    </w:lvl>
    <w:lvl w:ilvl="2" w:tplc="56D461BE" w:tentative="1">
      <w:start w:val="1"/>
      <w:numFmt w:val="bullet"/>
      <w:lvlText w:val=""/>
      <w:lvlJc w:val="left"/>
      <w:pPr>
        <w:tabs>
          <w:tab w:val="num" w:pos="2160"/>
        </w:tabs>
        <w:ind w:left="2160" w:hanging="360"/>
      </w:pPr>
      <w:rPr>
        <w:rFonts w:ascii="Wingdings 2" w:hAnsi="Wingdings 2" w:hint="default"/>
      </w:rPr>
    </w:lvl>
    <w:lvl w:ilvl="3" w:tplc="3A2867C2" w:tentative="1">
      <w:start w:val="1"/>
      <w:numFmt w:val="bullet"/>
      <w:lvlText w:val=""/>
      <w:lvlJc w:val="left"/>
      <w:pPr>
        <w:tabs>
          <w:tab w:val="num" w:pos="2880"/>
        </w:tabs>
        <w:ind w:left="2880" w:hanging="360"/>
      </w:pPr>
      <w:rPr>
        <w:rFonts w:ascii="Wingdings 2" w:hAnsi="Wingdings 2" w:hint="default"/>
      </w:rPr>
    </w:lvl>
    <w:lvl w:ilvl="4" w:tplc="0068D87E" w:tentative="1">
      <w:start w:val="1"/>
      <w:numFmt w:val="bullet"/>
      <w:lvlText w:val=""/>
      <w:lvlJc w:val="left"/>
      <w:pPr>
        <w:tabs>
          <w:tab w:val="num" w:pos="3600"/>
        </w:tabs>
        <w:ind w:left="3600" w:hanging="360"/>
      </w:pPr>
      <w:rPr>
        <w:rFonts w:ascii="Wingdings 2" w:hAnsi="Wingdings 2" w:hint="default"/>
      </w:rPr>
    </w:lvl>
    <w:lvl w:ilvl="5" w:tplc="DDD4ABE4" w:tentative="1">
      <w:start w:val="1"/>
      <w:numFmt w:val="bullet"/>
      <w:lvlText w:val=""/>
      <w:lvlJc w:val="left"/>
      <w:pPr>
        <w:tabs>
          <w:tab w:val="num" w:pos="4320"/>
        </w:tabs>
        <w:ind w:left="4320" w:hanging="360"/>
      </w:pPr>
      <w:rPr>
        <w:rFonts w:ascii="Wingdings 2" w:hAnsi="Wingdings 2" w:hint="default"/>
      </w:rPr>
    </w:lvl>
    <w:lvl w:ilvl="6" w:tplc="DE282ED6" w:tentative="1">
      <w:start w:val="1"/>
      <w:numFmt w:val="bullet"/>
      <w:lvlText w:val=""/>
      <w:lvlJc w:val="left"/>
      <w:pPr>
        <w:tabs>
          <w:tab w:val="num" w:pos="5040"/>
        </w:tabs>
        <w:ind w:left="5040" w:hanging="360"/>
      </w:pPr>
      <w:rPr>
        <w:rFonts w:ascii="Wingdings 2" w:hAnsi="Wingdings 2" w:hint="default"/>
      </w:rPr>
    </w:lvl>
    <w:lvl w:ilvl="7" w:tplc="49B8AE24" w:tentative="1">
      <w:start w:val="1"/>
      <w:numFmt w:val="bullet"/>
      <w:lvlText w:val=""/>
      <w:lvlJc w:val="left"/>
      <w:pPr>
        <w:tabs>
          <w:tab w:val="num" w:pos="5760"/>
        </w:tabs>
        <w:ind w:left="5760" w:hanging="360"/>
      </w:pPr>
      <w:rPr>
        <w:rFonts w:ascii="Wingdings 2" w:hAnsi="Wingdings 2" w:hint="default"/>
      </w:rPr>
    </w:lvl>
    <w:lvl w:ilvl="8" w:tplc="4A92123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EB48B5"/>
    <w:multiLevelType w:val="hybridMultilevel"/>
    <w:tmpl w:val="0BF864DE"/>
    <w:lvl w:ilvl="0" w:tplc="1F06979E">
      <w:start w:val="1"/>
      <w:numFmt w:val="bullet"/>
      <w:lvlText w:val=""/>
      <w:lvlJc w:val="left"/>
      <w:pPr>
        <w:tabs>
          <w:tab w:val="num" w:pos="720"/>
        </w:tabs>
        <w:ind w:left="720" w:hanging="360"/>
      </w:pPr>
      <w:rPr>
        <w:rFonts w:ascii="Wingdings 2" w:hAnsi="Wingdings 2" w:hint="default"/>
      </w:rPr>
    </w:lvl>
    <w:lvl w:ilvl="1" w:tplc="277E83FC" w:tentative="1">
      <w:start w:val="1"/>
      <w:numFmt w:val="bullet"/>
      <w:lvlText w:val=""/>
      <w:lvlJc w:val="left"/>
      <w:pPr>
        <w:tabs>
          <w:tab w:val="num" w:pos="1440"/>
        </w:tabs>
        <w:ind w:left="1440" w:hanging="360"/>
      </w:pPr>
      <w:rPr>
        <w:rFonts w:ascii="Wingdings 2" w:hAnsi="Wingdings 2" w:hint="default"/>
      </w:rPr>
    </w:lvl>
    <w:lvl w:ilvl="2" w:tplc="D38C312C" w:tentative="1">
      <w:start w:val="1"/>
      <w:numFmt w:val="bullet"/>
      <w:lvlText w:val=""/>
      <w:lvlJc w:val="left"/>
      <w:pPr>
        <w:tabs>
          <w:tab w:val="num" w:pos="2160"/>
        </w:tabs>
        <w:ind w:left="2160" w:hanging="360"/>
      </w:pPr>
      <w:rPr>
        <w:rFonts w:ascii="Wingdings 2" w:hAnsi="Wingdings 2" w:hint="default"/>
      </w:rPr>
    </w:lvl>
    <w:lvl w:ilvl="3" w:tplc="EA56636A" w:tentative="1">
      <w:start w:val="1"/>
      <w:numFmt w:val="bullet"/>
      <w:lvlText w:val=""/>
      <w:lvlJc w:val="left"/>
      <w:pPr>
        <w:tabs>
          <w:tab w:val="num" w:pos="2880"/>
        </w:tabs>
        <w:ind w:left="2880" w:hanging="360"/>
      </w:pPr>
      <w:rPr>
        <w:rFonts w:ascii="Wingdings 2" w:hAnsi="Wingdings 2" w:hint="default"/>
      </w:rPr>
    </w:lvl>
    <w:lvl w:ilvl="4" w:tplc="78B65C7C" w:tentative="1">
      <w:start w:val="1"/>
      <w:numFmt w:val="bullet"/>
      <w:lvlText w:val=""/>
      <w:lvlJc w:val="left"/>
      <w:pPr>
        <w:tabs>
          <w:tab w:val="num" w:pos="3600"/>
        </w:tabs>
        <w:ind w:left="3600" w:hanging="360"/>
      </w:pPr>
      <w:rPr>
        <w:rFonts w:ascii="Wingdings 2" w:hAnsi="Wingdings 2" w:hint="default"/>
      </w:rPr>
    </w:lvl>
    <w:lvl w:ilvl="5" w:tplc="6AB6543C" w:tentative="1">
      <w:start w:val="1"/>
      <w:numFmt w:val="bullet"/>
      <w:lvlText w:val=""/>
      <w:lvlJc w:val="left"/>
      <w:pPr>
        <w:tabs>
          <w:tab w:val="num" w:pos="4320"/>
        </w:tabs>
        <w:ind w:left="4320" w:hanging="360"/>
      </w:pPr>
      <w:rPr>
        <w:rFonts w:ascii="Wingdings 2" w:hAnsi="Wingdings 2" w:hint="default"/>
      </w:rPr>
    </w:lvl>
    <w:lvl w:ilvl="6" w:tplc="D36A3EFC" w:tentative="1">
      <w:start w:val="1"/>
      <w:numFmt w:val="bullet"/>
      <w:lvlText w:val=""/>
      <w:lvlJc w:val="left"/>
      <w:pPr>
        <w:tabs>
          <w:tab w:val="num" w:pos="5040"/>
        </w:tabs>
        <w:ind w:left="5040" w:hanging="360"/>
      </w:pPr>
      <w:rPr>
        <w:rFonts w:ascii="Wingdings 2" w:hAnsi="Wingdings 2" w:hint="default"/>
      </w:rPr>
    </w:lvl>
    <w:lvl w:ilvl="7" w:tplc="BC662A8E" w:tentative="1">
      <w:start w:val="1"/>
      <w:numFmt w:val="bullet"/>
      <w:lvlText w:val=""/>
      <w:lvlJc w:val="left"/>
      <w:pPr>
        <w:tabs>
          <w:tab w:val="num" w:pos="5760"/>
        </w:tabs>
        <w:ind w:left="5760" w:hanging="360"/>
      </w:pPr>
      <w:rPr>
        <w:rFonts w:ascii="Wingdings 2" w:hAnsi="Wingdings 2" w:hint="default"/>
      </w:rPr>
    </w:lvl>
    <w:lvl w:ilvl="8" w:tplc="02FCCE1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787E58"/>
    <w:multiLevelType w:val="hybridMultilevel"/>
    <w:tmpl w:val="838AA8B0"/>
    <w:lvl w:ilvl="0" w:tplc="E48A2668">
      <w:start w:val="1"/>
      <w:numFmt w:val="bullet"/>
      <w:lvlText w:val=""/>
      <w:lvlJc w:val="left"/>
      <w:pPr>
        <w:tabs>
          <w:tab w:val="num" w:pos="720"/>
        </w:tabs>
        <w:ind w:left="720" w:hanging="360"/>
      </w:pPr>
      <w:rPr>
        <w:rFonts w:ascii="Wingdings 2" w:hAnsi="Wingdings 2" w:hint="default"/>
      </w:rPr>
    </w:lvl>
    <w:lvl w:ilvl="1" w:tplc="CA084174" w:tentative="1">
      <w:start w:val="1"/>
      <w:numFmt w:val="bullet"/>
      <w:lvlText w:val=""/>
      <w:lvlJc w:val="left"/>
      <w:pPr>
        <w:tabs>
          <w:tab w:val="num" w:pos="1440"/>
        </w:tabs>
        <w:ind w:left="1440" w:hanging="360"/>
      </w:pPr>
      <w:rPr>
        <w:rFonts w:ascii="Wingdings 2" w:hAnsi="Wingdings 2" w:hint="default"/>
      </w:rPr>
    </w:lvl>
    <w:lvl w:ilvl="2" w:tplc="8CA2A25C" w:tentative="1">
      <w:start w:val="1"/>
      <w:numFmt w:val="bullet"/>
      <w:lvlText w:val=""/>
      <w:lvlJc w:val="left"/>
      <w:pPr>
        <w:tabs>
          <w:tab w:val="num" w:pos="2160"/>
        </w:tabs>
        <w:ind w:left="2160" w:hanging="360"/>
      </w:pPr>
      <w:rPr>
        <w:rFonts w:ascii="Wingdings 2" w:hAnsi="Wingdings 2" w:hint="default"/>
      </w:rPr>
    </w:lvl>
    <w:lvl w:ilvl="3" w:tplc="37B80A48" w:tentative="1">
      <w:start w:val="1"/>
      <w:numFmt w:val="bullet"/>
      <w:lvlText w:val=""/>
      <w:lvlJc w:val="left"/>
      <w:pPr>
        <w:tabs>
          <w:tab w:val="num" w:pos="2880"/>
        </w:tabs>
        <w:ind w:left="2880" w:hanging="360"/>
      </w:pPr>
      <w:rPr>
        <w:rFonts w:ascii="Wingdings 2" w:hAnsi="Wingdings 2" w:hint="default"/>
      </w:rPr>
    </w:lvl>
    <w:lvl w:ilvl="4" w:tplc="D85821FC" w:tentative="1">
      <w:start w:val="1"/>
      <w:numFmt w:val="bullet"/>
      <w:lvlText w:val=""/>
      <w:lvlJc w:val="left"/>
      <w:pPr>
        <w:tabs>
          <w:tab w:val="num" w:pos="3600"/>
        </w:tabs>
        <w:ind w:left="3600" w:hanging="360"/>
      </w:pPr>
      <w:rPr>
        <w:rFonts w:ascii="Wingdings 2" w:hAnsi="Wingdings 2" w:hint="default"/>
      </w:rPr>
    </w:lvl>
    <w:lvl w:ilvl="5" w:tplc="31AE4302" w:tentative="1">
      <w:start w:val="1"/>
      <w:numFmt w:val="bullet"/>
      <w:lvlText w:val=""/>
      <w:lvlJc w:val="left"/>
      <w:pPr>
        <w:tabs>
          <w:tab w:val="num" w:pos="4320"/>
        </w:tabs>
        <w:ind w:left="4320" w:hanging="360"/>
      </w:pPr>
      <w:rPr>
        <w:rFonts w:ascii="Wingdings 2" w:hAnsi="Wingdings 2" w:hint="default"/>
      </w:rPr>
    </w:lvl>
    <w:lvl w:ilvl="6" w:tplc="FF2A95CC" w:tentative="1">
      <w:start w:val="1"/>
      <w:numFmt w:val="bullet"/>
      <w:lvlText w:val=""/>
      <w:lvlJc w:val="left"/>
      <w:pPr>
        <w:tabs>
          <w:tab w:val="num" w:pos="5040"/>
        </w:tabs>
        <w:ind w:left="5040" w:hanging="360"/>
      </w:pPr>
      <w:rPr>
        <w:rFonts w:ascii="Wingdings 2" w:hAnsi="Wingdings 2" w:hint="default"/>
      </w:rPr>
    </w:lvl>
    <w:lvl w:ilvl="7" w:tplc="2500DC18" w:tentative="1">
      <w:start w:val="1"/>
      <w:numFmt w:val="bullet"/>
      <w:lvlText w:val=""/>
      <w:lvlJc w:val="left"/>
      <w:pPr>
        <w:tabs>
          <w:tab w:val="num" w:pos="5760"/>
        </w:tabs>
        <w:ind w:left="5760" w:hanging="360"/>
      </w:pPr>
      <w:rPr>
        <w:rFonts w:ascii="Wingdings 2" w:hAnsi="Wingdings 2" w:hint="default"/>
      </w:rPr>
    </w:lvl>
    <w:lvl w:ilvl="8" w:tplc="2494990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4C3925"/>
    <w:multiLevelType w:val="hybridMultilevel"/>
    <w:tmpl w:val="2090923C"/>
    <w:lvl w:ilvl="0" w:tplc="93886AEE">
      <w:start w:val="1"/>
      <w:numFmt w:val="bullet"/>
      <w:lvlText w:val=""/>
      <w:lvlJc w:val="left"/>
      <w:pPr>
        <w:tabs>
          <w:tab w:val="num" w:pos="720"/>
        </w:tabs>
        <w:ind w:left="720" w:hanging="360"/>
      </w:pPr>
      <w:rPr>
        <w:rFonts w:ascii="Wingdings 2" w:hAnsi="Wingdings 2" w:hint="default"/>
      </w:rPr>
    </w:lvl>
    <w:lvl w:ilvl="1" w:tplc="9F1A1914" w:tentative="1">
      <w:start w:val="1"/>
      <w:numFmt w:val="bullet"/>
      <w:lvlText w:val=""/>
      <w:lvlJc w:val="left"/>
      <w:pPr>
        <w:tabs>
          <w:tab w:val="num" w:pos="1440"/>
        </w:tabs>
        <w:ind w:left="1440" w:hanging="360"/>
      </w:pPr>
      <w:rPr>
        <w:rFonts w:ascii="Wingdings 2" w:hAnsi="Wingdings 2" w:hint="default"/>
      </w:rPr>
    </w:lvl>
    <w:lvl w:ilvl="2" w:tplc="7534D7B2" w:tentative="1">
      <w:start w:val="1"/>
      <w:numFmt w:val="bullet"/>
      <w:lvlText w:val=""/>
      <w:lvlJc w:val="left"/>
      <w:pPr>
        <w:tabs>
          <w:tab w:val="num" w:pos="2160"/>
        </w:tabs>
        <w:ind w:left="2160" w:hanging="360"/>
      </w:pPr>
      <w:rPr>
        <w:rFonts w:ascii="Wingdings 2" w:hAnsi="Wingdings 2" w:hint="default"/>
      </w:rPr>
    </w:lvl>
    <w:lvl w:ilvl="3" w:tplc="880CA0D0" w:tentative="1">
      <w:start w:val="1"/>
      <w:numFmt w:val="bullet"/>
      <w:lvlText w:val=""/>
      <w:lvlJc w:val="left"/>
      <w:pPr>
        <w:tabs>
          <w:tab w:val="num" w:pos="2880"/>
        </w:tabs>
        <w:ind w:left="2880" w:hanging="360"/>
      </w:pPr>
      <w:rPr>
        <w:rFonts w:ascii="Wingdings 2" w:hAnsi="Wingdings 2" w:hint="default"/>
      </w:rPr>
    </w:lvl>
    <w:lvl w:ilvl="4" w:tplc="BCFCBAF0" w:tentative="1">
      <w:start w:val="1"/>
      <w:numFmt w:val="bullet"/>
      <w:lvlText w:val=""/>
      <w:lvlJc w:val="left"/>
      <w:pPr>
        <w:tabs>
          <w:tab w:val="num" w:pos="3600"/>
        </w:tabs>
        <w:ind w:left="3600" w:hanging="360"/>
      </w:pPr>
      <w:rPr>
        <w:rFonts w:ascii="Wingdings 2" w:hAnsi="Wingdings 2" w:hint="default"/>
      </w:rPr>
    </w:lvl>
    <w:lvl w:ilvl="5" w:tplc="14F8F61A" w:tentative="1">
      <w:start w:val="1"/>
      <w:numFmt w:val="bullet"/>
      <w:lvlText w:val=""/>
      <w:lvlJc w:val="left"/>
      <w:pPr>
        <w:tabs>
          <w:tab w:val="num" w:pos="4320"/>
        </w:tabs>
        <w:ind w:left="4320" w:hanging="360"/>
      </w:pPr>
      <w:rPr>
        <w:rFonts w:ascii="Wingdings 2" w:hAnsi="Wingdings 2" w:hint="default"/>
      </w:rPr>
    </w:lvl>
    <w:lvl w:ilvl="6" w:tplc="D21E87F8" w:tentative="1">
      <w:start w:val="1"/>
      <w:numFmt w:val="bullet"/>
      <w:lvlText w:val=""/>
      <w:lvlJc w:val="left"/>
      <w:pPr>
        <w:tabs>
          <w:tab w:val="num" w:pos="5040"/>
        </w:tabs>
        <w:ind w:left="5040" w:hanging="360"/>
      </w:pPr>
      <w:rPr>
        <w:rFonts w:ascii="Wingdings 2" w:hAnsi="Wingdings 2" w:hint="default"/>
      </w:rPr>
    </w:lvl>
    <w:lvl w:ilvl="7" w:tplc="BB9C04A8" w:tentative="1">
      <w:start w:val="1"/>
      <w:numFmt w:val="bullet"/>
      <w:lvlText w:val=""/>
      <w:lvlJc w:val="left"/>
      <w:pPr>
        <w:tabs>
          <w:tab w:val="num" w:pos="5760"/>
        </w:tabs>
        <w:ind w:left="5760" w:hanging="360"/>
      </w:pPr>
      <w:rPr>
        <w:rFonts w:ascii="Wingdings 2" w:hAnsi="Wingdings 2" w:hint="default"/>
      </w:rPr>
    </w:lvl>
    <w:lvl w:ilvl="8" w:tplc="0DE42C6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1"/>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
  </w:num>
  <w:num w:numId="43">
    <w:abstractNumId w:val="35"/>
  </w:num>
  <w:num w:numId="44">
    <w:abstractNumId w:val="40"/>
  </w:num>
  <w:num w:numId="45">
    <w:abstractNumId w:val="44"/>
  </w:num>
  <w:num w:numId="46">
    <w:abstractNumId w:val="5"/>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3B"/>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766"/>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C44"/>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B8C"/>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142"/>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944"/>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4C0"/>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A90"/>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5CE"/>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E93"/>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6C9"/>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22E6"/>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1326682">
      <w:bodyDiv w:val="1"/>
      <w:marLeft w:val="0"/>
      <w:marRight w:val="0"/>
      <w:marTop w:val="0"/>
      <w:marBottom w:val="0"/>
      <w:divBdr>
        <w:top w:val="none" w:sz="0" w:space="0" w:color="auto"/>
        <w:left w:val="none" w:sz="0" w:space="0" w:color="auto"/>
        <w:bottom w:val="none" w:sz="0" w:space="0" w:color="auto"/>
        <w:right w:val="none" w:sz="0" w:space="0" w:color="auto"/>
      </w:divBdr>
      <w:divsChild>
        <w:div w:id="1797019723">
          <w:marLeft w:val="576"/>
          <w:marRight w:val="0"/>
          <w:marTop w:val="120"/>
          <w:marBottom w:val="0"/>
          <w:divBdr>
            <w:top w:val="none" w:sz="0" w:space="0" w:color="auto"/>
            <w:left w:val="none" w:sz="0" w:space="0" w:color="auto"/>
            <w:bottom w:val="none" w:sz="0" w:space="0" w:color="auto"/>
            <w:right w:val="none" w:sz="0" w:space="0" w:color="auto"/>
          </w:divBdr>
        </w:div>
        <w:div w:id="1723401662">
          <w:marLeft w:val="576"/>
          <w:marRight w:val="0"/>
          <w:marTop w:val="120"/>
          <w:marBottom w:val="0"/>
          <w:divBdr>
            <w:top w:val="none" w:sz="0" w:space="0" w:color="auto"/>
            <w:left w:val="none" w:sz="0" w:space="0" w:color="auto"/>
            <w:bottom w:val="none" w:sz="0" w:space="0" w:color="auto"/>
            <w:right w:val="none" w:sz="0" w:space="0" w:color="auto"/>
          </w:divBdr>
        </w:div>
        <w:div w:id="1423649574">
          <w:marLeft w:val="576"/>
          <w:marRight w:val="0"/>
          <w:marTop w:val="120"/>
          <w:marBottom w:val="0"/>
          <w:divBdr>
            <w:top w:val="none" w:sz="0" w:space="0" w:color="auto"/>
            <w:left w:val="none" w:sz="0" w:space="0" w:color="auto"/>
            <w:bottom w:val="none" w:sz="0" w:space="0" w:color="auto"/>
            <w:right w:val="none" w:sz="0" w:space="0" w:color="auto"/>
          </w:divBdr>
        </w:div>
        <w:div w:id="1527407206">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874560">
      <w:bodyDiv w:val="1"/>
      <w:marLeft w:val="0"/>
      <w:marRight w:val="0"/>
      <w:marTop w:val="0"/>
      <w:marBottom w:val="0"/>
      <w:divBdr>
        <w:top w:val="none" w:sz="0" w:space="0" w:color="auto"/>
        <w:left w:val="none" w:sz="0" w:space="0" w:color="auto"/>
        <w:bottom w:val="none" w:sz="0" w:space="0" w:color="auto"/>
        <w:right w:val="none" w:sz="0" w:space="0" w:color="auto"/>
      </w:divBdr>
      <w:divsChild>
        <w:div w:id="1992059292">
          <w:marLeft w:val="576"/>
          <w:marRight w:val="0"/>
          <w:marTop w:val="120"/>
          <w:marBottom w:val="0"/>
          <w:divBdr>
            <w:top w:val="none" w:sz="0" w:space="0" w:color="auto"/>
            <w:left w:val="none" w:sz="0" w:space="0" w:color="auto"/>
            <w:bottom w:val="none" w:sz="0" w:space="0" w:color="auto"/>
            <w:right w:val="none" w:sz="0" w:space="0" w:color="auto"/>
          </w:divBdr>
        </w:div>
        <w:div w:id="465785003">
          <w:marLeft w:val="576"/>
          <w:marRight w:val="0"/>
          <w:marTop w:val="120"/>
          <w:marBottom w:val="0"/>
          <w:divBdr>
            <w:top w:val="none" w:sz="0" w:space="0" w:color="auto"/>
            <w:left w:val="none" w:sz="0" w:space="0" w:color="auto"/>
            <w:bottom w:val="none" w:sz="0" w:space="0" w:color="auto"/>
            <w:right w:val="none" w:sz="0" w:space="0" w:color="auto"/>
          </w:divBdr>
        </w:div>
        <w:div w:id="1626232867">
          <w:marLeft w:val="576"/>
          <w:marRight w:val="0"/>
          <w:marTop w:val="120"/>
          <w:marBottom w:val="0"/>
          <w:divBdr>
            <w:top w:val="none" w:sz="0" w:space="0" w:color="auto"/>
            <w:left w:val="none" w:sz="0" w:space="0" w:color="auto"/>
            <w:bottom w:val="none" w:sz="0" w:space="0" w:color="auto"/>
            <w:right w:val="none" w:sz="0" w:space="0" w:color="auto"/>
          </w:divBdr>
        </w:div>
        <w:div w:id="1559172279">
          <w:marLeft w:val="576"/>
          <w:marRight w:val="0"/>
          <w:marTop w:val="120"/>
          <w:marBottom w:val="0"/>
          <w:divBdr>
            <w:top w:val="none" w:sz="0" w:space="0" w:color="auto"/>
            <w:left w:val="none" w:sz="0" w:space="0" w:color="auto"/>
            <w:bottom w:val="none" w:sz="0" w:space="0" w:color="auto"/>
            <w:right w:val="none" w:sz="0" w:space="0" w:color="auto"/>
          </w:divBdr>
        </w:div>
        <w:div w:id="110954379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9296445">
      <w:bodyDiv w:val="1"/>
      <w:marLeft w:val="0"/>
      <w:marRight w:val="0"/>
      <w:marTop w:val="0"/>
      <w:marBottom w:val="0"/>
      <w:divBdr>
        <w:top w:val="none" w:sz="0" w:space="0" w:color="auto"/>
        <w:left w:val="none" w:sz="0" w:space="0" w:color="auto"/>
        <w:bottom w:val="none" w:sz="0" w:space="0" w:color="auto"/>
        <w:right w:val="none" w:sz="0" w:space="0" w:color="auto"/>
      </w:divBdr>
      <w:divsChild>
        <w:div w:id="685593947">
          <w:marLeft w:val="576"/>
          <w:marRight w:val="0"/>
          <w:marTop w:val="120"/>
          <w:marBottom w:val="0"/>
          <w:divBdr>
            <w:top w:val="none" w:sz="0" w:space="0" w:color="auto"/>
            <w:left w:val="none" w:sz="0" w:space="0" w:color="auto"/>
            <w:bottom w:val="none" w:sz="0" w:space="0" w:color="auto"/>
            <w:right w:val="none" w:sz="0" w:space="0" w:color="auto"/>
          </w:divBdr>
        </w:div>
        <w:div w:id="326712663">
          <w:marLeft w:val="576"/>
          <w:marRight w:val="0"/>
          <w:marTop w:val="120"/>
          <w:marBottom w:val="0"/>
          <w:divBdr>
            <w:top w:val="none" w:sz="0" w:space="0" w:color="auto"/>
            <w:left w:val="none" w:sz="0" w:space="0" w:color="auto"/>
            <w:bottom w:val="none" w:sz="0" w:space="0" w:color="auto"/>
            <w:right w:val="none" w:sz="0" w:space="0" w:color="auto"/>
          </w:divBdr>
        </w:div>
        <w:div w:id="1359550029">
          <w:marLeft w:val="576"/>
          <w:marRight w:val="0"/>
          <w:marTop w:val="120"/>
          <w:marBottom w:val="0"/>
          <w:divBdr>
            <w:top w:val="none" w:sz="0" w:space="0" w:color="auto"/>
            <w:left w:val="none" w:sz="0" w:space="0" w:color="auto"/>
            <w:bottom w:val="none" w:sz="0" w:space="0" w:color="auto"/>
            <w:right w:val="none" w:sz="0" w:space="0" w:color="auto"/>
          </w:divBdr>
        </w:div>
        <w:div w:id="502821189">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4028215">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7459649">
      <w:bodyDiv w:val="1"/>
      <w:marLeft w:val="0"/>
      <w:marRight w:val="0"/>
      <w:marTop w:val="0"/>
      <w:marBottom w:val="0"/>
      <w:divBdr>
        <w:top w:val="none" w:sz="0" w:space="0" w:color="auto"/>
        <w:left w:val="none" w:sz="0" w:space="0" w:color="auto"/>
        <w:bottom w:val="none" w:sz="0" w:space="0" w:color="auto"/>
        <w:right w:val="none" w:sz="0" w:space="0" w:color="auto"/>
      </w:divBdr>
      <w:divsChild>
        <w:div w:id="896476787">
          <w:marLeft w:val="576"/>
          <w:marRight w:val="0"/>
          <w:marTop w:val="120"/>
          <w:marBottom w:val="0"/>
          <w:divBdr>
            <w:top w:val="none" w:sz="0" w:space="0" w:color="auto"/>
            <w:left w:val="none" w:sz="0" w:space="0" w:color="auto"/>
            <w:bottom w:val="none" w:sz="0" w:space="0" w:color="auto"/>
            <w:right w:val="none" w:sz="0" w:space="0" w:color="auto"/>
          </w:divBdr>
        </w:div>
        <w:div w:id="802163164">
          <w:marLeft w:val="576"/>
          <w:marRight w:val="0"/>
          <w:marTop w:val="120"/>
          <w:marBottom w:val="0"/>
          <w:divBdr>
            <w:top w:val="none" w:sz="0" w:space="0" w:color="auto"/>
            <w:left w:val="none" w:sz="0" w:space="0" w:color="auto"/>
            <w:bottom w:val="none" w:sz="0" w:space="0" w:color="auto"/>
            <w:right w:val="none" w:sz="0" w:space="0" w:color="auto"/>
          </w:divBdr>
        </w:div>
        <w:div w:id="956837274">
          <w:marLeft w:val="576"/>
          <w:marRight w:val="0"/>
          <w:marTop w:val="120"/>
          <w:marBottom w:val="0"/>
          <w:divBdr>
            <w:top w:val="none" w:sz="0" w:space="0" w:color="auto"/>
            <w:left w:val="none" w:sz="0" w:space="0" w:color="auto"/>
            <w:bottom w:val="none" w:sz="0" w:space="0" w:color="auto"/>
            <w:right w:val="none" w:sz="0" w:space="0" w:color="auto"/>
          </w:divBdr>
        </w:div>
        <w:div w:id="329219351">
          <w:marLeft w:val="576"/>
          <w:marRight w:val="0"/>
          <w:marTop w:val="120"/>
          <w:marBottom w:val="0"/>
          <w:divBdr>
            <w:top w:val="none" w:sz="0" w:space="0" w:color="auto"/>
            <w:left w:val="none" w:sz="0" w:space="0" w:color="auto"/>
            <w:bottom w:val="none" w:sz="0" w:space="0" w:color="auto"/>
            <w:right w:val="none" w:sz="0" w:space="0" w:color="auto"/>
          </w:divBdr>
        </w:div>
        <w:div w:id="200816508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7606545">
      <w:bodyDiv w:val="1"/>
      <w:marLeft w:val="0"/>
      <w:marRight w:val="0"/>
      <w:marTop w:val="0"/>
      <w:marBottom w:val="0"/>
      <w:divBdr>
        <w:top w:val="none" w:sz="0" w:space="0" w:color="auto"/>
        <w:left w:val="none" w:sz="0" w:space="0" w:color="auto"/>
        <w:bottom w:val="none" w:sz="0" w:space="0" w:color="auto"/>
        <w:right w:val="none" w:sz="0" w:space="0" w:color="auto"/>
      </w:divBdr>
      <w:divsChild>
        <w:div w:id="172846142">
          <w:marLeft w:val="576"/>
          <w:marRight w:val="0"/>
          <w:marTop w:val="120"/>
          <w:marBottom w:val="0"/>
          <w:divBdr>
            <w:top w:val="none" w:sz="0" w:space="0" w:color="auto"/>
            <w:left w:val="none" w:sz="0" w:space="0" w:color="auto"/>
            <w:bottom w:val="none" w:sz="0" w:space="0" w:color="auto"/>
            <w:right w:val="none" w:sz="0" w:space="0" w:color="auto"/>
          </w:divBdr>
        </w:div>
        <w:div w:id="741947594">
          <w:marLeft w:val="576"/>
          <w:marRight w:val="0"/>
          <w:marTop w:val="120"/>
          <w:marBottom w:val="0"/>
          <w:divBdr>
            <w:top w:val="none" w:sz="0" w:space="0" w:color="auto"/>
            <w:left w:val="none" w:sz="0" w:space="0" w:color="auto"/>
            <w:bottom w:val="none" w:sz="0" w:space="0" w:color="auto"/>
            <w:right w:val="none" w:sz="0" w:space="0" w:color="auto"/>
          </w:divBdr>
        </w:div>
        <w:div w:id="875001684">
          <w:marLeft w:val="576"/>
          <w:marRight w:val="0"/>
          <w:marTop w:val="120"/>
          <w:marBottom w:val="0"/>
          <w:divBdr>
            <w:top w:val="none" w:sz="0" w:space="0" w:color="auto"/>
            <w:left w:val="none" w:sz="0" w:space="0" w:color="auto"/>
            <w:bottom w:val="none" w:sz="0" w:space="0" w:color="auto"/>
            <w:right w:val="none" w:sz="0" w:space="0" w:color="auto"/>
          </w:divBdr>
        </w:div>
        <w:div w:id="1811167504">
          <w:marLeft w:val="576"/>
          <w:marRight w:val="0"/>
          <w:marTop w:val="120"/>
          <w:marBottom w:val="0"/>
          <w:divBdr>
            <w:top w:val="none" w:sz="0" w:space="0" w:color="auto"/>
            <w:left w:val="none" w:sz="0" w:space="0" w:color="auto"/>
            <w:bottom w:val="none" w:sz="0" w:space="0" w:color="auto"/>
            <w:right w:val="none" w:sz="0" w:space="0" w:color="auto"/>
          </w:divBdr>
        </w:div>
        <w:div w:id="115005115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757672">
      <w:bodyDiv w:val="1"/>
      <w:marLeft w:val="0"/>
      <w:marRight w:val="0"/>
      <w:marTop w:val="0"/>
      <w:marBottom w:val="0"/>
      <w:divBdr>
        <w:top w:val="none" w:sz="0" w:space="0" w:color="auto"/>
        <w:left w:val="none" w:sz="0" w:space="0" w:color="auto"/>
        <w:bottom w:val="none" w:sz="0" w:space="0" w:color="auto"/>
        <w:right w:val="none" w:sz="0" w:space="0" w:color="auto"/>
      </w:divBdr>
      <w:divsChild>
        <w:div w:id="1505509324">
          <w:marLeft w:val="576"/>
          <w:marRight w:val="0"/>
          <w:marTop w:val="120"/>
          <w:marBottom w:val="0"/>
          <w:divBdr>
            <w:top w:val="none" w:sz="0" w:space="0" w:color="auto"/>
            <w:left w:val="none" w:sz="0" w:space="0" w:color="auto"/>
            <w:bottom w:val="none" w:sz="0" w:space="0" w:color="auto"/>
            <w:right w:val="none" w:sz="0" w:space="0" w:color="auto"/>
          </w:divBdr>
        </w:div>
        <w:div w:id="283925335">
          <w:marLeft w:val="576"/>
          <w:marRight w:val="0"/>
          <w:marTop w:val="120"/>
          <w:marBottom w:val="0"/>
          <w:divBdr>
            <w:top w:val="none" w:sz="0" w:space="0" w:color="auto"/>
            <w:left w:val="none" w:sz="0" w:space="0" w:color="auto"/>
            <w:bottom w:val="none" w:sz="0" w:space="0" w:color="auto"/>
            <w:right w:val="none" w:sz="0" w:space="0" w:color="auto"/>
          </w:divBdr>
        </w:div>
        <w:div w:id="1081560910">
          <w:marLeft w:val="576"/>
          <w:marRight w:val="0"/>
          <w:marTop w:val="120"/>
          <w:marBottom w:val="0"/>
          <w:divBdr>
            <w:top w:val="none" w:sz="0" w:space="0" w:color="auto"/>
            <w:left w:val="none" w:sz="0" w:space="0" w:color="auto"/>
            <w:bottom w:val="none" w:sz="0" w:space="0" w:color="auto"/>
            <w:right w:val="none" w:sz="0" w:space="0" w:color="auto"/>
          </w:divBdr>
        </w:div>
        <w:div w:id="329066468">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1153610">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2021-09-17T15:11:00Z</dcterms:modified>
</cp:coreProperties>
</file>