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3746D" w:rsidRDefault="0003746D" w:rsidP="0003746D">
      <w:pPr>
        <w:spacing w:line="360" w:lineRule="auto"/>
        <w:jc w:val="center"/>
        <w:rPr>
          <w:rFonts w:ascii="Times New Roman" w:hAnsi="Times New Roman" w:cs="Times New Roman"/>
          <w:b/>
          <w:sz w:val="52"/>
          <w:szCs w:val="52"/>
        </w:rPr>
      </w:pPr>
      <w:r w:rsidRPr="0003746D">
        <w:rPr>
          <w:rFonts w:ascii="Times New Roman" w:hAnsi="Times New Roman" w:cs="Times New Roman"/>
          <w:b/>
          <w:sz w:val="52"/>
          <w:szCs w:val="52"/>
        </w:rPr>
        <w:t>Multihop Trust Evaluation using Memory integrity in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3746D" w:rsidRDefault="0003746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33898" w:rsidRPr="00033898" w:rsidRDefault="00033898" w:rsidP="0003389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33898">
        <w:rPr>
          <w:rFonts w:ascii="Times New Roman" w:eastAsia="Times New Roman" w:hAnsi="Times New Roman" w:cs="Times New Roman"/>
          <w:color w:val="333333"/>
          <w:sz w:val="32"/>
          <w:szCs w:val="32"/>
          <w:lang w:val="en-IN" w:eastAsia="en-IN" w:bidi="ta-IN"/>
        </w:rPr>
        <w:t>Research efforts in trust evaluation has evolved to provide security in Wireless Sensor Networks (WSNs), while being dependent on external parameters and network topology. Existing node</w:t>
      </w:r>
      <w:r>
        <w:rPr>
          <w:rFonts w:ascii="Times New Roman" w:eastAsia="Times New Roman" w:hAnsi="Times New Roman" w:cs="Times New Roman"/>
          <w:color w:val="333333"/>
          <w:sz w:val="32"/>
          <w:szCs w:val="32"/>
          <w:lang w:val="en-IN" w:eastAsia="en-IN" w:bidi="ta-IN"/>
        </w:rPr>
        <w:t xml:space="preserve"> level trust evaluation in WSNs </w:t>
      </w:r>
      <w:r w:rsidRPr="00033898">
        <w:rPr>
          <w:rFonts w:ascii="Times New Roman" w:eastAsia="Times New Roman" w:hAnsi="Times New Roman" w:cs="Times New Roman"/>
          <w:color w:val="333333"/>
          <w:sz w:val="32"/>
          <w:szCs w:val="32"/>
          <w:lang w:val="en-IN" w:eastAsia="en-IN" w:bidi="ta-IN"/>
        </w:rPr>
        <w:t>evaluate trust over 1-hop assuring trustworthiness of an immediate node. This paper proposes trust evaluation using the intrinsic property of a node memory over a multihop scenario which also evaluates the route. The work proposes a multihop trust evaluation protocol using TEAM and TEAP algorithms. Two proposed trust evaluation models each are proposed using normative and empirical methods in multihop algorithms. The proposed methodology establishes a trusted destination node along with trusted nodes in the route. The efficacy of the proposed work and its implementation is demonstrated using extensive experiments and the results illustrate consistency and resilience against node memory tampering.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033898" w:rsidP="0003389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7426C" w:rsidRDefault="003147EF" w:rsidP="00B742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426C">
        <w:rPr>
          <w:rFonts w:ascii="Times New Roman" w:hAnsi="Times New Roman" w:cs="Times New Roman"/>
          <w:sz w:val="32"/>
          <w:szCs w:val="32"/>
          <w:lang w:val="en-IN"/>
        </w:rPr>
        <w:t>WSNs are a collection of self-organised sensor nodes that form a temporary network. Neither pre-defined network infrastructure nor centralised network administration exists.</w:t>
      </w:r>
    </w:p>
    <w:p w:rsidR="00000000" w:rsidRPr="00B7426C" w:rsidRDefault="003147EF" w:rsidP="00B742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426C">
        <w:rPr>
          <w:rFonts w:ascii="Times New Roman" w:hAnsi="Times New Roman" w:cs="Times New Roman"/>
          <w:sz w:val="32"/>
          <w:szCs w:val="32"/>
          <w:lang w:val="en-IN"/>
        </w:rPr>
        <w:t>This is because wireless networks have a significantly lower data transm</w:t>
      </w:r>
      <w:r w:rsidRPr="00B7426C">
        <w:rPr>
          <w:rFonts w:ascii="Times New Roman" w:hAnsi="Times New Roman" w:cs="Times New Roman"/>
          <w:sz w:val="32"/>
          <w:szCs w:val="32"/>
          <w:lang w:val="en-IN"/>
        </w:rPr>
        <w:t>ission capacity compared to fixed-line data networks.</w:t>
      </w:r>
    </w:p>
    <w:p w:rsidR="00000000" w:rsidRPr="00B7426C" w:rsidRDefault="003147EF" w:rsidP="00B742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426C">
        <w:rPr>
          <w:rFonts w:ascii="Times New Roman" w:hAnsi="Times New Roman" w:cs="Times New Roman"/>
          <w:sz w:val="32"/>
          <w:szCs w:val="32"/>
          <w:lang w:val="en-IN"/>
        </w:rPr>
        <w:t>In the following section a brief survey, introducing only the methodology used to formulate trust and how is it being updated, of existing research on trust in WSNs is presented in order to easily unde</w:t>
      </w:r>
      <w:r w:rsidRPr="00B7426C">
        <w:rPr>
          <w:rFonts w:ascii="Times New Roman" w:hAnsi="Times New Roman" w:cs="Times New Roman"/>
          <w:sz w:val="32"/>
          <w:szCs w:val="32"/>
          <w:lang w:val="en-IN"/>
        </w:rPr>
        <w:t xml:space="preserve">rstand the concept of trust. </w:t>
      </w:r>
    </w:p>
    <w:p w:rsidR="00000000" w:rsidRPr="00B7426C" w:rsidRDefault="003147EF" w:rsidP="00B742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426C">
        <w:rPr>
          <w:rFonts w:ascii="Times New Roman" w:hAnsi="Times New Roman" w:cs="Times New Roman"/>
          <w:sz w:val="32"/>
          <w:szCs w:val="32"/>
          <w:lang w:val="en-IN"/>
        </w:rPr>
        <w:t xml:space="preserve">The low cost of the sensor nodes of a WSN prohibits sophisticated measures to ensure data authentication.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7426C" w:rsidRDefault="003147EF" w:rsidP="00B7426C">
      <w:pPr>
        <w:numPr>
          <w:ilvl w:val="0"/>
          <w:numId w:val="45"/>
        </w:numPr>
        <w:spacing w:line="360" w:lineRule="auto"/>
        <w:jc w:val="both"/>
        <w:rPr>
          <w:rFonts w:ascii="Times New Roman" w:hAnsi="Times New Roman" w:cs="Times New Roman"/>
          <w:bCs/>
          <w:sz w:val="32"/>
          <w:szCs w:val="32"/>
          <w:lang w:val="en-IN"/>
        </w:rPr>
      </w:pPr>
      <w:r w:rsidRPr="00B7426C">
        <w:rPr>
          <w:rFonts w:ascii="Times New Roman" w:hAnsi="Times New Roman" w:cs="Times New Roman"/>
          <w:bCs/>
          <w:sz w:val="32"/>
          <w:szCs w:val="32"/>
          <w:lang w:val="en-IN"/>
        </w:rPr>
        <w:t xml:space="preserve">The research on trust management technology in WSNs is a challenging direction. How </w:t>
      </w:r>
      <w:r w:rsidRPr="00B7426C">
        <w:rPr>
          <w:rFonts w:ascii="Times New Roman" w:hAnsi="Times New Roman" w:cs="Times New Roman"/>
          <w:bCs/>
          <w:sz w:val="32"/>
          <w:szCs w:val="32"/>
          <w:lang w:val="en-IN"/>
        </w:rPr>
        <w:t>to construct a trust model is a key issue.</w:t>
      </w:r>
    </w:p>
    <w:p w:rsidR="00000000" w:rsidRPr="00B7426C" w:rsidRDefault="003147EF" w:rsidP="00B7426C">
      <w:pPr>
        <w:numPr>
          <w:ilvl w:val="0"/>
          <w:numId w:val="45"/>
        </w:numPr>
        <w:spacing w:line="360" w:lineRule="auto"/>
        <w:jc w:val="both"/>
        <w:rPr>
          <w:rFonts w:ascii="Times New Roman" w:hAnsi="Times New Roman" w:cs="Times New Roman"/>
          <w:bCs/>
          <w:sz w:val="32"/>
          <w:szCs w:val="32"/>
          <w:lang w:val="en-IN"/>
        </w:rPr>
      </w:pPr>
      <w:r w:rsidRPr="00B7426C">
        <w:rPr>
          <w:rFonts w:ascii="Times New Roman" w:hAnsi="Times New Roman" w:cs="Times New Roman"/>
          <w:bCs/>
          <w:sz w:val="32"/>
          <w:szCs w:val="32"/>
          <w:lang w:val="en-IN"/>
        </w:rPr>
        <w:t>These schemes were suitable for addressing the distributed authorization issues, and they had the advantages of flexibility and scalability.</w:t>
      </w:r>
    </w:p>
    <w:p w:rsidR="00000000" w:rsidRPr="00B7426C" w:rsidRDefault="003147EF" w:rsidP="00B7426C">
      <w:pPr>
        <w:numPr>
          <w:ilvl w:val="0"/>
          <w:numId w:val="45"/>
        </w:numPr>
        <w:spacing w:line="360" w:lineRule="auto"/>
        <w:jc w:val="both"/>
        <w:rPr>
          <w:rFonts w:ascii="Times New Roman" w:hAnsi="Times New Roman" w:cs="Times New Roman"/>
          <w:bCs/>
          <w:sz w:val="32"/>
          <w:szCs w:val="32"/>
          <w:lang w:val="en-IN"/>
        </w:rPr>
      </w:pPr>
      <w:r w:rsidRPr="00B7426C">
        <w:rPr>
          <w:rFonts w:ascii="Times New Roman" w:hAnsi="Times New Roman" w:cs="Times New Roman"/>
          <w:bCs/>
          <w:sz w:val="32"/>
          <w:szCs w:val="32"/>
          <w:lang w:val="en-IN"/>
        </w:rPr>
        <w:lastRenderedPageBreak/>
        <w:t>In addition, the trust value can be taken as a tool to solve the secur</w:t>
      </w:r>
      <w:r w:rsidRPr="00B7426C">
        <w:rPr>
          <w:rFonts w:ascii="Times New Roman" w:hAnsi="Times New Roman" w:cs="Times New Roman"/>
          <w:bCs/>
          <w:sz w:val="32"/>
          <w:szCs w:val="32"/>
          <w:lang w:val="en-IN"/>
        </w:rPr>
        <w:t xml:space="preserve">ity issues for routing protocol in WSNs, due to the lower computational overhead.  </w:t>
      </w:r>
    </w:p>
    <w:p w:rsidR="00000000" w:rsidRPr="00B7426C" w:rsidRDefault="003147EF" w:rsidP="00B7426C">
      <w:pPr>
        <w:numPr>
          <w:ilvl w:val="0"/>
          <w:numId w:val="45"/>
        </w:numPr>
        <w:spacing w:line="360" w:lineRule="auto"/>
        <w:jc w:val="both"/>
        <w:rPr>
          <w:rFonts w:ascii="Times New Roman" w:hAnsi="Times New Roman" w:cs="Times New Roman"/>
          <w:bCs/>
          <w:sz w:val="32"/>
          <w:szCs w:val="32"/>
          <w:lang w:val="en-IN"/>
        </w:rPr>
      </w:pPr>
      <w:r w:rsidRPr="00B7426C">
        <w:rPr>
          <w:rFonts w:ascii="Times New Roman" w:hAnsi="Times New Roman" w:cs="Times New Roman"/>
          <w:bCs/>
          <w:sz w:val="32"/>
          <w:szCs w:val="32"/>
          <w:lang w:val="en-IN"/>
        </w:rPr>
        <w:t xml:space="preserve">In SNTUA, the reputations of nodes and their neighbors were further modified and comprehensively evaluated to improve the detection rate of malicious behaviors and reduce </w:t>
      </w:r>
      <w:r w:rsidRPr="00B7426C">
        <w:rPr>
          <w:rFonts w:ascii="Times New Roman" w:hAnsi="Times New Roman" w:cs="Times New Roman"/>
          <w:bCs/>
          <w:sz w:val="32"/>
          <w:szCs w:val="32"/>
          <w:lang w:val="en-IN"/>
        </w:rPr>
        <w:t>the impact of malicious nodes on WSN.</w:t>
      </w:r>
      <w:r w:rsidRPr="00B7426C">
        <w:rPr>
          <w:rFonts w:ascii="Times New Roman" w:hAnsi="Times New Roman" w:cs="Times New Roman"/>
          <w:bCs/>
          <w:sz w:val="32"/>
          <w:szCs w:val="32"/>
        </w:rPr>
        <w:t xml:space="preserve"> </w:t>
      </w:r>
    </w:p>
    <w:p w:rsidR="000B33B0" w:rsidRPr="00B7426C" w:rsidRDefault="006A300A" w:rsidP="00B7426C">
      <w:pPr>
        <w:spacing w:line="360" w:lineRule="auto"/>
        <w:jc w:val="both"/>
        <w:rPr>
          <w:rFonts w:ascii="Times New Roman" w:eastAsia="Times New Roman" w:hAnsi="Times New Roman" w:cs="Times New Roman"/>
          <w:sz w:val="32"/>
          <w:szCs w:val="32"/>
        </w:rPr>
      </w:pPr>
      <w:r w:rsidRPr="00B7426C">
        <w:rPr>
          <w:rFonts w:ascii="Times New Roman" w:hAnsi="Times New Roman" w:cs="Times New Roman"/>
          <w:b/>
          <w:sz w:val="36"/>
          <w:szCs w:val="36"/>
        </w:rPr>
        <w:t xml:space="preserve">2.2. PROPOSED </w:t>
      </w:r>
      <w:r w:rsidR="000B33B0" w:rsidRPr="00B7426C">
        <w:rPr>
          <w:rFonts w:ascii="Times New Roman" w:hAnsi="Times New Roman" w:cs="Times New Roman"/>
          <w:b/>
          <w:sz w:val="36"/>
          <w:szCs w:val="36"/>
        </w:rPr>
        <w:t xml:space="preserve">SYSTEM </w:t>
      </w:r>
    </w:p>
    <w:p w:rsidR="00B7426C" w:rsidRPr="00B7426C" w:rsidRDefault="00B7426C" w:rsidP="00B7426C">
      <w:pPr>
        <w:pStyle w:val="NormalWeb"/>
        <w:numPr>
          <w:ilvl w:val="0"/>
          <w:numId w:val="46"/>
        </w:numPr>
        <w:spacing w:before="0" w:beforeAutospacing="0" w:after="0" w:afterAutospacing="0" w:line="360" w:lineRule="auto"/>
        <w:ind w:left="284" w:hanging="284"/>
        <w:jc w:val="both"/>
        <w:rPr>
          <w:sz w:val="32"/>
          <w:szCs w:val="32"/>
        </w:rPr>
      </w:pPr>
      <w:r w:rsidRPr="00B7426C">
        <w:rPr>
          <w:sz w:val="32"/>
          <w:szCs w:val="32"/>
        </w:rPr>
        <w:t>A network voting algorithm called TrustVoting was also proposed to determine faulty sensor readings.</w:t>
      </w:r>
    </w:p>
    <w:p w:rsidR="00B7426C" w:rsidRPr="00B7426C" w:rsidRDefault="00B7426C" w:rsidP="00B7426C">
      <w:pPr>
        <w:pStyle w:val="NormalWeb"/>
        <w:numPr>
          <w:ilvl w:val="0"/>
          <w:numId w:val="46"/>
        </w:numPr>
        <w:spacing w:before="0" w:beforeAutospacing="0" w:after="0" w:afterAutospacing="0" w:line="360" w:lineRule="auto"/>
        <w:ind w:left="284" w:hanging="284"/>
        <w:jc w:val="both"/>
        <w:rPr>
          <w:sz w:val="32"/>
          <w:szCs w:val="32"/>
        </w:rPr>
      </w:pPr>
      <w:r w:rsidRPr="00B7426C">
        <w:rPr>
          <w:sz w:val="32"/>
          <w:szCs w:val="32"/>
        </w:rPr>
        <w:t xml:space="preserve">The authors of proposed the TIBFIT protocol to diagnose and mask arbitrary node failures in an event-driven wireless sensor network. </w:t>
      </w:r>
    </w:p>
    <w:p w:rsidR="00B7426C" w:rsidRPr="00B7426C" w:rsidRDefault="00B7426C" w:rsidP="00B7426C">
      <w:pPr>
        <w:pStyle w:val="NormalWeb"/>
        <w:numPr>
          <w:ilvl w:val="0"/>
          <w:numId w:val="46"/>
        </w:numPr>
        <w:spacing w:before="0" w:beforeAutospacing="0" w:after="0" w:afterAutospacing="0" w:line="360" w:lineRule="auto"/>
        <w:ind w:left="284" w:hanging="284"/>
        <w:jc w:val="both"/>
        <w:rPr>
          <w:sz w:val="32"/>
          <w:szCs w:val="32"/>
        </w:rPr>
      </w:pPr>
      <w:r w:rsidRPr="00B7426C">
        <w:rPr>
          <w:sz w:val="32"/>
          <w:szCs w:val="32"/>
        </w:rPr>
        <w:t xml:space="preserve">A few other systems related to trust in WSNs, have been proposed in the literature such as, which use one or more of the techniques mentioned before to calculate trust. </w:t>
      </w:r>
    </w:p>
    <w:p w:rsidR="00BB3207" w:rsidRDefault="00B7426C" w:rsidP="00B7426C">
      <w:pPr>
        <w:pStyle w:val="NormalWeb"/>
        <w:numPr>
          <w:ilvl w:val="0"/>
          <w:numId w:val="46"/>
        </w:numPr>
        <w:spacing w:before="0" w:beforeAutospacing="0" w:after="0" w:afterAutospacing="0" w:line="360" w:lineRule="auto"/>
        <w:ind w:left="284" w:hanging="284"/>
        <w:jc w:val="both"/>
        <w:rPr>
          <w:sz w:val="32"/>
          <w:szCs w:val="32"/>
        </w:rPr>
      </w:pPr>
      <w:r w:rsidRPr="00B7426C">
        <w:rPr>
          <w:sz w:val="32"/>
          <w:szCs w:val="32"/>
        </w:rPr>
        <w:t>The proposed model in uses a single trust value for a whole group (cluster), assuming that sensor nodes mostly fulfil their responsibilities in a cooperative manner rather than individually.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7426C" w:rsidRDefault="003147EF" w:rsidP="00B742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426C">
        <w:rPr>
          <w:rFonts w:ascii="Times New Roman" w:eastAsia="AdvGulliv-R" w:hAnsi="Times New Roman" w:cs="Times New Roman"/>
          <w:bCs/>
          <w:sz w:val="32"/>
          <w:szCs w:val="32"/>
          <w:lang w:val="en-IN"/>
        </w:rPr>
        <w:t xml:space="preserve">The performance </w:t>
      </w:r>
      <w:r w:rsidRPr="00B7426C">
        <w:rPr>
          <w:rFonts w:ascii="Times New Roman" w:eastAsia="AdvGulliv-R" w:hAnsi="Times New Roman" w:cs="Times New Roman"/>
          <w:bCs/>
          <w:sz w:val="32"/>
          <w:szCs w:val="32"/>
          <w:lang w:val="en-IN"/>
        </w:rPr>
        <w:t>of three different supervised classifiers in assigning sensitivity values was compared during the evaluation process.</w:t>
      </w:r>
    </w:p>
    <w:p w:rsidR="00000000" w:rsidRPr="00B7426C" w:rsidRDefault="003147EF" w:rsidP="00B742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426C">
        <w:rPr>
          <w:rFonts w:ascii="Times New Roman" w:eastAsia="AdvGulliv-R" w:hAnsi="Times New Roman" w:cs="Times New Roman"/>
          <w:bCs/>
          <w:sz w:val="32"/>
          <w:szCs w:val="32"/>
          <w:lang w:val="en-IN"/>
        </w:rPr>
        <w:lastRenderedPageBreak/>
        <w:t>This scheme had higher security, when there were a small number of compromised nodes in the network; however, when more than a quarter of</w:t>
      </w:r>
      <w:r w:rsidRPr="00B7426C">
        <w:rPr>
          <w:rFonts w:ascii="Times New Roman" w:eastAsia="AdvGulliv-R" w:hAnsi="Times New Roman" w:cs="Times New Roman"/>
          <w:bCs/>
          <w:sz w:val="32"/>
          <w:szCs w:val="32"/>
          <w:lang w:val="en-IN"/>
        </w:rPr>
        <w:t xml:space="preserve"> the nodes were compromised, the performance was unsatisfactory.</w:t>
      </w:r>
    </w:p>
    <w:p w:rsidR="00000000" w:rsidRPr="00B7426C" w:rsidRDefault="003147EF" w:rsidP="00B742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426C">
        <w:rPr>
          <w:rFonts w:ascii="Times New Roman" w:eastAsia="AdvGulliv-R" w:hAnsi="Times New Roman" w:cs="Times New Roman"/>
          <w:bCs/>
          <w:sz w:val="32"/>
          <w:szCs w:val="32"/>
          <w:lang w:val="en-IN"/>
        </w:rPr>
        <w:t>ReTrust could not only effectively identify malicious behaviors and eliminate malicious/fault nodes but also significantly improve network performance.</w:t>
      </w:r>
    </w:p>
    <w:p w:rsidR="00000000" w:rsidRPr="00B7426C" w:rsidRDefault="003147EF" w:rsidP="00B742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426C">
        <w:rPr>
          <w:rFonts w:ascii="Times New Roman" w:eastAsia="AdvGulliv-R" w:hAnsi="Times New Roman" w:cs="Times New Roman"/>
          <w:bCs/>
          <w:sz w:val="32"/>
          <w:szCs w:val="32"/>
          <w:lang w:val="en-IN"/>
        </w:rPr>
        <w:t>Meanwhile, in the designing process o</w:t>
      </w:r>
      <w:r w:rsidRPr="00B7426C">
        <w:rPr>
          <w:rFonts w:ascii="Times New Roman" w:eastAsia="AdvGulliv-R" w:hAnsi="Times New Roman" w:cs="Times New Roman"/>
          <w:bCs/>
          <w:sz w:val="32"/>
          <w:szCs w:val="32"/>
          <w:lang w:val="en-IN"/>
        </w:rPr>
        <w:t>f trust management system, considering fully energy consumption and optimizing trust evaluation scheme are needed in order to improve the performance of the system.</w:t>
      </w:r>
      <w:r w:rsidRPr="00B7426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t>Community-diversified influence maximization in social networks</w:t>
            </w:r>
          </w:p>
        </w:tc>
        <w:tc>
          <w:tcPr>
            <w:tcW w:w="3192" w:type="dxa"/>
          </w:tcPr>
          <w:p w:rsidR="000C407B" w:rsidRPr="00785CDE" w:rsidRDefault="00785CDE" w:rsidP="00785CDE">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t xml:space="preserve">J. Li, T. Cai, K. Deng, X. Wang, T. Sellis, and F. Xia, </w:t>
            </w:r>
          </w:p>
        </w:tc>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color w:val="333333"/>
                <w:sz w:val="28"/>
                <w:szCs w:val="28"/>
                <w:shd w:val="clear" w:color="auto" w:fill="FFFFFF"/>
              </w:rPr>
              <w:t>This work proposes a metric to measure the community-diversified influence and addresses a series of computational challenges.</w:t>
            </w:r>
          </w:p>
        </w:tc>
      </w:tr>
      <w:tr w:rsidR="000C407B" w:rsidTr="000C407B">
        <w:trPr>
          <w:trHeight w:val="2942"/>
        </w:trPr>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t>CAIS: a copy adjustable incentive scheme in community-based socially-aware networking</w:t>
            </w:r>
          </w:p>
        </w:tc>
        <w:tc>
          <w:tcPr>
            <w:tcW w:w="3192" w:type="dxa"/>
          </w:tcPr>
          <w:p w:rsidR="000C407B" w:rsidRPr="00785CDE" w:rsidRDefault="00785CDE" w:rsidP="00785CDE">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t xml:space="preserve">Z. Ning, L. Liu, F. Xia, B. Jedari, I. Lee, and W. Zhang, </w:t>
            </w:r>
          </w:p>
        </w:tc>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color w:val="333333"/>
                <w:sz w:val="28"/>
                <w:szCs w:val="28"/>
                <w:shd w:val="clear" w:color="auto" w:fill="FFFFFF"/>
              </w:rPr>
              <w:t xml:space="preserve">In SAN, mobile carriers may exhibit selfish behaviors and refuse to relay messages for others due to various reasons, such as limited resources (take buffer, energy, and </w:t>
            </w:r>
            <w:r w:rsidRPr="00785CDE">
              <w:rPr>
                <w:rFonts w:ascii="Times New Roman" w:hAnsi="Times New Roman" w:cs="Times New Roman"/>
                <w:color w:val="333333"/>
                <w:sz w:val="28"/>
                <w:szCs w:val="28"/>
                <w:shd w:val="clear" w:color="auto" w:fill="FFFFFF"/>
              </w:rPr>
              <w:lastRenderedPageBreak/>
              <w:t>bandwidth for example) or social relationships.</w:t>
            </w:r>
          </w:p>
        </w:tc>
      </w:tr>
      <w:tr w:rsidR="000C407B" w:rsidTr="000C407B">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lastRenderedPageBreak/>
              <w:t>Target-aware holistic influence maximization in spatial social networks</w:t>
            </w:r>
          </w:p>
        </w:tc>
        <w:tc>
          <w:tcPr>
            <w:tcW w:w="3192" w:type="dxa"/>
          </w:tcPr>
          <w:p w:rsidR="000C407B" w:rsidRPr="00785CDE" w:rsidRDefault="00785CDE" w:rsidP="00785CDE">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t xml:space="preserve">T. Cai, J. Li, A. S. Mian, R. Li, T. Sellis, and J. X. Yu, </w:t>
            </w:r>
          </w:p>
        </w:tc>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color w:val="333333"/>
                <w:sz w:val="28"/>
                <w:szCs w:val="28"/>
                <w:shd w:val="clear" w:color="auto" w:fill="FFFFFF"/>
              </w:rPr>
              <w:t>The HIM query problem aims to find a minimum set of users whose holistic influence can cover all target users in the network, which belongs to a set covering problem. </w:t>
            </w:r>
          </w:p>
        </w:tc>
      </w:tr>
      <w:tr w:rsidR="000C407B" w:rsidTr="000C407B">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t>Privacy-preserving content dissemination for vehicular social networks: challenges and solutions</w:t>
            </w:r>
          </w:p>
        </w:tc>
        <w:tc>
          <w:tcPr>
            <w:tcW w:w="3192" w:type="dxa"/>
          </w:tcPr>
          <w:p w:rsidR="000C407B" w:rsidRPr="00785CDE" w:rsidRDefault="00785CDE" w:rsidP="00785CDE">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sz w:val="28"/>
                <w:szCs w:val="28"/>
              </w:rPr>
              <w:t xml:space="preserve">X. Wang, Z. Ning, M. Zhou et al., </w:t>
            </w:r>
          </w:p>
        </w:tc>
        <w:tc>
          <w:tcPr>
            <w:tcW w:w="3192" w:type="dxa"/>
          </w:tcPr>
          <w:p w:rsidR="000C407B" w:rsidRPr="00785CDE" w:rsidRDefault="00785CDE" w:rsidP="00E53AA4">
            <w:pPr>
              <w:tabs>
                <w:tab w:val="left" w:pos="720"/>
              </w:tabs>
              <w:spacing w:after="100" w:line="360" w:lineRule="auto"/>
              <w:jc w:val="both"/>
              <w:rPr>
                <w:rFonts w:ascii="Times New Roman" w:hAnsi="Times New Roman" w:cs="Times New Roman"/>
                <w:sz w:val="28"/>
                <w:szCs w:val="28"/>
              </w:rPr>
            </w:pPr>
            <w:r w:rsidRPr="00785CDE">
              <w:rPr>
                <w:rFonts w:ascii="Times New Roman" w:hAnsi="Times New Roman" w:cs="Times New Roman"/>
                <w:color w:val="333333"/>
                <w:sz w:val="28"/>
                <w:szCs w:val="28"/>
                <w:shd w:val="clear" w:color="auto" w:fill="FFFFFF"/>
              </w:rPr>
              <w:t>Passengers can obtain information by searching over Internet or querying vehicles in proximity through intra-vehicle equipment.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2190" w:rsidP="00E53AA4">
      <w:pPr>
        <w:spacing w:after="0" w:line="360" w:lineRule="auto"/>
        <w:jc w:val="both"/>
        <w:rPr>
          <w:rFonts w:ascii="Times New Roman" w:hAnsi="Times New Roman" w:cs="Times New Roman"/>
        </w:rPr>
      </w:pPr>
      <w:r w:rsidRPr="009A2190">
        <w:rPr>
          <w:rFonts w:ascii="Times New Roman" w:hAnsi="Times New Roman" w:cs="Times New Roman"/>
        </w:rPr>
        <w:drawing>
          <wp:inline distT="0" distB="0" distL="0" distR="0">
            <wp:extent cx="5943600" cy="450913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509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880F62" w:rsidRDefault="00880F62" w:rsidP="00E53AA4">
      <w:pPr>
        <w:pStyle w:val="BodyText"/>
        <w:rPr>
          <w:bCs/>
          <w:iCs/>
          <w:sz w:val="32"/>
          <w:szCs w:val="32"/>
          <w:lang w:val="en-IN"/>
        </w:rPr>
      </w:pPr>
      <w:r w:rsidRPr="00880F62">
        <w:rPr>
          <w:bCs/>
          <w:iCs/>
          <w:sz w:val="32"/>
          <w:szCs w:val="32"/>
          <w:lang w:val="en-IN"/>
        </w:rPr>
        <w:t xml:space="preserve">    Although there have been many studies on trust, there is no concentrated research for WSNs. In this article, we systematically survey the research progress of the trust management processes and existing trust management in WSNs. Although trust management technology of traditional network is relatively mature, it cannot be directly applied to the resource-limited systems, such as WSN. Some existing trust management schemes in WSNs improve node security at the expense of other performances of the network, which may lead to the sacrifice of WSN lifetime.Trust management in WSNs needs to meet the requirements as follows: WSN is a real-time network, so it must have low latency. The cost of memory, computing, and energy are expected to be minimized due to the limitations of sensor nodes’ own conditions. Through the analysis of existing trust management technology, further research and optimization are needed into the trust management scheme/system of WSN with the help of traditional network trust management scheme combing with specific application scenarios, especially the changes of wireless channels, the impact on trust valuation, and decision-making are fully considered. In view of this, we will gradually introduce energy efficiency, risk evaluation, and note mobility, as constraints in future work, and carry out research on efficient management scheme based on trust management combined with energy efficiency.</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80F62" w:rsidRDefault="003147EF" w:rsidP="00880F62">
      <w:pPr>
        <w:pStyle w:val="BodyText"/>
        <w:numPr>
          <w:ilvl w:val="0"/>
          <w:numId w:val="42"/>
        </w:numPr>
        <w:rPr>
          <w:sz w:val="32"/>
          <w:szCs w:val="32"/>
          <w:lang w:val="en-IN"/>
        </w:rPr>
      </w:pPr>
      <w:r w:rsidRPr="00880F62">
        <w:rPr>
          <w:sz w:val="32"/>
          <w:szCs w:val="32"/>
          <w:lang w:val="en-IN"/>
        </w:rPr>
        <w:t>J. Li, T. Cai, K. Deng, X. Wang, T. Sellis, and F. Xia, “Community-diversified influence maximization in social networks,” Information Systems, vol. 92,</w:t>
      </w:r>
      <w:r w:rsidRPr="00880F62">
        <w:rPr>
          <w:sz w:val="32"/>
          <w:szCs w:val="32"/>
          <w:lang w:val="en-IN"/>
        </w:rPr>
        <w:t xml:space="preserve"> p. 101522, 2020. </w:t>
      </w:r>
    </w:p>
    <w:p w:rsidR="00000000" w:rsidRPr="00880F62" w:rsidRDefault="003147EF" w:rsidP="00880F62">
      <w:pPr>
        <w:pStyle w:val="BodyText"/>
        <w:numPr>
          <w:ilvl w:val="0"/>
          <w:numId w:val="42"/>
        </w:numPr>
        <w:rPr>
          <w:sz w:val="32"/>
          <w:szCs w:val="32"/>
          <w:lang w:val="en-IN"/>
        </w:rPr>
      </w:pPr>
      <w:r w:rsidRPr="00880F62">
        <w:rPr>
          <w:sz w:val="32"/>
          <w:szCs w:val="32"/>
          <w:lang w:val="en-IN"/>
        </w:rPr>
        <w:t xml:space="preserve">Z. Ning, L. Liu, F. Xia, B. Jedari, I. Lee, and W. Zhang, “CAIS: a copy adjustable incentive scheme in community-based socially-aware networking,” IEEE Transactions on Vehicular Technology, vol. 66, no. 4, pp. 3406–3419, 2017. </w:t>
      </w:r>
    </w:p>
    <w:p w:rsidR="00000000" w:rsidRPr="00880F62" w:rsidRDefault="003147EF" w:rsidP="00880F62">
      <w:pPr>
        <w:pStyle w:val="BodyText"/>
        <w:numPr>
          <w:ilvl w:val="0"/>
          <w:numId w:val="42"/>
        </w:numPr>
        <w:rPr>
          <w:sz w:val="32"/>
          <w:szCs w:val="32"/>
          <w:lang w:val="en-IN"/>
        </w:rPr>
      </w:pPr>
      <w:r w:rsidRPr="00880F62">
        <w:rPr>
          <w:sz w:val="32"/>
          <w:szCs w:val="32"/>
          <w:lang w:val="en-IN"/>
        </w:rPr>
        <w:t>T. Cai,</w:t>
      </w:r>
      <w:r w:rsidRPr="00880F62">
        <w:rPr>
          <w:sz w:val="32"/>
          <w:szCs w:val="32"/>
          <w:lang w:val="en-IN"/>
        </w:rPr>
        <w:t xml:space="preserve"> J. Li, A. S. Mian, R. Li, T. Sellis, and J. X. Yu, “Target-aware holistic influence maximization in spatial social networks,” in IEEE Transactions on Knowledge and Data Engineering, 2020. </w:t>
      </w:r>
    </w:p>
    <w:p w:rsidR="00000000" w:rsidRPr="00880F62" w:rsidRDefault="003147EF" w:rsidP="00880F62">
      <w:pPr>
        <w:pStyle w:val="BodyText"/>
        <w:numPr>
          <w:ilvl w:val="0"/>
          <w:numId w:val="42"/>
        </w:numPr>
        <w:rPr>
          <w:sz w:val="32"/>
          <w:szCs w:val="32"/>
          <w:lang w:val="en-IN"/>
        </w:rPr>
      </w:pPr>
      <w:r w:rsidRPr="00880F62">
        <w:rPr>
          <w:sz w:val="32"/>
          <w:szCs w:val="32"/>
          <w:lang w:val="en-IN"/>
        </w:rPr>
        <w:t>X. Wang, Z. Ning, M. Zhou et al., “Privacy-preserving content dis</w:t>
      </w:r>
      <w:r w:rsidRPr="00880F62">
        <w:rPr>
          <w:sz w:val="32"/>
          <w:szCs w:val="32"/>
          <w:lang w:val="en-IN"/>
        </w:rPr>
        <w:t xml:space="preserve">semination for vehicular social networks: challenges and solutions,” IEEE Communications Surveys and Tutorials, vol. 21, no. 2, pp. 1314–1345, 2019. </w:t>
      </w:r>
    </w:p>
    <w:p w:rsidR="00000000" w:rsidRPr="00880F62" w:rsidRDefault="003147EF" w:rsidP="00880F62">
      <w:pPr>
        <w:pStyle w:val="BodyText"/>
        <w:numPr>
          <w:ilvl w:val="0"/>
          <w:numId w:val="42"/>
        </w:numPr>
        <w:rPr>
          <w:sz w:val="32"/>
          <w:szCs w:val="32"/>
          <w:lang w:val="en-IN"/>
        </w:rPr>
      </w:pPr>
      <w:r w:rsidRPr="00880F62">
        <w:rPr>
          <w:sz w:val="32"/>
          <w:szCs w:val="32"/>
          <w:lang w:val="en-IN"/>
        </w:rPr>
        <w:t>G. Mois, T. Sanislav, and S. C. Folea, “A cyber-physical system for environmental monitoring,” IEEE Trans</w:t>
      </w:r>
      <w:r w:rsidRPr="00880F62">
        <w:rPr>
          <w:sz w:val="32"/>
          <w:szCs w:val="32"/>
          <w:lang w:val="en-IN"/>
        </w:rPr>
        <w:t>actions on Instrumentation and Measurement, vol. 65, no. 6, pp. 1463–1471, 2016.</w:t>
      </w:r>
    </w:p>
    <w:p w:rsidR="00000000" w:rsidRPr="00880F62" w:rsidRDefault="003147EF" w:rsidP="00880F62">
      <w:pPr>
        <w:pStyle w:val="BodyText"/>
        <w:numPr>
          <w:ilvl w:val="0"/>
          <w:numId w:val="42"/>
        </w:numPr>
        <w:rPr>
          <w:sz w:val="32"/>
          <w:szCs w:val="32"/>
          <w:lang w:val="en-IN"/>
        </w:rPr>
      </w:pPr>
      <w:r w:rsidRPr="00880F62">
        <w:rPr>
          <w:sz w:val="32"/>
          <w:szCs w:val="32"/>
          <w:lang w:val="en-IN"/>
        </w:rPr>
        <w:t xml:space="preserve">H. Liang and W. Wu, “Secure link status routing protocol based on node trustworthiness,” Journal of Xidian University, vol. 43, no. 5, pp. 121–127, 2016. </w:t>
      </w:r>
    </w:p>
    <w:p w:rsidR="00000000" w:rsidRPr="00880F62" w:rsidRDefault="003147EF" w:rsidP="00880F62">
      <w:pPr>
        <w:pStyle w:val="BodyText"/>
        <w:numPr>
          <w:ilvl w:val="0"/>
          <w:numId w:val="42"/>
        </w:numPr>
        <w:rPr>
          <w:sz w:val="32"/>
          <w:szCs w:val="32"/>
          <w:lang w:val="en-IN"/>
        </w:rPr>
      </w:pPr>
      <w:r w:rsidRPr="00880F62">
        <w:rPr>
          <w:sz w:val="32"/>
          <w:szCs w:val="32"/>
          <w:lang w:val="en-IN"/>
        </w:rPr>
        <w:lastRenderedPageBreak/>
        <w:t xml:space="preserve">W. Hao, L. Yu, M. </w:t>
      </w:r>
      <w:r w:rsidRPr="00880F62">
        <w:rPr>
          <w:sz w:val="32"/>
          <w:szCs w:val="32"/>
          <w:lang w:val="en-IN"/>
        </w:rPr>
        <w:t xml:space="preserve">Mingrui, and W. Ping, “Secure data fusion method based on supervisory mechanism for industrial Internet of things,” Chinese Journal of Scientific Instrument, vol. 34, no. 4, pp. 817–824, 2015. </w:t>
      </w:r>
    </w:p>
    <w:p w:rsidR="00000000" w:rsidRPr="00880F62" w:rsidRDefault="003147EF" w:rsidP="00880F62">
      <w:pPr>
        <w:pStyle w:val="BodyText"/>
        <w:numPr>
          <w:ilvl w:val="0"/>
          <w:numId w:val="42"/>
        </w:numPr>
        <w:rPr>
          <w:sz w:val="32"/>
          <w:szCs w:val="32"/>
          <w:lang w:val="en-IN"/>
        </w:rPr>
      </w:pPr>
      <w:r w:rsidRPr="00880F62">
        <w:rPr>
          <w:sz w:val="32"/>
          <w:szCs w:val="32"/>
          <w:lang w:val="en-IN"/>
        </w:rPr>
        <w:t xml:space="preserve">W. D. Fang, L. H. Shan, G. Q. Jia, X. H. Ji, and S. J. Chen, </w:t>
      </w:r>
      <w:r w:rsidRPr="00880F62">
        <w:rPr>
          <w:sz w:val="32"/>
          <w:szCs w:val="32"/>
          <w:lang w:val="en-IN"/>
        </w:rPr>
        <w:t xml:space="preserve">“A low complexity secure network coding in wireless sensor network,” Journal of Internet Technology, vol. 17, no. 5, pp. 905–913, 2016. </w:t>
      </w:r>
    </w:p>
    <w:p w:rsidR="00000000" w:rsidRPr="00880F62" w:rsidRDefault="003147EF" w:rsidP="00880F62">
      <w:pPr>
        <w:pStyle w:val="BodyText"/>
        <w:numPr>
          <w:ilvl w:val="0"/>
          <w:numId w:val="42"/>
        </w:numPr>
        <w:rPr>
          <w:sz w:val="32"/>
          <w:szCs w:val="32"/>
          <w:lang w:val="en-IN"/>
        </w:rPr>
      </w:pPr>
      <w:r w:rsidRPr="00880F62">
        <w:rPr>
          <w:sz w:val="32"/>
          <w:szCs w:val="32"/>
          <w:lang w:val="en-IN"/>
        </w:rPr>
        <w:t>N. A. Haldar, J. Li, M. Reynolds, T. Sellis, and J. X. Yu, “Location prediction in large-scale social networks: an in-</w:t>
      </w:r>
      <w:r w:rsidRPr="00880F62">
        <w:rPr>
          <w:sz w:val="32"/>
          <w:szCs w:val="32"/>
          <w:lang w:val="en-IN"/>
        </w:rPr>
        <w:t xml:space="preserve">depth benchmarking study,” VLDB Journal, vol. 28, no. 5, pp. 623–648, 2019. </w:t>
      </w:r>
    </w:p>
    <w:p w:rsidR="00000000" w:rsidRPr="00880F62" w:rsidRDefault="003147EF" w:rsidP="00880F62">
      <w:pPr>
        <w:pStyle w:val="BodyText"/>
        <w:numPr>
          <w:ilvl w:val="0"/>
          <w:numId w:val="42"/>
        </w:numPr>
        <w:rPr>
          <w:sz w:val="32"/>
          <w:szCs w:val="32"/>
          <w:lang w:val="en-IN"/>
        </w:rPr>
      </w:pPr>
      <w:r w:rsidRPr="00880F62">
        <w:rPr>
          <w:sz w:val="32"/>
          <w:szCs w:val="32"/>
          <w:lang w:val="en-IN"/>
        </w:rPr>
        <w:t>Z. Ning, X. Hu, Z. Chen et al., “A cooperative quality aware service access system for social Internet of vehicles,” IEEE Internet of Things Journal, vol. 5, no. 4, pp. 2506–2517</w:t>
      </w:r>
      <w:r w:rsidRPr="00880F62">
        <w:rPr>
          <w:sz w:val="32"/>
          <w:szCs w:val="32"/>
          <w:lang w:val="en-IN"/>
        </w:rPr>
        <w:t>, 2018.</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47EF" w:rsidRDefault="003147EF" w:rsidP="003654DF">
      <w:pPr>
        <w:spacing w:after="0" w:line="240" w:lineRule="auto"/>
      </w:pPr>
      <w:r>
        <w:separator/>
      </w:r>
    </w:p>
  </w:endnote>
  <w:endnote w:type="continuationSeparator" w:id="1">
    <w:p w:rsidR="003147EF" w:rsidRDefault="003147E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47EF" w:rsidRDefault="003147EF" w:rsidP="003654DF">
      <w:pPr>
        <w:spacing w:after="0" w:line="240" w:lineRule="auto"/>
      </w:pPr>
      <w:r>
        <w:separator/>
      </w:r>
    </w:p>
  </w:footnote>
  <w:footnote w:type="continuationSeparator" w:id="1">
    <w:p w:rsidR="003147EF" w:rsidRDefault="003147E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727A6">
        <w:pPr>
          <w:pStyle w:val="Header"/>
          <w:jc w:val="right"/>
        </w:pPr>
        <w:fldSimple w:instr=" PAGE   \* MERGEFORMAT ">
          <w:r w:rsidR="009A219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B07E3"/>
    <w:multiLevelType w:val="hybridMultilevel"/>
    <w:tmpl w:val="9AA427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9B93264"/>
    <w:multiLevelType w:val="hybridMultilevel"/>
    <w:tmpl w:val="E5C2FC84"/>
    <w:lvl w:ilvl="0" w:tplc="F1F87116">
      <w:start w:val="1"/>
      <w:numFmt w:val="bullet"/>
      <w:lvlText w:val=""/>
      <w:lvlJc w:val="left"/>
      <w:pPr>
        <w:tabs>
          <w:tab w:val="num" w:pos="720"/>
        </w:tabs>
        <w:ind w:left="720" w:hanging="360"/>
      </w:pPr>
      <w:rPr>
        <w:rFonts w:ascii="Wingdings 2" w:hAnsi="Wingdings 2" w:hint="default"/>
      </w:rPr>
    </w:lvl>
    <w:lvl w:ilvl="1" w:tplc="E9CCF8CE" w:tentative="1">
      <w:start w:val="1"/>
      <w:numFmt w:val="bullet"/>
      <w:lvlText w:val=""/>
      <w:lvlJc w:val="left"/>
      <w:pPr>
        <w:tabs>
          <w:tab w:val="num" w:pos="1440"/>
        </w:tabs>
        <w:ind w:left="1440" w:hanging="360"/>
      </w:pPr>
      <w:rPr>
        <w:rFonts w:ascii="Wingdings 2" w:hAnsi="Wingdings 2" w:hint="default"/>
      </w:rPr>
    </w:lvl>
    <w:lvl w:ilvl="2" w:tplc="ACD03FAA" w:tentative="1">
      <w:start w:val="1"/>
      <w:numFmt w:val="bullet"/>
      <w:lvlText w:val=""/>
      <w:lvlJc w:val="left"/>
      <w:pPr>
        <w:tabs>
          <w:tab w:val="num" w:pos="2160"/>
        </w:tabs>
        <w:ind w:left="2160" w:hanging="360"/>
      </w:pPr>
      <w:rPr>
        <w:rFonts w:ascii="Wingdings 2" w:hAnsi="Wingdings 2" w:hint="default"/>
      </w:rPr>
    </w:lvl>
    <w:lvl w:ilvl="3" w:tplc="D18C8306" w:tentative="1">
      <w:start w:val="1"/>
      <w:numFmt w:val="bullet"/>
      <w:lvlText w:val=""/>
      <w:lvlJc w:val="left"/>
      <w:pPr>
        <w:tabs>
          <w:tab w:val="num" w:pos="2880"/>
        </w:tabs>
        <w:ind w:left="2880" w:hanging="360"/>
      </w:pPr>
      <w:rPr>
        <w:rFonts w:ascii="Wingdings 2" w:hAnsi="Wingdings 2" w:hint="default"/>
      </w:rPr>
    </w:lvl>
    <w:lvl w:ilvl="4" w:tplc="DF9E2AC8" w:tentative="1">
      <w:start w:val="1"/>
      <w:numFmt w:val="bullet"/>
      <w:lvlText w:val=""/>
      <w:lvlJc w:val="left"/>
      <w:pPr>
        <w:tabs>
          <w:tab w:val="num" w:pos="3600"/>
        </w:tabs>
        <w:ind w:left="3600" w:hanging="360"/>
      </w:pPr>
      <w:rPr>
        <w:rFonts w:ascii="Wingdings 2" w:hAnsi="Wingdings 2" w:hint="default"/>
      </w:rPr>
    </w:lvl>
    <w:lvl w:ilvl="5" w:tplc="919EEAA0" w:tentative="1">
      <w:start w:val="1"/>
      <w:numFmt w:val="bullet"/>
      <w:lvlText w:val=""/>
      <w:lvlJc w:val="left"/>
      <w:pPr>
        <w:tabs>
          <w:tab w:val="num" w:pos="4320"/>
        </w:tabs>
        <w:ind w:left="4320" w:hanging="360"/>
      </w:pPr>
      <w:rPr>
        <w:rFonts w:ascii="Wingdings 2" w:hAnsi="Wingdings 2" w:hint="default"/>
      </w:rPr>
    </w:lvl>
    <w:lvl w:ilvl="6" w:tplc="82B4D0B4" w:tentative="1">
      <w:start w:val="1"/>
      <w:numFmt w:val="bullet"/>
      <w:lvlText w:val=""/>
      <w:lvlJc w:val="left"/>
      <w:pPr>
        <w:tabs>
          <w:tab w:val="num" w:pos="5040"/>
        </w:tabs>
        <w:ind w:left="5040" w:hanging="360"/>
      </w:pPr>
      <w:rPr>
        <w:rFonts w:ascii="Wingdings 2" w:hAnsi="Wingdings 2" w:hint="default"/>
      </w:rPr>
    </w:lvl>
    <w:lvl w:ilvl="7" w:tplc="3770499C" w:tentative="1">
      <w:start w:val="1"/>
      <w:numFmt w:val="bullet"/>
      <w:lvlText w:val=""/>
      <w:lvlJc w:val="left"/>
      <w:pPr>
        <w:tabs>
          <w:tab w:val="num" w:pos="5760"/>
        </w:tabs>
        <w:ind w:left="5760" w:hanging="360"/>
      </w:pPr>
      <w:rPr>
        <w:rFonts w:ascii="Wingdings 2" w:hAnsi="Wingdings 2" w:hint="default"/>
      </w:rPr>
    </w:lvl>
    <w:lvl w:ilvl="8" w:tplc="41129B1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5F3CB1"/>
    <w:multiLevelType w:val="hybridMultilevel"/>
    <w:tmpl w:val="3DA659EE"/>
    <w:lvl w:ilvl="0" w:tplc="5EA42DCA">
      <w:start w:val="1"/>
      <w:numFmt w:val="bullet"/>
      <w:lvlText w:val=""/>
      <w:lvlJc w:val="left"/>
      <w:pPr>
        <w:tabs>
          <w:tab w:val="num" w:pos="720"/>
        </w:tabs>
        <w:ind w:left="720" w:hanging="360"/>
      </w:pPr>
      <w:rPr>
        <w:rFonts w:ascii="Wingdings 2" w:hAnsi="Wingdings 2" w:hint="default"/>
      </w:rPr>
    </w:lvl>
    <w:lvl w:ilvl="1" w:tplc="1C00AC3A" w:tentative="1">
      <w:start w:val="1"/>
      <w:numFmt w:val="bullet"/>
      <w:lvlText w:val=""/>
      <w:lvlJc w:val="left"/>
      <w:pPr>
        <w:tabs>
          <w:tab w:val="num" w:pos="1440"/>
        </w:tabs>
        <w:ind w:left="1440" w:hanging="360"/>
      </w:pPr>
      <w:rPr>
        <w:rFonts w:ascii="Wingdings 2" w:hAnsi="Wingdings 2" w:hint="default"/>
      </w:rPr>
    </w:lvl>
    <w:lvl w:ilvl="2" w:tplc="AAD660B2" w:tentative="1">
      <w:start w:val="1"/>
      <w:numFmt w:val="bullet"/>
      <w:lvlText w:val=""/>
      <w:lvlJc w:val="left"/>
      <w:pPr>
        <w:tabs>
          <w:tab w:val="num" w:pos="2160"/>
        </w:tabs>
        <w:ind w:left="2160" w:hanging="360"/>
      </w:pPr>
      <w:rPr>
        <w:rFonts w:ascii="Wingdings 2" w:hAnsi="Wingdings 2" w:hint="default"/>
      </w:rPr>
    </w:lvl>
    <w:lvl w:ilvl="3" w:tplc="F118E656" w:tentative="1">
      <w:start w:val="1"/>
      <w:numFmt w:val="bullet"/>
      <w:lvlText w:val=""/>
      <w:lvlJc w:val="left"/>
      <w:pPr>
        <w:tabs>
          <w:tab w:val="num" w:pos="2880"/>
        </w:tabs>
        <w:ind w:left="2880" w:hanging="360"/>
      </w:pPr>
      <w:rPr>
        <w:rFonts w:ascii="Wingdings 2" w:hAnsi="Wingdings 2" w:hint="default"/>
      </w:rPr>
    </w:lvl>
    <w:lvl w:ilvl="4" w:tplc="21AC39F4" w:tentative="1">
      <w:start w:val="1"/>
      <w:numFmt w:val="bullet"/>
      <w:lvlText w:val=""/>
      <w:lvlJc w:val="left"/>
      <w:pPr>
        <w:tabs>
          <w:tab w:val="num" w:pos="3600"/>
        </w:tabs>
        <w:ind w:left="3600" w:hanging="360"/>
      </w:pPr>
      <w:rPr>
        <w:rFonts w:ascii="Wingdings 2" w:hAnsi="Wingdings 2" w:hint="default"/>
      </w:rPr>
    </w:lvl>
    <w:lvl w:ilvl="5" w:tplc="A470CA2A" w:tentative="1">
      <w:start w:val="1"/>
      <w:numFmt w:val="bullet"/>
      <w:lvlText w:val=""/>
      <w:lvlJc w:val="left"/>
      <w:pPr>
        <w:tabs>
          <w:tab w:val="num" w:pos="4320"/>
        </w:tabs>
        <w:ind w:left="4320" w:hanging="360"/>
      </w:pPr>
      <w:rPr>
        <w:rFonts w:ascii="Wingdings 2" w:hAnsi="Wingdings 2" w:hint="default"/>
      </w:rPr>
    </w:lvl>
    <w:lvl w:ilvl="6" w:tplc="6C1A9F0A" w:tentative="1">
      <w:start w:val="1"/>
      <w:numFmt w:val="bullet"/>
      <w:lvlText w:val=""/>
      <w:lvlJc w:val="left"/>
      <w:pPr>
        <w:tabs>
          <w:tab w:val="num" w:pos="5040"/>
        </w:tabs>
        <w:ind w:left="5040" w:hanging="360"/>
      </w:pPr>
      <w:rPr>
        <w:rFonts w:ascii="Wingdings 2" w:hAnsi="Wingdings 2" w:hint="default"/>
      </w:rPr>
    </w:lvl>
    <w:lvl w:ilvl="7" w:tplc="B4D62C8C" w:tentative="1">
      <w:start w:val="1"/>
      <w:numFmt w:val="bullet"/>
      <w:lvlText w:val=""/>
      <w:lvlJc w:val="left"/>
      <w:pPr>
        <w:tabs>
          <w:tab w:val="num" w:pos="5760"/>
        </w:tabs>
        <w:ind w:left="5760" w:hanging="360"/>
      </w:pPr>
      <w:rPr>
        <w:rFonts w:ascii="Wingdings 2" w:hAnsi="Wingdings 2" w:hint="default"/>
      </w:rPr>
    </w:lvl>
    <w:lvl w:ilvl="8" w:tplc="40F44932"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67D64D3"/>
    <w:multiLevelType w:val="hybridMultilevel"/>
    <w:tmpl w:val="6714C420"/>
    <w:lvl w:ilvl="0" w:tplc="913AEE38">
      <w:start w:val="1"/>
      <w:numFmt w:val="bullet"/>
      <w:lvlText w:val=""/>
      <w:lvlJc w:val="left"/>
      <w:pPr>
        <w:tabs>
          <w:tab w:val="num" w:pos="720"/>
        </w:tabs>
        <w:ind w:left="720" w:hanging="360"/>
      </w:pPr>
      <w:rPr>
        <w:rFonts w:ascii="Wingdings 2" w:hAnsi="Wingdings 2" w:hint="default"/>
      </w:rPr>
    </w:lvl>
    <w:lvl w:ilvl="1" w:tplc="9EC0A242" w:tentative="1">
      <w:start w:val="1"/>
      <w:numFmt w:val="bullet"/>
      <w:lvlText w:val=""/>
      <w:lvlJc w:val="left"/>
      <w:pPr>
        <w:tabs>
          <w:tab w:val="num" w:pos="1440"/>
        </w:tabs>
        <w:ind w:left="1440" w:hanging="360"/>
      </w:pPr>
      <w:rPr>
        <w:rFonts w:ascii="Wingdings 2" w:hAnsi="Wingdings 2" w:hint="default"/>
      </w:rPr>
    </w:lvl>
    <w:lvl w:ilvl="2" w:tplc="436CF3C2" w:tentative="1">
      <w:start w:val="1"/>
      <w:numFmt w:val="bullet"/>
      <w:lvlText w:val=""/>
      <w:lvlJc w:val="left"/>
      <w:pPr>
        <w:tabs>
          <w:tab w:val="num" w:pos="2160"/>
        </w:tabs>
        <w:ind w:left="2160" w:hanging="360"/>
      </w:pPr>
      <w:rPr>
        <w:rFonts w:ascii="Wingdings 2" w:hAnsi="Wingdings 2" w:hint="default"/>
      </w:rPr>
    </w:lvl>
    <w:lvl w:ilvl="3" w:tplc="1854D724" w:tentative="1">
      <w:start w:val="1"/>
      <w:numFmt w:val="bullet"/>
      <w:lvlText w:val=""/>
      <w:lvlJc w:val="left"/>
      <w:pPr>
        <w:tabs>
          <w:tab w:val="num" w:pos="2880"/>
        </w:tabs>
        <w:ind w:left="2880" w:hanging="360"/>
      </w:pPr>
      <w:rPr>
        <w:rFonts w:ascii="Wingdings 2" w:hAnsi="Wingdings 2" w:hint="default"/>
      </w:rPr>
    </w:lvl>
    <w:lvl w:ilvl="4" w:tplc="1AA2FB92" w:tentative="1">
      <w:start w:val="1"/>
      <w:numFmt w:val="bullet"/>
      <w:lvlText w:val=""/>
      <w:lvlJc w:val="left"/>
      <w:pPr>
        <w:tabs>
          <w:tab w:val="num" w:pos="3600"/>
        </w:tabs>
        <w:ind w:left="3600" w:hanging="360"/>
      </w:pPr>
      <w:rPr>
        <w:rFonts w:ascii="Wingdings 2" w:hAnsi="Wingdings 2" w:hint="default"/>
      </w:rPr>
    </w:lvl>
    <w:lvl w:ilvl="5" w:tplc="C166044E" w:tentative="1">
      <w:start w:val="1"/>
      <w:numFmt w:val="bullet"/>
      <w:lvlText w:val=""/>
      <w:lvlJc w:val="left"/>
      <w:pPr>
        <w:tabs>
          <w:tab w:val="num" w:pos="4320"/>
        </w:tabs>
        <w:ind w:left="4320" w:hanging="360"/>
      </w:pPr>
      <w:rPr>
        <w:rFonts w:ascii="Wingdings 2" w:hAnsi="Wingdings 2" w:hint="default"/>
      </w:rPr>
    </w:lvl>
    <w:lvl w:ilvl="6" w:tplc="9CFAC234" w:tentative="1">
      <w:start w:val="1"/>
      <w:numFmt w:val="bullet"/>
      <w:lvlText w:val=""/>
      <w:lvlJc w:val="left"/>
      <w:pPr>
        <w:tabs>
          <w:tab w:val="num" w:pos="5040"/>
        </w:tabs>
        <w:ind w:left="5040" w:hanging="360"/>
      </w:pPr>
      <w:rPr>
        <w:rFonts w:ascii="Wingdings 2" w:hAnsi="Wingdings 2" w:hint="default"/>
      </w:rPr>
    </w:lvl>
    <w:lvl w:ilvl="7" w:tplc="CCDE1156" w:tentative="1">
      <w:start w:val="1"/>
      <w:numFmt w:val="bullet"/>
      <w:lvlText w:val=""/>
      <w:lvlJc w:val="left"/>
      <w:pPr>
        <w:tabs>
          <w:tab w:val="num" w:pos="5760"/>
        </w:tabs>
        <w:ind w:left="5760" w:hanging="360"/>
      </w:pPr>
      <w:rPr>
        <w:rFonts w:ascii="Wingdings 2" w:hAnsi="Wingdings 2" w:hint="default"/>
      </w:rPr>
    </w:lvl>
    <w:lvl w:ilvl="8" w:tplc="8D3E3090" w:tentative="1">
      <w:start w:val="1"/>
      <w:numFmt w:val="bullet"/>
      <w:lvlText w:val=""/>
      <w:lvlJc w:val="left"/>
      <w:pPr>
        <w:tabs>
          <w:tab w:val="num" w:pos="6480"/>
        </w:tabs>
        <w:ind w:left="6480" w:hanging="360"/>
      </w:pPr>
      <w:rPr>
        <w:rFonts w:ascii="Wingdings 2" w:hAnsi="Wingdings 2" w:hint="default"/>
      </w:rPr>
    </w:lvl>
  </w:abstractNum>
  <w:abstractNum w:abstractNumId="12">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4826EC"/>
    <w:multiLevelType w:val="hybridMultilevel"/>
    <w:tmpl w:val="A99EB7AA"/>
    <w:lvl w:ilvl="0" w:tplc="70F86474">
      <w:start w:val="1"/>
      <w:numFmt w:val="bullet"/>
      <w:lvlText w:val=""/>
      <w:lvlJc w:val="left"/>
      <w:pPr>
        <w:tabs>
          <w:tab w:val="num" w:pos="720"/>
        </w:tabs>
        <w:ind w:left="720" w:hanging="360"/>
      </w:pPr>
      <w:rPr>
        <w:rFonts w:ascii="Wingdings 2" w:hAnsi="Wingdings 2" w:hint="default"/>
      </w:rPr>
    </w:lvl>
    <w:lvl w:ilvl="1" w:tplc="1366A916" w:tentative="1">
      <w:start w:val="1"/>
      <w:numFmt w:val="bullet"/>
      <w:lvlText w:val=""/>
      <w:lvlJc w:val="left"/>
      <w:pPr>
        <w:tabs>
          <w:tab w:val="num" w:pos="1440"/>
        </w:tabs>
        <w:ind w:left="1440" w:hanging="360"/>
      </w:pPr>
      <w:rPr>
        <w:rFonts w:ascii="Wingdings 2" w:hAnsi="Wingdings 2" w:hint="default"/>
      </w:rPr>
    </w:lvl>
    <w:lvl w:ilvl="2" w:tplc="37287944" w:tentative="1">
      <w:start w:val="1"/>
      <w:numFmt w:val="bullet"/>
      <w:lvlText w:val=""/>
      <w:lvlJc w:val="left"/>
      <w:pPr>
        <w:tabs>
          <w:tab w:val="num" w:pos="2160"/>
        </w:tabs>
        <w:ind w:left="2160" w:hanging="360"/>
      </w:pPr>
      <w:rPr>
        <w:rFonts w:ascii="Wingdings 2" w:hAnsi="Wingdings 2" w:hint="default"/>
      </w:rPr>
    </w:lvl>
    <w:lvl w:ilvl="3" w:tplc="C1F0AEBC" w:tentative="1">
      <w:start w:val="1"/>
      <w:numFmt w:val="bullet"/>
      <w:lvlText w:val=""/>
      <w:lvlJc w:val="left"/>
      <w:pPr>
        <w:tabs>
          <w:tab w:val="num" w:pos="2880"/>
        </w:tabs>
        <w:ind w:left="2880" w:hanging="360"/>
      </w:pPr>
      <w:rPr>
        <w:rFonts w:ascii="Wingdings 2" w:hAnsi="Wingdings 2" w:hint="default"/>
      </w:rPr>
    </w:lvl>
    <w:lvl w:ilvl="4" w:tplc="0EA87F54" w:tentative="1">
      <w:start w:val="1"/>
      <w:numFmt w:val="bullet"/>
      <w:lvlText w:val=""/>
      <w:lvlJc w:val="left"/>
      <w:pPr>
        <w:tabs>
          <w:tab w:val="num" w:pos="3600"/>
        </w:tabs>
        <w:ind w:left="3600" w:hanging="360"/>
      </w:pPr>
      <w:rPr>
        <w:rFonts w:ascii="Wingdings 2" w:hAnsi="Wingdings 2" w:hint="default"/>
      </w:rPr>
    </w:lvl>
    <w:lvl w:ilvl="5" w:tplc="391063D0" w:tentative="1">
      <w:start w:val="1"/>
      <w:numFmt w:val="bullet"/>
      <w:lvlText w:val=""/>
      <w:lvlJc w:val="left"/>
      <w:pPr>
        <w:tabs>
          <w:tab w:val="num" w:pos="4320"/>
        </w:tabs>
        <w:ind w:left="4320" w:hanging="360"/>
      </w:pPr>
      <w:rPr>
        <w:rFonts w:ascii="Wingdings 2" w:hAnsi="Wingdings 2" w:hint="default"/>
      </w:rPr>
    </w:lvl>
    <w:lvl w:ilvl="6" w:tplc="90B85F76" w:tentative="1">
      <w:start w:val="1"/>
      <w:numFmt w:val="bullet"/>
      <w:lvlText w:val=""/>
      <w:lvlJc w:val="left"/>
      <w:pPr>
        <w:tabs>
          <w:tab w:val="num" w:pos="5040"/>
        </w:tabs>
        <w:ind w:left="5040" w:hanging="360"/>
      </w:pPr>
      <w:rPr>
        <w:rFonts w:ascii="Wingdings 2" w:hAnsi="Wingdings 2" w:hint="default"/>
      </w:rPr>
    </w:lvl>
    <w:lvl w:ilvl="7" w:tplc="85847E30" w:tentative="1">
      <w:start w:val="1"/>
      <w:numFmt w:val="bullet"/>
      <w:lvlText w:val=""/>
      <w:lvlJc w:val="left"/>
      <w:pPr>
        <w:tabs>
          <w:tab w:val="num" w:pos="5760"/>
        </w:tabs>
        <w:ind w:left="5760" w:hanging="360"/>
      </w:pPr>
      <w:rPr>
        <w:rFonts w:ascii="Wingdings 2" w:hAnsi="Wingdings 2" w:hint="default"/>
      </w:rPr>
    </w:lvl>
    <w:lvl w:ilvl="8" w:tplc="776E4E8E"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4732A9"/>
    <w:multiLevelType w:val="hybridMultilevel"/>
    <w:tmpl w:val="541A0072"/>
    <w:lvl w:ilvl="0" w:tplc="54E2F8A4">
      <w:start w:val="1"/>
      <w:numFmt w:val="bullet"/>
      <w:lvlText w:val=""/>
      <w:lvlJc w:val="left"/>
      <w:pPr>
        <w:tabs>
          <w:tab w:val="num" w:pos="720"/>
        </w:tabs>
        <w:ind w:left="720" w:hanging="360"/>
      </w:pPr>
      <w:rPr>
        <w:rFonts w:ascii="Wingdings 2" w:hAnsi="Wingdings 2" w:hint="default"/>
      </w:rPr>
    </w:lvl>
    <w:lvl w:ilvl="1" w:tplc="52D63CFC" w:tentative="1">
      <w:start w:val="1"/>
      <w:numFmt w:val="bullet"/>
      <w:lvlText w:val=""/>
      <w:lvlJc w:val="left"/>
      <w:pPr>
        <w:tabs>
          <w:tab w:val="num" w:pos="1440"/>
        </w:tabs>
        <w:ind w:left="1440" w:hanging="360"/>
      </w:pPr>
      <w:rPr>
        <w:rFonts w:ascii="Wingdings 2" w:hAnsi="Wingdings 2" w:hint="default"/>
      </w:rPr>
    </w:lvl>
    <w:lvl w:ilvl="2" w:tplc="F1DE74D4" w:tentative="1">
      <w:start w:val="1"/>
      <w:numFmt w:val="bullet"/>
      <w:lvlText w:val=""/>
      <w:lvlJc w:val="left"/>
      <w:pPr>
        <w:tabs>
          <w:tab w:val="num" w:pos="2160"/>
        </w:tabs>
        <w:ind w:left="2160" w:hanging="360"/>
      </w:pPr>
      <w:rPr>
        <w:rFonts w:ascii="Wingdings 2" w:hAnsi="Wingdings 2" w:hint="default"/>
      </w:rPr>
    </w:lvl>
    <w:lvl w:ilvl="3" w:tplc="8A8E073A" w:tentative="1">
      <w:start w:val="1"/>
      <w:numFmt w:val="bullet"/>
      <w:lvlText w:val=""/>
      <w:lvlJc w:val="left"/>
      <w:pPr>
        <w:tabs>
          <w:tab w:val="num" w:pos="2880"/>
        </w:tabs>
        <w:ind w:left="2880" w:hanging="360"/>
      </w:pPr>
      <w:rPr>
        <w:rFonts w:ascii="Wingdings 2" w:hAnsi="Wingdings 2" w:hint="default"/>
      </w:rPr>
    </w:lvl>
    <w:lvl w:ilvl="4" w:tplc="908E15AE" w:tentative="1">
      <w:start w:val="1"/>
      <w:numFmt w:val="bullet"/>
      <w:lvlText w:val=""/>
      <w:lvlJc w:val="left"/>
      <w:pPr>
        <w:tabs>
          <w:tab w:val="num" w:pos="3600"/>
        </w:tabs>
        <w:ind w:left="3600" w:hanging="360"/>
      </w:pPr>
      <w:rPr>
        <w:rFonts w:ascii="Wingdings 2" w:hAnsi="Wingdings 2" w:hint="default"/>
      </w:rPr>
    </w:lvl>
    <w:lvl w:ilvl="5" w:tplc="04FA3B18" w:tentative="1">
      <w:start w:val="1"/>
      <w:numFmt w:val="bullet"/>
      <w:lvlText w:val=""/>
      <w:lvlJc w:val="left"/>
      <w:pPr>
        <w:tabs>
          <w:tab w:val="num" w:pos="4320"/>
        </w:tabs>
        <w:ind w:left="4320" w:hanging="360"/>
      </w:pPr>
      <w:rPr>
        <w:rFonts w:ascii="Wingdings 2" w:hAnsi="Wingdings 2" w:hint="default"/>
      </w:rPr>
    </w:lvl>
    <w:lvl w:ilvl="6" w:tplc="73AC3236" w:tentative="1">
      <w:start w:val="1"/>
      <w:numFmt w:val="bullet"/>
      <w:lvlText w:val=""/>
      <w:lvlJc w:val="left"/>
      <w:pPr>
        <w:tabs>
          <w:tab w:val="num" w:pos="5040"/>
        </w:tabs>
        <w:ind w:left="5040" w:hanging="360"/>
      </w:pPr>
      <w:rPr>
        <w:rFonts w:ascii="Wingdings 2" w:hAnsi="Wingdings 2" w:hint="default"/>
      </w:rPr>
    </w:lvl>
    <w:lvl w:ilvl="7" w:tplc="D21E4A9C" w:tentative="1">
      <w:start w:val="1"/>
      <w:numFmt w:val="bullet"/>
      <w:lvlText w:val=""/>
      <w:lvlJc w:val="left"/>
      <w:pPr>
        <w:tabs>
          <w:tab w:val="num" w:pos="5760"/>
        </w:tabs>
        <w:ind w:left="5760" w:hanging="360"/>
      </w:pPr>
      <w:rPr>
        <w:rFonts w:ascii="Wingdings 2" w:hAnsi="Wingdings 2" w:hint="default"/>
      </w:rPr>
    </w:lvl>
    <w:lvl w:ilvl="8" w:tplc="A298100A"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1"/>
  </w:num>
  <w:num w:numId="11">
    <w:abstractNumId w:val="13"/>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5"/>
  </w:num>
  <w:num w:numId="28">
    <w:abstractNumId w:val="14"/>
  </w:num>
  <w:num w:numId="29">
    <w:abstractNumId w:val="34"/>
  </w:num>
  <w:num w:numId="30">
    <w:abstractNumId w:val="40"/>
  </w:num>
  <w:num w:numId="31">
    <w:abstractNumId w:val="31"/>
  </w:num>
  <w:num w:numId="32">
    <w:abstractNumId w:val="4"/>
  </w:num>
  <w:num w:numId="33">
    <w:abstractNumId w:val="29"/>
  </w:num>
  <w:num w:numId="34">
    <w:abstractNumId w:val="24"/>
  </w:num>
  <w:num w:numId="35">
    <w:abstractNumId w:val="17"/>
  </w:num>
  <w:num w:numId="36">
    <w:abstractNumId w:val="15"/>
  </w:num>
  <w:num w:numId="37">
    <w:abstractNumId w:val="12"/>
  </w:num>
  <w:num w:numId="38">
    <w:abstractNumId w:val="39"/>
  </w:num>
  <w:num w:numId="39">
    <w:abstractNumId w:val="19"/>
  </w:num>
  <w:num w:numId="40">
    <w:abstractNumId w:val="16"/>
  </w:num>
  <w:num w:numId="41">
    <w:abstractNumId w:val="26"/>
  </w:num>
  <w:num w:numId="42">
    <w:abstractNumId w:val="11"/>
  </w:num>
  <w:num w:numId="43">
    <w:abstractNumId w:val="3"/>
  </w:num>
  <w:num w:numId="44">
    <w:abstractNumId w:val="25"/>
  </w:num>
  <w:num w:numId="45">
    <w:abstractNumId w:val="9"/>
  </w:num>
  <w:num w:numId="46">
    <w:abstractNumId w:val="2"/>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3898"/>
    <w:rsid w:val="000344D6"/>
    <w:rsid w:val="00034A09"/>
    <w:rsid w:val="00037145"/>
    <w:rsid w:val="000371F9"/>
    <w:rsid w:val="0003746D"/>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279B1"/>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47EF"/>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5CDE"/>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62"/>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2190"/>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27A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426C"/>
    <w:rsid w:val="00B7611D"/>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0024439">
      <w:bodyDiv w:val="1"/>
      <w:marLeft w:val="0"/>
      <w:marRight w:val="0"/>
      <w:marTop w:val="0"/>
      <w:marBottom w:val="0"/>
      <w:divBdr>
        <w:top w:val="none" w:sz="0" w:space="0" w:color="auto"/>
        <w:left w:val="none" w:sz="0" w:space="0" w:color="auto"/>
        <w:bottom w:val="none" w:sz="0" w:space="0" w:color="auto"/>
        <w:right w:val="none" w:sz="0" w:space="0" w:color="auto"/>
      </w:divBdr>
      <w:divsChild>
        <w:div w:id="163054959">
          <w:marLeft w:val="576"/>
          <w:marRight w:val="0"/>
          <w:marTop w:val="120"/>
          <w:marBottom w:val="0"/>
          <w:divBdr>
            <w:top w:val="none" w:sz="0" w:space="0" w:color="auto"/>
            <w:left w:val="none" w:sz="0" w:space="0" w:color="auto"/>
            <w:bottom w:val="none" w:sz="0" w:space="0" w:color="auto"/>
            <w:right w:val="none" w:sz="0" w:space="0" w:color="auto"/>
          </w:divBdr>
        </w:div>
        <w:div w:id="1926567904">
          <w:marLeft w:val="576"/>
          <w:marRight w:val="0"/>
          <w:marTop w:val="120"/>
          <w:marBottom w:val="0"/>
          <w:divBdr>
            <w:top w:val="none" w:sz="0" w:space="0" w:color="auto"/>
            <w:left w:val="none" w:sz="0" w:space="0" w:color="auto"/>
            <w:bottom w:val="none" w:sz="0" w:space="0" w:color="auto"/>
            <w:right w:val="none" w:sz="0" w:space="0" w:color="auto"/>
          </w:divBdr>
        </w:div>
        <w:div w:id="1761175690">
          <w:marLeft w:val="576"/>
          <w:marRight w:val="0"/>
          <w:marTop w:val="120"/>
          <w:marBottom w:val="0"/>
          <w:divBdr>
            <w:top w:val="none" w:sz="0" w:space="0" w:color="auto"/>
            <w:left w:val="none" w:sz="0" w:space="0" w:color="auto"/>
            <w:bottom w:val="none" w:sz="0" w:space="0" w:color="auto"/>
            <w:right w:val="none" w:sz="0" w:space="0" w:color="auto"/>
          </w:divBdr>
        </w:div>
        <w:div w:id="34387062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0643506">
      <w:bodyDiv w:val="1"/>
      <w:marLeft w:val="0"/>
      <w:marRight w:val="0"/>
      <w:marTop w:val="0"/>
      <w:marBottom w:val="0"/>
      <w:divBdr>
        <w:top w:val="none" w:sz="0" w:space="0" w:color="auto"/>
        <w:left w:val="none" w:sz="0" w:space="0" w:color="auto"/>
        <w:bottom w:val="none" w:sz="0" w:space="0" w:color="auto"/>
        <w:right w:val="none" w:sz="0" w:space="0" w:color="auto"/>
      </w:divBdr>
      <w:divsChild>
        <w:div w:id="1738937757">
          <w:marLeft w:val="576"/>
          <w:marRight w:val="0"/>
          <w:marTop w:val="120"/>
          <w:marBottom w:val="0"/>
          <w:divBdr>
            <w:top w:val="none" w:sz="0" w:space="0" w:color="auto"/>
            <w:left w:val="none" w:sz="0" w:space="0" w:color="auto"/>
            <w:bottom w:val="none" w:sz="0" w:space="0" w:color="auto"/>
            <w:right w:val="none" w:sz="0" w:space="0" w:color="auto"/>
          </w:divBdr>
        </w:div>
        <w:div w:id="1215463421">
          <w:marLeft w:val="576"/>
          <w:marRight w:val="0"/>
          <w:marTop w:val="120"/>
          <w:marBottom w:val="0"/>
          <w:divBdr>
            <w:top w:val="none" w:sz="0" w:space="0" w:color="auto"/>
            <w:left w:val="none" w:sz="0" w:space="0" w:color="auto"/>
            <w:bottom w:val="none" w:sz="0" w:space="0" w:color="auto"/>
            <w:right w:val="none" w:sz="0" w:space="0" w:color="auto"/>
          </w:divBdr>
        </w:div>
        <w:div w:id="763115726">
          <w:marLeft w:val="576"/>
          <w:marRight w:val="0"/>
          <w:marTop w:val="120"/>
          <w:marBottom w:val="0"/>
          <w:divBdr>
            <w:top w:val="none" w:sz="0" w:space="0" w:color="auto"/>
            <w:left w:val="none" w:sz="0" w:space="0" w:color="auto"/>
            <w:bottom w:val="none" w:sz="0" w:space="0" w:color="auto"/>
            <w:right w:val="none" w:sz="0" w:space="0" w:color="auto"/>
          </w:divBdr>
        </w:div>
        <w:div w:id="139612296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6793984">
      <w:bodyDiv w:val="1"/>
      <w:marLeft w:val="0"/>
      <w:marRight w:val="0"/>
      <w:marTop w:val="0"/>
      <w:marBottom w:val="0"/>
      <w:divBdr>
        <w:top w:val="none" w:sz="0" w:space="0" w:color="auto"/>
        <w:left w:val="none" w:sz="0" w:space="0" w:color="auto"/>
        <w:bottom w:val="none" w:sz="0" w:space="0" w:color="auto"/>
        <w:right w:val="none" w:sz="0" w:space="0" w:color="auto"/>
      </w:divBdr>
      <w:divsChild>
        <w:div w:id="644510630">
          <w:marLeft w:val="576"/>
          <w:marRight w:val="0"/>
          <w:marTop w:val="120"/>
          <w:marBottom w:val="0"/>
          <w:divBdr>
            <w:top w:val="none" w:sz="0" w:space="0" w:color="auto"/>
            <w:left w:val="none" w:sz="0" w:space="0" w:color="auto"/>
            <w:bottom w:val="none" w:sz="0" w:space="0" w:color="auto"/>
            <w:right w:val="none" w:sz="0" w:space="0" w:color="auto"/>
          </w:divBdr>
        </w:div>
        <w:div w:id="1692144608">
          <w:marLeft w:val="576"/>
          <w:marRight w:val="0"/>
          <w:marTop w:val="120"/>
          <w:marBottom w:val="0"/>
          <w:divBdr>
            <w:top w:val="none" w:sz="0" w:space="0" w:color="auto"/>
            <w:left w:val="none" w:sz="0" w:space="0" w:color="auto"/>
            <w:bottom w:val="none" w:sz="0" w:space="0" w:color="auto"/>
            <w:right w:val="none" w:sz="0" w:space="0" w:color="auto"/>
          </w:divBdr>
        </w:div>
        <w:div w:id="5180146">
          <w:marLeft w:val="576"/>
          <w:marRight w:val="0"/>
          <w:marTop w:val="120"/>
          <w:marBottom w:val="0"/>
          <w:divBdr>
            <w:top w:val="none" w:sz="0" w:space="0" w:color="auto"/>
            <w:left w:val="none" w:sz="0" w:space="0" w:color="auto"/>
            <w:bottom w:val="none" w:sz="0" w:space="0" w:color="auto"/>
            <w:right w:val="none" w:sz="0" w:space="0" w:color="auto"/>
          </w:divBdr>
        </w:div>
        <w:div w:id="1922526330">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8192165">
      <w:bodyDiv w:val="1"/>
      <w:marLeft w:val="0"/>
      <w:marRight w:val="0"/>
      <w:marTop w:val="0"/>
      <w:marBottom w:val="0"/>
      <w:divBdr>
        <w:top w:val="none" w:sz="0" w:space="0" w:color="auto"/>
        <w:left w:val="none" w:sz="0" w:space="0" w:color="auto"/>
        <w:bottom w:val="none" w:sz="0" w:space="0" w:color="auto"/>
        <w:right w:val="none" w:sz="0" w:space="0" w:color="auto"/>
      </w:divBdr>
      <w:divsChild>
        <w:div w:id="799424635">
          <w:marLeft w:val="576"/>
          <w:marRight w:val="0"/>
          <w:marTop w:val="120"/>
          <w:marBottom w:val="0"/>
          <w:divBdr>
            <w:top w:val="none" w:sz="0" w:space="0" w:color="auto"/>
            <w:left w:val="none" w:sz="0" w:space="0" w:color="auto"/>
            <w:bottom w:val="none" w:sz="0" w:space="0" w:color="auto"/>
            <w:right w:val="none" w:sz="0" w:space="0" w:color="auto"/>
          </w:divBdr>
        </w:div>
        <w:div w:id="1343818475">
          <w:marLeft w:val="576"/>
          <w:marRight w:val="0"/>
          <w:marTop w:val="120"/>
          <w:marBottom w:val="0"/>
          <w:divBdr>
            <w:top w:val="none" w:sz="0" w:space="0" w:color="auto"/>
            <w:left w:val="none" w:sz="0" w:space="0" w:color="auto"/>
            <w:bottom w:val="none" w:sz="0" w:space="0" w:color="auto"/>
            <w:right w:val="none" w:sz="0" w:space="0" w:color="auto"/>
          </w:divBdr>
        </w:div>
        <w:div w:id="1706367899">
          <w:marLeft w:val="576"/>
          <w:marRight w:val="0"/>
          <w:marTop w:val="120"/>
          <w:marBottom w:val="0"/>
          <w:divBdr>
            <w:top w:val="none" w:sz="0" w:space="0" w:color="auto"/>
            <w:left w:val="none" w:sz="0" w:space="0" w:color="auto"/>
            <w:bottom w:val="none" w:sz="0" w:space="0" w:color="auto"/>
            <w:right w:val="none" w:sz="0" w:space="0" w:color="auto"/>
          </w:divBdr>
        </w:div>
        <w:div w:id="713971617">
          <w:marLeft w:val="576"/>
          <w:marRight w:val="0"/>
          <w:marTop w:val="120"/>
          <w:marBottom w:val="0"/>
          <w:divBdr>
            <w:top w:val="none" w:sz="0" w:space="0" w:color="auto"/>
            <w:left w:val="none" w:sz="0" w:space="0" w:color="auto"/>
            <w:bottom w:val="none" w:sz="0" w:space="0" w:color="auto"/>
            <w:right w:val="none" w:sz="0" w:space="0" w:color="auto"/>
          </w:divBdr>
        </w:div>
        <w:div w:id="178330351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0887367">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044182">
      <w:bodyDiv w:val="1"/>
      <w:marLeft w:val="0"/>
      <w:marRight w:val="0"/>
      <w:marTop w:val="0"/>
      <w:marBottom w:val="0"/>
      <w:divBdr>
        <w:top w:val="none" w:sz="0" w:space="0" w:color="auto"/>
        <w:left w:val="none" w:sz="0" w:space="0" w:color="auto"/>
        <w:bottom w:val="none" w:sz="0" w:space="0" w:color="auto"/>
        <w:right w:val="none" w:sz="0" w:space="0" w:color="auto"/>
      </w:divBdr>
      <w:divsChild>
        <w:div w:id="912156596">
          <w:marLeft w:val="576"/>
          <w:marRight w:val="0"/>
          <w:marTop w:val="120"/>
          <w:marBottom w:val="0"/>
          <w:divBdr>
            <w:top w:val="none" w:sz="0" w:space="0" w:color="auto"/>
            <w:left w:val="none" w:sz="0" w:space="0" w:color="auto"/>
            <w:bottom w:val="none" w:sz="0" w:space="0" w:color="auto"/>
            <w:right w:val="none" w:sz="0" w:space="0" w:color="auto"/>
          </w:divBdr>
        </w:div>
        <w:div w:id="491482820">
          <w:marLeft w:val="576"/>
          <w:marRight w:val="0"/>
          <w:marTop w:val="120"/>
          <w:marBottom w:val="0"/>
          <w:divBdr>
            <w:top w:val="none" w:sz="0" w:space="0" w:color="auto"/>
            <w:left w:val="none" w:sz="0" w:space="0" w:color="auto"/>
            <w:bottom w:val="none" w:sz="0" w:space="0" w:color="auto"/>
            <w:right w:val="none" w:sz="0" w:space="0" w:color="auto"/>
          </w:divBdr>
        </w:div>
        <w:div w:id="267128951">
          <w:marLeft w:val="576"/>
          <w:marRight w:val="0"/>
          <w:marTop w:val="120"/>
          <w:marBottom w:val="0"/>
          <w:divBdr>
            <w:top w:val="none" w:sz="0" w:space="0" w:color="auto"/>
            <w:left w:val="none" w:sz="0" w:space="0" w:color="auto"/>
            <w:bottom w:val="none" w:sz="0" w:space="0" w:color="auto"/>
            <w:right w:val="none" w:sz="0" w:space="0" w:color="auto"/>
          </w:divBdr>
        </w:div>
        <w:div w:id="104248383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9283265">
      <w:bodyDiv w:val="1"/>
      <w:marLeft w:val="0"/>
      <w:marRight w:val="0"/>
      <w:marTop w:val="0"/>
      <w:marBottom w:val="0"/>
      <w:divBdr>
        <w:top w:val="none" w:sz="0" w:space="0" w:color="auto"/>
        <w:left w:val="none" w:sz="0" w:space="0" w:color="auto"/>
        <w:bottom w:val="none" w:sz="0" w:space="0" w:color="auto"/>
        <w:right w:val="none" w:sz="0" w:space="0" w:color="auto"/>
      </w:divBdr>
      <w:divsChild>
        <w:div w:id="2030713189">
          <w:marLeft w:val="0"/>
          <w:marRight w:val="0"/>
          <w:marTop w:val="0"/>
          <w:marBottom w:val="0"/>
          <w:divBdr>
            <w:top w:val="none" w:sz="0" w:space="0" w:color="auto"/>
            <w:left w:val="none" w:sz="0" w:space="0" w:color="auto"/>
            <w:bottom w:val="none" w:sz="0" w:space="0" w:color="auto"/>
            <w:right w:val="none" w:sz="0" w:space="0" w:color="auto"/>
          </w:divBdr>
          <w:divsChild>
            <w:div w:id="1671827577">
              <w:marLeft w:val="0"/>
              <w:marRight w:val="0"/>
              <w:marTop w:val="0"/>
              <w:marBottom w:val="0"/>
              <w:divBdr>
                <w:top w:val="none" w:sz="0" w:space="0" w:color="auto"/>
                <w:left w:val="none" w:sz="0" w:space="0" w:color="auto"/>
                <w:bottom w:val="none" w:sz="0" w:space="0" w:color="auto"/>
                <w:right w:val="none" w:sz="0" w:space="0" w:color="auto"/>
              </w:divBdr>
              <w:divsChild>
                <w:div w:id="1190950906">
                  <w:marLeft w:val="0"/>
                  <w:marRight w:val="0"/>
                  <w:marTop w:val="0"/>
                  <w:marBottom w:val="0"/>
                  <w:divBdr>
                    <w:top w:val="none" w:sz="0" w:space="0" w:color="auto"/>
                    <w:left w:val="none" w:sz="0" w:space="0" w:color="auto"/>
                    <w:bottom w:val="none" w:sz="0" w:space="0" w:color="auto"/>
                    <w:right w:val="none" w:sz="0" w:space="0" w:color="auto"/>
                  </w:divBdr>
                  <w:divsChild>
                    <w:div w:id="5762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1446267">
      <w:bodyDiv w:val="1"/>
      <w:marLeft w:val="0"/>
      <w:marRight w:val="0"/>
      <w:marTop w:val="0"/>
      <w:marBottom w:val="0"/>
      <w:divBdr>
        <w:top w:val="none" w:sz="0" w:space="0" w:color="auto"/>
        <w:left w:val="none" w:sz="0" w:space="0" w:color="auto"/>
        <w:bottom w:val="none" w:sz="0" w:space="0" w:color="auto"/>
        <w:right w:val="none" w:sz="0" w:space="0" w:color="auto"/>
      </w:divBdr>
      <w:divsChild>
        <w:div w:id="991829904">
          <w:marLeft w:val="576"/>
          <w:marRight w:val="0"/>
          <w:marTop w:val="120"/>
          <w:marBottom w:val="0"/>
          <w:divBdr>
            <w:top w:val="none" w:sz="0" w:space="0" w:color="auto"/>
            <w:left w:val="none" w:sz="0" w:space="0" w:color="auto"/>
            <w:bottom w:val="none" w:sz="0" w:space="0" w:color="auto"/>
            <w:right w:val="none" w:sz="0" w:space="0" w:color="auto"/>
          </w:divBdr>
        </w:div>
        <w:div w:id="1692992054">
          <w:marLeft w:val="576"/>
          <w:marRight w:val="0"/>
          <w:marTop w:val="120"/>
          <w:marBottom w:val="0"/>
          <w:divBdr>
            <w:top w:val="none" w:sz="0" w:space="0" w:color="auto"/>
            <w:left w:val="none" w:sz="0" w:space="0" w:color="auto"/>
            <w:bottom w:val="none" w:sz="0" w:space="0" w:color="auto"/>
            <w:right w:val="none" w:sz="0" w:space="0" w:color="auto"/>
          </w:divBdr>
        </w:div>
        <w:div w:id="1738088801">
          <w:marLeft w:val="576"/>
          <w:marRight w:val="0"/>
          <w:marTop w:val="120"/>
          <w:marBottom w:val="0"/>
          <w:divBdr>
            <w:top w:val="none" w:sz="0" w:space="0" w:color="auto"/>
            <w:left w:val="none" w:sz="0" w:space="0" w:color="auto"/>
            <w:bottom w:val="none" w:sz="0" w:space="0" w:color="auto"/>
            <w:right w:val="none" w:sz="0" w:space="0" w:color="auto"/>
          </w:divBdr>
        </w:div>
        <w:div w:id="170222795">
          <w:marLeft w:val="576"/>
          <w:marRight w:val="0"/>
          <w:marTop w:val="120"/>
          <w:marBottom w:val="0"/>
          <w:divBdr>
            <w:top w:val="none" w:sz="0" w:space="0" w:color="auto"/>
            <w:left w:val="none" w:sz="0" w:space="0" w:color="auto"/>
            <w:bottom w:val="none" w:sz="0" w:space="0" w:color="auto"/>
            <w:right w:val="none" w:sz="0" w:space="0" w:color="auto"/>
          </w:divBdr>
        </w:div>
        <w:div w:id="199741667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2021-08-26T12:07:00Z</dcterms:modified>
</cp:coreProperties>
</file>