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272B8" w:rsidRDefault="00845895" w:rsidP="00A272B8">
      <w:pPr>
        <w:spacing w:line="360" w:lineRule="auto"/>
        <w:jc w:val="center"/>
        <w:rPr>
          <w:rFonts w:ascii="Times New Roman" w:hAnsi="Times New Roman" w:cs="Times New Roman"/>
          <w:b/>
          <w:sz w:val="48"/>
          <w:szCs w:val="48"/>
        </w:rPr>
      </w:pPr>
    </w:p>
    <w:p w:rsidR="00CF3C1B" w:rsidRPr="00A272B8" w:rsidRDefault="00A272B8" w:rsidP="00A272B8">
      <w:pPr>
        <w:spacing w:line="360" w:lineRule="auto"/>
        <w:jc w:val="center"/>
        <w:rPr>
          <w:rFonts w:ascii="Times New Roman" w:hAnsi="Times New Roman" w:cs="Times New Roman"/>
          <w:b/>
          <w:sz w:val="48"/>
          <w:szCs w:val="48"/>
        </w:rPr>
      </w:pPr>
      <w:r w:rsidRPr="00A272B8">
        <w:rPr>
          <w:rFonts w:ascii="Times New Roman" w:hAnsi="Times New Roman" w:cs="Times New Roman"/>
          <w:b/>
          <w:sz w:val="48"/>
          <w:szCs w:val="48"/>
        </w:rPr>
        <w:t>A 193-nW Wake-Up Receiver Achieving -84.5-dBm Sensitivity For Green Wireless Communications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72B8" w:rsidRDefault="00A272B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06110F" w:rsidRDefault="0006110F" w:rsidP="0006110F">
      <w:pPr>
        <w:spacing w:line="360" w:lineRule="auto"/>
        <w:jc w:val="both"/>
        <w:rPr>
          <w:rFonts w:ascii="Times New Roman" w:hAnsi="Times New Roman" w:cs="Times New Roman"/>
          <w:bCs/>
          <w:sz w:val="32"/>
          <w:szCs w:val="32"/>
        </w:rPr>
      </w:pPr>
      <w:r w:rsidRPr="0006110F">
        <w:rPr>
          <w:rFonts w:ascii="Times New Roman" w:hAnsi="Times New Roman" w:cs="Times New Roman"/>
          <w:bCs/>
          <w:sz w:val="32"/>
          <w:szCs w:val="32"/>
        </w:rPr>
        <w:t>This paper presents a cost-effective, ultra-low-power and highly sensitive wake-up receiver (WuRX) to reduce overall power consumption of Wireless Sensor Networks (WSN). The proposed tuned radio frequency (TRF) receiver (RX) analogue front-end (AFE) incorporates a 400-MHz, low-power, low-noise amplifier (LNA) with a high voltage gain of 50 dB as well as a Gilbert Cell based envelop detector achieving a conversion gain of 224 V-1 to enhance the overall sensitivity of the WuRX. Meanwhile, a duty-cycling technique is used to reduce the power consumption of the WuRX AFE. In addition, a 31-bit correlator is implemented in the WuRX digital back-end (DBE) to further improve the sensitivity of the WuRX by 4 dB. A proof-of-concept WuRX circuit prototype has been fabricated in a low-cost 180-nm CMOS technology. Measurement results show the complete WuRX attains a sensitivity of -84.5 dBm at a wake-up error rate (WER) of 10-3 whilst only consuming 193 nW at the minimum data rate of 64 bps with a carrier frequency of 402 MHz. With the sensitivity unchanged, the data rate of the WuRX can be scaled up from 64 bps to 8.2 kbps. The used 4-time oversampling technique makes the WuRX robust against asynchronization and clock deviation between the TX and RX. The proposed WuRX is a promising solution for energy-efficient rendezvous between wireless sensor nodes, particularly in application scenarios where both low power consumption and high sensitivity are indispensable.</w:t>
      </w:r>
    </w:p>
    <w:p w:rsidR="006A300A" w:rsidRPr="0006110F" w:rsidRDefault="006A300A" w:rsidP="0006110F">
      <w:pPr>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4083B" w:rsidRDefault="00AC5CDA" w:rsidP="001408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083B">
        <w:rPr>
          <w:rFonts w:ascii="Times New Roman" w:hAnsi="Times New Roman" w:cs="Times New Roman"/>
          <w:sz w:val="32"/>
          <w:szCs w:val="32"/>
          <w:lang w:val="en-IN"/>
        </w:rPr>
        <w:t>A survey of existing FM-UWB transceiver implementations provides a glimpse into the practical capabilities of this modulation scheme.</w:t>
      </w:r>
    </w:p>
    <w:p w:rsidR="00000000" w:rsidRPr="0014083B" w:rsidRDefault="00AC5CDA" w:rsidP="001408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083B">
        <w:rPr>
          <w:rFonts w:ascii="Times New Roman" w:hAnsi="Times New Roman" w:cs="Times New Roman"/>
          <w:sz w:val="32"/>
          <w:szCs w:val="32"/>
          <w:lang w:val="en-IN"/>
        </w:rPr>
        <w:t>A wide range of wireless technologies exist that provide a different</w:t>
      </w:r>
      <w:r w:rsidRPr="0014083B">
        <w:rPr>
          <w:rFonts w:ascii="Times New Roman" w:hAnsi="Times New Roman" w:cs="Times New Roman"/>
          <w:sz w:val="32"/>
          <w:szCs w:val="32"/>
          <w:lang w:val="en-IN"/>
        </w:rPr>
        <w:t xml:space="preserve"> set of capabilities tailored for different applications.</w:t>
      </w:r>
    </w:p>
    <w:p w:rsidR="00000000" w:rsidRPr="0014083B" w:rsidRDefault="00AC5CDA" w:rsidP="001408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083B">
        <w:rPr>
          <w:rFonts w:ascii="Times New Roman" w:hAnsi="Times New Roman" w:cs="Times New Roman"/>
          <w:sz w:val="32"/>
          <w:szCs w:val="32"/>
          <w:lang w:val="en-IN"/>
        </w:rPr>
        <w:t xml:space="preserve">Both of these properties are highly important in the IoT and WSN applications, and guarantee that the FM-UWB will find its place among the existing radios. </w:t>
      </w:r>
    </w:p>
    <w:p w:rsidR="00000000" w:rsidRPr="0014083B" w:rsidRDefault="00AC5CDA" w:rsidP="001408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083B">
        <w:rPr>
          <w:rFonts w:ascii="Times New Roman" w:hAnsi="Times New Roman" w:cs="Times New Roman"/>
          <w:sz w:val="32"/>
          <w:szCs w:val="32"/>
          <w:lang w:val="en-IN"/>
        </w:rPr>
        <w:t>An existing degree of freedom in the pr</w:t>
      </w:r>
      <w:r w:rsidRPr="0014083B">
        <w:rPr>
          <w:rFonts w:ascii="Times New Roman" w:hAnsi="Times New Roman" w:cs="Times New Roman"/>
          <w:sz w:val="32"/>
          <w:szCs w:val="32"/>
          <w:lang w:val="en-IN"/>
        </w:rPr>
        <w:t xml:space="preserve">oposed modulation technique is the sub-channels scaling. </w:t>
      </w:r>
    </w:p>
    <w:p w:rsidR="00000000" w:rsidRPr="0014083B" w:rsidRDefault="00AC5CDA" w:rsidP="0014083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4083B">
        <w:rPr>
          <w:rFonts w:ascii="Times New Roman" w:hAnsi="Times New Roman" w:cs="Times New Roman"/>
          <w:sz w:val="32"/>
          <w:szCs w:val="32"/>
          <w:lang w:val="en-IN"/>
        </w:rPr>
        <w:t>Potential to parallelize communication through sub-carrier FDMA, on top of existing TDMA could bring both latency and power savings at a network level.</w:t>
      </w:r>
      <w:r w:rsidRPr="0014083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4083B" w:rsidRDefault="00AC5CDA" w:rsidP="0014083B">
      <w:pPr>
        <w:numPr>
          <w:ilvl w:val="0"/>
          <w:numId w:val="45"/>
        </w:numPr>
        <w:spacing w:line="360" w:lineRule="auto"/>
        <w:jc w:val="both"/>
        <w:rPr>
          <w:rFonts w:ascii="Times New Roman" w:hAnsi="Times New Roman" w:cs="Times New Roman"/>
          <w:bCs/>
          <w:sz w:val="32"/>
          <w:szCs w:val="32"/>
          <w:lang w:val="en-IN"/>
        </w:rPr>
      </w:pPr>
      <w:r w:rsidRPr="0014083B">
        <w:rPr>
          <w:rFonts w:ascii="Times New Roman" w:hAnsi="Times New Roman" w:cs="Times New Roman"/>
          <w:bCs/>
          <w:sz w:val="32"/>
          <w:szCs w:val="32"/>
          <w:lang w:val="en-IN"/>
        </w:rPr>
        <w:t xml:space="preserve">In </w:t>
      </w:r>
      <w:r w:rsidRPr="0014083B">
        <w:rPr>
          <w:rFonts w:ascii="Times New Roman" w:hAnsi="Times New Roman" w:cs="Times New Roman"/>
          <w:bCs/>
          <w:sz w:val="32"/>
          <w:szCs w:val="32"/>
          <w:lang w:val="en-IN"/>
        </w:rPr>
        <w:t>general, the 5G networks are expected to provide high data rates in order to deliver diverse set of new services such as ultra-high-definition video streaming or augmented reality to growing number of data-hungry users.</w:t>
      </w:r>
    </w:p>
    <w:p w:rsidR="00000000" w:rsidRPr="0014083B" w:rsidRDefault="00AC5CDA" w:rsidP="0014083B">
      <w:pPr>
        <w:numPr>
          <w:ilvl w:val="0"/>
          <w:numId w:val="45"/>
        </w:numPr>
        <w:spacing w:line="360" w:lineRule="auto"/>
        <w:jc w:val="both"/>
        <w:rPr>
          <w:rFonts w:ascii="Times New Roman" w:hAnsi="Times New Roman" w:cs="Times New Roman"/>
          <w:bCs/>
          <w:sz w:val="32"/>
          <w:szCs w:val="32"/>
          <w:lang w:val="en-IN"/>
        </w:rPr>
      </w:pPr>
      <w:r w:rsidRPr="0014083B">
        <w:rPr>
          <w:rFonts w:ascii="Times New Roman" w:hAnsi="Times New Roman" w:cs="Times New Roman"/>
          <w:bCs/>
          <w:sz w:val="32"/>
          <w:szCs w:val="32"/>
          <w:lang w:val="en-IN"/>
        </w:rPr>
        <w:lastRenderedPageBreak/>
        <w:t>This problem is severe in unsaturat</w:t>
      </w:r>
      <w:r w:rsidRPr="0014083B">
        <w:rPr>
          <w:rFonts w:ascii="Times New Roman" w:hAnsi="Times New Roman" w:cs="Times New Roman"/>
          <w:bCs/>
          <w:sz w:val="32"/>
          <w:szCs w:val="32"/>
          <w:lang w:val="en-IN"/>
        </w:rPr>
        <w:t>ed traffic scenarios, where many of the DRX cycles have eventually no data allocation for a particular mobile device.</w:t>
      </w:r>
    </w:p>
    <w:p w:rsidR="00000000" w:rsidRPr="0014083B" w:rsidRDefault="00AC5CDA" w:rsidP="0014083B">
      <w:pPr>
        <w:numPr>
          <w:ilvl w:val="0"/>
          <w:numId w:val="45"/>
        </w:numPr>
        <w:spacing w:line="360" w:lineRule="auto"/>
        <w:jc w:val="both"/>
        <w:rPr>
          <w:rFonts w:ascii="Times New Roman" w:hAnsi="Times New Roman" w:cs="Times New Roman"/>
          <w:bCs/>
          <w:sz w:val="32"/>
          <w:szCs w:val="32"/>
          <w:lang w:val="en-IN"/>
        </w:rPr>
      </w:pPr>
      <w:r w:rsidRPr="0014083B">
        <w:rPr>
          <w:rFonts w:ascii="Times New Roman" w:hAnsi="Times New Roman" w:cs="Times New Roman"/>
          <w:bCs/>
          <w:sz w:val="32"/>
          <w:szCs w:val="32"/>
          <w:lang w:val="en-IN"/>
        </w:rPr>
        <w:t>LNA deactivation together with other hardware issues easily lead to substantially reduced WRx sensitivity, compared to the sensitivity re</w:t>
      </w:r>
      <w:r w:rsidRPr="0014083B">
        <w:rPr>
          <w:rFonts w:ascii="Times New Roman" w:hAnsi="Times New Roman" w:cs="Times New Roman"/>
          <w:bCs/>
          <w:sz w:val="32"/>
          <w:szCs w:val="32"/>
          <w:lang w:val="en-IN"/>
        </w:rPr>
        <w:t>quirements of cellular devices.</w:t>
      </w:r>
    </w:p>
    <w:p w:rsidR="00000000" w:rsidRPr="0014083B" w:rsidRDefault="00AC5CDA" w:rsidP="0014083B">
      <w:pPr>
        <w:numPr>
          <w:ilvl w:val="0"/>
          <w:numId w:val="45"/>
        </w:numPr>
        <w:spacing w:line="360" w:lineRule="auto"/>
        <w:jc w:val="both"/>
        <w:rPr>
          <w:rFonts w:ascii="Times New Roman" w:hAnsi="Times New Roman" w:cs="Times New Roman"/>
          <w:bCs/>
          <w:sz w:val="32"/>
          <w:szCs w:val="32"/>
          <w:lang w:val="en-IN"/>
        </w:rPr>
      </w:pPr>
      <w:r w:rsidRPr="0014083B">
        <w:rPr>
          <w:rFonts w:ascii="Times New Roman" w:hAnsi="Times New Roman" w:cs="Times New Roman"/>
          <w:bCs/>
          <w:sz w:val="32"/>
          <w:szCs w:val="32"/>
          <w:lang w:val="en-IN"/>
        </w:rPr>
        <w:t xml:space="preserve">In order to further reduce the impact of any possible residual clock drift, the proposed receiver has two-stage mechanism to recover any potential symbol time offset (STO) and carrier frequency offset (CFO). </w:t>
      </w:r>
    </w:p>
    <w:p w:rsidR="000B33B0" w:rsidRPr="0014083B" w:rsidRDefault="006A300A" w:rsidP="0014083B">
      <w:pPr>
        <w:spacing w:line="360" w:lineRule="auto"/>
        <w:jc w:val="both"/>
        <w:rPr>
          <w:rFonts w:ascii="Times New Roman" w:eastAsia="Times New Roman" w:hAnsi="Times New Roman" w:cs="Times New Roman"/>
          <w:sz w:val="32"/>
          <w:szCs w:val="32"/>
        </w:rPr>
      </w:pPr>
      <w:r w:rsidRPr="0014083B">
        <w:rPr>
          <w:rFonts w:ascii="Times New Roman" w:hAnsi="Times New Roman" w:cs="Times New Roman"/>
          <w:b/>
          <w:sz w:val="36"/>
          <w:szCs w:val="36"/>
        </w:rPr>
        <w:t xml:space="preserve">2.2. PROPOSED </w:t>
      </w:r>
      <w:r w:rsidR="000B33B0" w:rsidRPr="0014083B">
        <w:rPr>
          <w:rFonts w:ascii="Times New Roman" w:hAnsi="Times New Roman" w:cs="Times New Roman"/>
          <w:b/>
          <w:sz w:val="36"/>
          <w:szCs w:val="36"/>
        </w:rPr>
        <w:t xml:space="preserve">SYSTEM </w:t>
      </w:r>
    </w:p>
    <w:p w:rsidR="0014083B" w:rsidRPr="0014083B" w:rsidRDefault="0014083B" w:rsidP="0014083B">
      <w:pPr>
        <w:pStyle w:val="NormalWeb"/>
        <w:numPr>
          <w:ilvl w:val="0"/>
          <w:numId w:val="46"/>
        </w:numPr>
        <w:spacing w:before="0" w:beforeAutospacing="0" w:after="0" w:afterAutospacing="0" w:line="360" w:lineRule="auto"/>
        <w:ind w:left="284"/>
        <w:jc w:val="both"/>
        <w:rPr>
          <w:sz w:val="32"/>
          <w:szCs w:val="32"/>
        </w:rPr>
      </w:pPr>
      <w:r w:rsidRPr="0014083B">
        <w:rPr>
          <w:sz w:val="32"/>
          <w:szCs w:val="32"/>
        </w:rPr>
        <w:t>A different scheme is proposed in, where the receiver is always duty cycled.</w:t>
      </w:r>
    </w:p>
    <w:p w:rsidR="0014083B" w:rsidRPr="0014083B" w:rsidRDefault="0014083B" w:rsidP="0014083B">
      <w:pPr>
        <w:pStyle w:val="NormalWeb"/>
        <w:numPr>
          <w:ilvl w:val="0"/>
          <w:numId w:val="46"/>
        </w:numPr>
        <w:spacing w:before="0" w:beforeAutospacing="0" w:after="0" w:afterAutospacing="0" w:line="360" w:lineRule="auto"/>
        <w:ind w:left="284"/>
        <w:jc w:val="both"/>
        <w:rPr>
          <w:sz w:val="32"/>
          <w:szCs w:val="32"/>
        </w:rPr>
      </w:pPr>
      <w:r w:rsidRPr="0014083B">
        <w:rPr>
          <w:sz w:val="32"/>
          <w:szCs w:val="32"/>
        </w:rPr>
        <w:t>One advantage of the proposed modification compared to the described multi-user scheme is that a larger number of channels can be used in the same bandwidth.</w:t>
      </w:r>
    </w:p>
    <w:p w:rsidR="0014083B" w:rsidRPr="0014083B" w:rsidRDefault="0014083B" w:rsidP="0014083B">
      <w:pPr>
        <w:pStyle w:val="NormalWeb"/>
        <w:numPr>
          <w:ilvl w:val="0"/>
          <w:numId w:val="46"/>
        </w:numPr>
        <w:spacing w:before="0" w:beforeAutospacing="0" w:after="0" w:afterAutospacing="0" w:line="360" w:lineRule="auto"/>
        <w:ind w:left="284"/>
        <w:jc w:val="both"/>
        <w:rPr>
          <w:sz w:val="32"/>
          <w:szCs w:val="32"/>
        </w:rPr>
      </w:pPr>
      <w:r w:rsidRPr="0014083B">
        <w:rPr>
          <w:sz w:val="32"/>
          <w:szCs w:val="32"/>
        </w:rPr>
        <w:t>The proposed wake-up receivers found in literature consume from 100 µW all the way down to 100 nW.</w:t>
      </w:r>
    </w:p>
    <w:p w:rsidR="0014083B" w:rsidRPr="0014083B" w:rsidRDefault="0014083B" w:rsidP="0014083B">
      <w:pPr>
        <w:pStyle w:val="NormalWeb"/>
        <w:numPr>
          <w:ilvl w:val="0"/>
          <w:numId w:val="46"/>
        </w:numPr>
        <w:spacing w:before="0" w:beforeAutospacing="0" w:after="0" w:afterAutospacing="0" w:line="360" w:lineRule="auto"/>
        <w:ind w:left="284"/>
        <w:jc w:val="both"/>
        <w:rPr>
          <w:sz w:val="32"/>
          <w:szCs w:val="32"/>
        </w:rPr>
      </w:pPr>
      <w:r w:rsidRPr="0014083B">
        <w:rPr>
          <w:sz w:val="32"/>
          <w:szCs w:val="32"/>
        </w:rPr>
        <w:t xml:space="preserve">The proposed design from to be truly power efficient, the LO generator must consume sufficiently low power. </w:t>
      </w:r>
    </w:p>
    <w:p w:rsidR="00BB3207" w:rsidRDefault="0014083B" w:rsidP="0014083B">
      <w:pPr>
        <w:pStyle w:val="NormalWeb"/>
        <w:numPr>
          <w:ilvl w:val="0"/>
          <w:numId w:val="46"/>
        </w:numPr>
        <w:spacing w:before="0" w:beforeAutospacing="0" w:after="0" w:afterAutospacing="0" w:line="360" w:lineRule="auto"/>
        <w:ind w:left="284"/>
        <w:jc w:val="both"/>
        <w:rPr>
          <w:sz w:val="32"/>
          <w:szCs w:val="32"/>
        </w:rPr>
      </w:pPr>
      <w:r w:rsidRPr="0014083B">
        <w:rPr>
          <w:sz w:val="32"/>
          <w:szCs w:val="32"/>
        </w:rPr>
        <w:t>However, for the proposed receiver architecture this will never be the case and the amplitude of the second harmonic will depend on offset and demodulator delay.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4083B" w:rsidRDefault="00AC5CDA" w:rsidP="00140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083B">
        <w:rPr>
          <w:rFonts w:ascii="Times New Roman" w:eastAsia="AdvGulliv-R" w:hAnsi="Times New Roman" w:cs="Times New Roman"/>
          <w:bCs/>
          <w:sz w:val="32"/>
          <w:szCs w:val="32"/>
          <w:lang w:val="en-IN"/>
        </w:rPr>
        <w:t>The wak</w:t>
      </w:r>
      <w:r w:rsidRPr="0014083B">
        <w:rPr>
          <w:rFonts w:ascii="Times New Roman" w:eastAsia="AdvGulliv-R" w:hAnsi="Times New Roman" w:cs="Times New Roman"/>
          <w:bCs/>
          <w:sz w:val="32"/>
          <w:szCs w:val="32"/>
          <w:lang w:val="en-IN"/>
        </w:rPr>
        <w:t>e-up receiver detection performance is first analysed, through empirical simulations, followed by the system energy saving and latency evaluations where also comparisons to the analytical results are made.</w:t>
      </w:r>
    </w:p>
    <w:p w:rsidR="00000000" w:rsidRPr="0014083B" w:rsidRDefault="00AC5CDA" w:rsidP="00140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083B">
        <w:rPr>
          <w:rFonts w:ascii="Times New Roman" w:eastAsia="AdvGulliv-R" w:hAnsi="Times New Roman" w:cs="Times New Roman"/>
          <w:bCs/>
          <w:sz w:val="32"/>
          <w:szCs w:val="32"/>
          <w:lang w:val="en-IN"/>
        </w:rPr>
        <w:t>Such flexibility is particularly interesting in t</w:t>
      </w:r>
      <w:r w:rsidRPr="0014083B">
        <w:rPr>
          <w:rFonts w:ascii="Times New Roman" w:eastAsia="AdvGulliv-R" w:hAnsi="Times New Roman" w:cs="Times New Roman"/>
          <w:bCs/>
          <w:sz w:val="32"/>
          <w:szCs w:val="32"/>
          <w:lang w:val="en-IN"/>
        </w:rPr>
        <w:t>he context of the wake-up scheme, as both the bandwidth and the gain performance can be adapted for the reception of the wake-up signaling.</w:t>
      </w:r>
    </w:p>
    <w:p w:rsidR="00000000" w:rsidRPr="0014083B" w:rsidRDefault="00AC5CDA" w:rsidP="00140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083B">
        <w:rPr>
          <w:rFonts w:ascii="Times New Roman" w:eastAsia="AdvGulliv-R" w:hAnsi="Times New Roman" w:cs="Times New Roman"/>
          <w:bCs/>
          <w:sz w:val="32"/>
          <w:szCs w:val="32"/>
          <w:lang w:val="en-IN"/>
        </w:rPr>
        <w:t>We begin by addressing the reliability of the wake-up signal detection at WRx, together with the achievable synchro</w:t>
      </w:r>
      <w:r w:rsidRPr="0014083B">
        <w:rPr>
          <w:rFonts w:ascii="Times New Roman" w:eastAsia="AdvGulliv-R" w:hAnsi="Times New Roman" w:cs="Times New Roman"/>
          <w:bCs/>
          <w:sz w:val="32"/>
          <w:szCs w:val="32"/>
          <w:lang w:val="en-IN"/>
        </w:rPr>
        <w:t>nization performance, with specific emphasis on challenging low-SNR conditions.</w:t>
      </w:r>
    </w:p>
    <w:p w:rsidR="00000000" w:rsidRPr="0014083B" w:rsidRDefault="00AC5CDA" w:rsidP="0014083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4083B">
        <w:rPr>
          <w:rFonts w:ascii="Times New Roman" w:eastAsia="AdvGulliv-R" w:hAnsi="Times New Roman" w:cs="Times New Roman"/>
          <w:bCs/>
          <w:sz w:val="32"/>
          <w:szCs w:val="32"/>
          <w:lang w:val="en-IN"/>
        </w:rPr>
        <w:t>The performances of the developed NM and a DRXenabled reference cellular subsystem are compared, for different values of the w-cycle and the short/long DRX cycle lengths.</w:t>
      </w:r>
      <w:r w:rsidRPr="0014083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Novel wake-up signaling for enhanced energy efficiency of 5G and beyond mobile devices</w:t>
            </w:r>
          </w:p>
        </w:tc>
        <w:tc>
          <w:tcPr>
            <w:tcW w:w="3192" w:type="dxa"/>
          </w:tcPr>
          <w:p w:rsidR="000C407B" w:rsidRPr="0014083B" w:rsidRDefault="0014083B" w:rsidP="0014083B">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 xml:space="preserve">S. Rostami, K. Heiska, O. Puchko, J. Talvitie, K. Leppanen, and M. Valkama, </w:t>
            </w:r>
          </w:p>
        </w:tc>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color w:val="333333"/>
                <w:sz w:val="28"/>
                <w:szCs w:val="28"/>
                <w:shd w:val="clear" w:color="auto" w:fill="FFFFFF"/>
              </w:rPr>
              <w:t>In this paper, a new wake-up signaling for 5G control plane is introduced, aiming to reduce energy consumption of cellular module in downlink.</w:t>
            </w:r>
          </w:p>
        </w:tc>
      </w:tr>
      <w:tr w:rsidR="000C407B" w:rsidTr="000C407B">
        <w:trPr>
          <w:trHeight w:val="2942"/>
        </w:trPr>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lastRenderedPageBreak/>
              <w:t>Five disruptive technology directions for 5G</w:t>
            </w:r>
          </w:p>
        </w:tc>
        <w:tc>
          <w:tcPr>
            <w:tcW w:w="3192" w:type="dxa"/>
          </w:tcPr>
          <w:p w:rsidR="000C407B" w:rsidRPr="0014083B" w:rsidRDefault="0014083B" w:rsidP="0014083B">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 xml:space="preserve">F. Boccardi, R. W. Heath, A. Lozano, T. L. Marzetta, and P. Popovski, </w:t>
            </w:r>
          </w:p>
        </w:tc>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color w:val="333333"/>
                <w:sz w:val="28"/>
                <w:szCs w:val="28"/>
                <w:shd w:val="clear" w:color="auto" w:fill="FFFFFF"/>
              </w:rPr>
              <w:t>The key ideas for each technology are described, along with their potential impact on 5G and the research challenges that remain.</w:t>
            </w:r>
          </w:p>
        </w:tc>
      </w:tr>
      <w:tr w:rsidR="000C407B" w:rsidTr="000C407B">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5G: Personal mobile internet beyond what cellular did to telephony</w:t>
            </w:r>
          </w:p>
        </w:tc>
        <w:tc>
          <w:tcPr>
            <w:tcW w:w="3192" w:type="dxa"/>
          </w:tcPr>
          <w:p w:rsidR="000C407B" w:rsidRPr="0014083B" w:rsidRDefault="0014083B" w:rsidP="0014083B">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 xml:space="preserve">G. Fettweis and S. Alamouti, </w:t>
            </w:r>
          </w:p>
        </w:tc>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color w:val="333333"/>
                <w:sz w:val="28"/>
                <w:szCs w:val="28"/>
                <w:shd w:val="clear" w:color="auto" w:fill="FFFFFF"/>
              </w:rPr>
              <w:t>Cellular technology has dramatically changed our society and the way we communicate. First it impacted voice telephony, and then has been making inroads into data access, applications, and services.</w:t>
            </w:r>
          </w:p>
        </w:tc>
      </w:tr>
      <w:tr w:rsidR="000C407B" w:rsidTr="000C407B">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Powering the Internet of Things</w:t>
            </w:r>
          </w:p>
        </w:tc>
        <w:tc>
          <w:tcPr>
            <w:tcW w:w="3192" w:type="dxa"/>
          </w:tcPr>
          <w:p w:rsidR="000C407B" w:rsidRPr="0014083B" w:rsidRDefault="0014083B" w:rsidP="0014083B">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sz w:val="28"/>
                <w:szCs w:val="28"/>
              </w:rPr>
              <w:t xml:space="preserve">H. Jayakumar, K. Lee, W. S. Lee, A. Raha, Y. Kim, and V. Raghunathan, </w:t>
            </w:r>
          </w:p>
        </w:tc>
        <w:tc>
          <w:tcPr>
            <w:tcW w:w="3192" w:type="dxa"/>
          </w:tcPr>
          <w:p w:rsidR="000C407B" w:rsidRPr="0014083B" w:rsidRDefault="0014083B" w:rsidP="00E53AA4">
            <w:pPr>
              <w:tabs>
                <w:tab w:val="left" w:pos="720"/>
              </w:tabs>
              <w:spacing w:after="100" w:line="360" w:lineRule="auto"/>
              <w:jc w:val="both"/>
              <w:rPr>
                <w:rFonts w:ascii="Times New Roman" w:hAnsi="Times New Roman" w:cs="Times New Roman"/>
                <w:sz w:val="28"/>
                <w:szCs w:val="28"/>
              </w:rPr>
            </w:pPr>
            <w:r w:rsidRPr="0014083B">
              <w:rPr>
                <w:rFonts w:ascii="Times New Roman" w:hAnsi="Times New Roman" w:cs="Times New Roman"/>
                <w:color w:val="333333"/>
                <w:sz w:val="28"/>
                <w:szCs w:val="28"/>
                <w:shd w:val="clear" w:color="auto" w:fill="FFFFFF"/>
              </w:rPr>
              <w:t> Most of these devices will be wireless due to the expense, inconvenience, or in some cases, the sheer infeasibility of wiring them.</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325FC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25FC1" w:rsidP="00E53AA4">
      <w:pPr>
        <w:spacing w:after="0" w:line="360" w:lineRule="auto"/>
        <w:jc w:val="both"/>
        <w:rPr>
          <w:rFonts w:ascii="Times New Roman" w:hAnsi="Times New Roman" w:cs="Times New Roman"/>
        </w:rPr>
      </w:pPr>
      <w:r w:rsidRPr="00325FC1">
        <w:rPr>
          <w:rFonts w:ascii="Times New Roman" w:hAnsi="Times New Roman" w:cs="Times New Roman"/>
        </w:rPr>
        <w:drawing>
          <wp:inline distT="0" distB="0" distL="0" distR="0">
            <wp:extent cx="5943600" cy="409892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098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325FC1" w:rsidRDefault="00325FC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94C92" w:rsidRPr="00594C92" w:rsidRDefault="00594C92" w:rsidP="00594C92">
      <w:pPr>
        <w:pStyle w:val="BodyText"/>
        <w:rPr>
          <w:bCs/>
          <w:iCs/>
          <w:sz w:val="32"/>
          <w:szCs w:val="32"/>
          <w:lang w:val="en-IN"/>
        </w:rPr>
      </w:pPr>
      <w:r w:rsidRPr="00594C92">
        <w:rPr>
          <w:b/>
          <w:iCs/>
          <w:sz w:val="28"/>
          <w:szCs w:val="28"/>
          <w:lang w:val="en-IN"/>
        </w:rPr>
        <w:t xml:space="preserve">    </w:t>
      </w:r>
      <w:r w:rsidRPr="00594C92">
        <w:rPr>
          <w:bCs/>
          <w:iCs/>
          <w:sz w:val="32"/>
          <w:szCs w:val="32"/>
          <w:lang w:val="en-IN"/>
        </w:rPr>
        <w:t xml:space="preserve">In this article, a timely wake-up radio based access scheme was studied, developed and analyzed, in order to facilitate improved mobile device power-efficiency vs. latency tradeoffs in future 5G and beyond systems. Specifically, an efficient wake-up signaling structure was developed, such that reliable wake-up detection can be achieved even in challenging conditions with negative SNRs. Additionally, efficient receiver processing solutions, building on the proposed wake-up signal structure, were also described, for joint synchronization and wake-up symbol location estimation purposes, as well as to decode the actual wake-up indicator bit. We also addressed the wake-up receiver hardware and implementation aspects, while also analyzed the system power consumption and latency characteristics analytically in closed-form. A large collection of representative numerical results was also provided, evidencing that very reliable wake-up signal detection can be achieved even at negative SNRs. Additionally, the numerical results showed that the delay and power consumption characteristics are functions of the involved wake-up cycle and the related parameters, allowing for the system optimization per application such that desired balance between the power-efficiency and latency is achieved. </w:t>
      </w:r>
    </w:p>
    <w:p w:rsidR="001F1E5A" w:rsidRDefault="001F1E5A" w:rsidP="00E53AA4">
      <w:pPr>
        <w:pStyle w:val="BodyText"/>
        <w:rPr>
          <w:b/>
          <w:iCs/>
          <w:sz w:val="28"/>
          <w:szCs w:val="28"/>
        </w:rPr>
      </w:pPr>
    </w:p>
    <w:p w:rsidR="00594C92" w:rsidRDefault="00594C92" w:rsidP="00E53AA4">
      <w:pPr>
        <w:pStyle w:val="BodyText"/>
        <w:rPr>
          <w:b/>
          <w:iCs/>
          <w:sz w:val="28"/>
          <w:szCs w:val="28"/>
        </w:rPr>
      </w:pPr>
    </w:p>
    <w:p w:rsidR="00594C92" w:rsidRDefault="00594C9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94C92" w:rsidRDefault="00AC5CDA" w:rsidP="00594C92">
      <w:pPr>
        <w:pStyle w:val="BodyText"/>
        <w:numPr>
          <w:ilvl w:val="0"/>
          <w:numId w:val="42"/>
        </w:numPr>
        <w:rPr>
          <w:sz w:val="32"/>
          <w:szCs w:val="32"/>
          <w:lang w:val="en-IN"/>
        </w:rPr>
      </w:pPr>
      <w:r w:rsidRPr="00594C92">
        <w:rPr>
          <w:sz w:val="32"/>
          <w:szCs w:val="32"/>
          <w:lang w:val="en-IN"/>
        </w:rPr>
        <w:t>[1] S. Rostami, K. Heiska, O. Puchko</w:t>
      </w:r>
      <w:r w:rsidRPr="00594C92">
        <w:rPr>
          <w:sz w:val="32"/>
          <w:szCs w:val="32"/>
          <w:lang w:val="en-IN"/>
        </w:rPr>
        <w:t xml:space="preserve">, J. Talvitie, K. Leppanen, and M. Valkama, “Novel wake-up signaling for enhanced energyefficiency of 5G and beyond mobile devices,” in Proc. IEEE GLOBECOM 2018, Dec. 2018, pp. 1–7. </w:t>
      </w:r>
    </w:p>
    <w:p w:rsidR="00000000" w:rsidRPr="00594C92" w:rsidRDefault="00AC5CDA" w:rsidP="00594C92">
      <w:pPr>
        <w:pStyle w:val="BodyText"/>
        <w:numPr>
          <w:ilvl w:val="0"/>
          <w:numId w:val="42"/>
        </w:numPr>
        <w:rPr>
          <w:sz w:val="32"/>
          <w:szCs w:val="32"/>
          <w:lang w:val="en-IN"/>
        </w:rPr>
      </w:pPr>
      <w:r w:rsidRPr="00594C92">
        <w:rPr>
          <w:sz w:val="32"/>
          <w:szCs w:val="32"/>
          <w:lang w:val="en-IN"/>
        </w:rPr>
        <w:t>[2] F. Boccardi, R. W. Heath, A. Lozano, T. L. Marzetta, and P. Popovski</w:t>
      </w:r>
      <w:r w:rsidRPr="00594C92">
        <w:rPr>
          <w:sz w:val="32"/>
          <w:szCs w:val="32"/>
          <w:lang w:val="en-IN"/>
        </w:rPr>
        <w:t xml:space="preserve">, “Five disruptive technology directions for 5G,” IEEE Communications Magazine, vol. 52, no. 2, pp. 74–80, February 2014. </w:t>
      </w:r>
    </w:p>
    <w:p w:rsidR="00000000" w:rsidRPr="00594C92" w:rsidRDefault="00AC5CDA" w:rsidP="00594C92">
      <w:pPr>
        <w:pStyle w:val="BodyText"/>
        <w:numPr>
          <w:ilvl w:val="0"/>
          <w:numId w:val="42"/>
        </w:numPr>
        <w:rPr>
          <w:sz w:val="32"/>
          <w:szCs w:val="32"/>
          <w:lang w:val="en-IN"/>
        </w:rPr>
      </w:pPr>
      <w:r w:rsidRPr="00594C92">
        <w:rPr>
          <w:sz w:val="32"/>
          <w:szCs w:val="32"/>
          <w:lang w:val="en-IN"/>
        </w:rPr>
        <w:t>[3] G. Fettweis and S. Alamouti, “5G: Personal mobile internet beyond what cellular did to telephony,” IEEE Communications Magazine,</w:t>
      </w:r>
      <w:r w:rsidRPr="00594C92">
        <w:rPr>
          <w:sz w:val="32"/>
          <w:szCs w:val="32"/>
          <w:lang w:val="en-IN"/>
        </w:rPr>
        <w:t xml:space="preserve"> vol. 52, no. 2, pp. 140–145, February 2014. </w:t>
      </w:r>
    </w:p>
    <w:p w:rsidR="00000000" w:rsidRPr="00594C92" w:rsidRDefault="00AC5CDA" w:rsidP="00594C92">
      <w:pPr>
        <w:pStyle w:val="BodyText"/>
        <w:numPr>
          <w:ilvl w:val="0"/>
          <w:numId w:val="42"/>
        </w:numPr>
        <w:rPr>
          <w:sz w:val="32"/>
          <w:szCs w:val="32"/>
          <w:lang w:val="en-IN"/>
        </w:rPr>
      </w:pPr>
      <w:r w:rsidRPr="00594C92">
        <w:rPr>
          <w:sz w:val="32"/>
          <w:szCs w:val="32"/>
          <w:lang w:val="en-IN"/>
        </w:rPr>
        <w:t xml:space="preserve">[4] H. Jayakumar, K. Lee, W. S. Lee, A. Raha, Y. Kim, and V. Raghunathan, “Powering the Internet of Things,” in Proc. ACM ISLPED 2014. New York, NY, USA: ACM, 2014, pp. 375–380. </w:t>
      </w:r>
    </w:p>
    <w:p w:rsidR="00000000" w:rsidRPr="00594C92" w:rsidRDefault="00AC5CDA" w:rsidP="00594C92">
      <w:pPr>
        <w:pStyle w:val="BodyText"/>
        <w:numPr>
          <w:ilvl w:val="0"/>
          <w:numId w:val="42"/>
        </w:numPr>
        <w:rPr>
          <w:sz w:val="32"/>
          <w:szCs w:val="32"/>
          <w:lang w:val="en-IN"/>
        </w:rPr>
      </w:pPr>
      <w:r w:rsidRPr="00594C92">
        <w:rPr>
          <w:sz w:val="32"/>
          <w:szCs w:val="32"/>
          <w:lang w:val="en-IN"/>
        </w:rPr>
        <w:t>[5] “Designing mobile devices</w:t>
      </w:r>
      <w:r w:rsidRPr="00594C92">
        <w:rPr>
          <w:sz w:val="32"/>
          <w:szCs w:val="32"/>
          <w:lang w:val="en-IN"/>
        </w:rPr>
        <w:t xml:space="preserve"> for low power and thermal efficiency,” Qualcomm Technologies, Inc., Tech. Rep., Oct. 2013.</w:t>
      </w:r>
      <w:r w:rsidRPr="00594C92">
        <w:rPr>
          <w:sz w:val="32"/>
          <w:szCs w:val="32"/>
        </w:rPr>
        <w:t xml:space="preserve"> </w:t>
      </w:r>
    </w:p>
    <w:p w:rsidR="00000000" w:rsidRPr="00594C92" w:rsidRDefault="00AC5CDA" w:rsidP="00594C92">
      <w:pPr>
        <w:pStyle w:val="BodyText"/>
        <w:numPr>
          <w:ilvl w:val="0"/>
          <w:numId w:val="42"/>
        </w:numPr>
        <w:rPr>
          <w:sz w:val="32"/>
          <w:szCs w:val="32"/>
          <w:lang w:val="en-IN"/>
        </w:rPr>
      </w:pPr>
      <w:r w:rsidRPr="00594C92">
        <w:rPr>
          <w:sz w:val="32"/>
          <w:szCs w:val="32"/>
          <w:lang w:val="en-IN"/>
        </w:rPr>
        <w:t xml:space="preserve">[6] A. Carroll and G. Heiser, “An analysis of power consumption in a smartphone,” in Proc. USENIXATC2010. Berkeley, CA, USA: USENIX Association, 2010, pp. 21–21. </w:t>
      </w:r>
    </w:p>
    <w:p w:rsidR="00000000" w:rsidRPr="00594C92" w:rsidRDefault="00AC5CDA" w:rsidP="00594C92">
      <w:pPr>
        <w:pStyle w:val="BodyText"/>
        <w:numPr>
          <w:ilvl w:val="0"/>
          <w:numId w:val="42"/>
        </w:numPr>
        <w:rPr>
          <w:sz w:val="32"/>
          <w:szCs w:val="32"/>
          <w:lang w:val="en-IN"/>
        </w:rPr>
      </w:pPr>
      <w:r w:rsidRPr="00594C92">
        <w:rPr>
          <w:sz w:val="32"/>
          <w:szCs w:val="32"/>
          <w:lang w:val="en-IN"/>
        </w:rPr>
        <w:t xml:space="preserve">[7] M. Lauridsen, “Studies on mobile terminal energy consumption for LTE and future 5G,” Ph.D. dissertation, Aalborg University, 2015. </w:t>
      </w:r>
    </w:p>
    <w:p w:rsidR="00000000" w:rsidRPr="00594C92" w:rsidRDefault="00AC5CDA" w:rsidP="00594C92">
      <w:pPr>
        <w:pStyle w:val="BodyText"/>
        <w:numPr>
          <w:ilvl w:val="0"/>
          <w:numId w:val="42"/>
        </w:numPr>
        <w:rPr>
          <w:sz w:val="32"/>
          <w:szCs w:val="32"/>
          <w:lang w:val="en-IN"/>
        </w:rPr>
      </w:pPr>
      <w:r w:rsidRPr="00594C92">
        <w:rPr>
          <w:sz w:val="32"/>
          <w:szCs w:val="32"/>
          <w:lang w:val="en-IN"/>
        </w:rPr>
        <w:lastRenderedPageBreak/>
        <w:t xml:space="preserve">[8] “IMT traffic estimates for the years 2020 to 2030,” ITU-R, Tech. Rep., July 2015. </w:t>
      </w:r>
    </w:p>
    <w:p w:rsidR="00000000" w:rsidRPr="00594C92" w:rsidRDefault="00AC5CDA" w:rsidP="00594C92">
      <w:pPr>
        <w:pStyle w:val="BodyText"/>
        <w:numPr>
          <w:ilvl w:val="0"/>
          <w:numId w:val="42"/>
        </w:numPr>
        <w:rPr>
          <w:sz w:val="32"/>
          <w:szCs w:val="32"/>
          <w:lang w:val="en-IN"/>
        </w:rPr>
      </w:pPr>
      <w:r w:rsidRPr="00594C92">
        <w:rPr>
          <w:sz w:val="32"/>
          <w:szCs w:val="32"/>
          <w:lang w:val="en-IN"/>
        </w:rPr>
        <w:t>[9] S. P. Erik Dahlman and J.</w:t>
      </w:r>
      <w:r w:rsidRPr="00594C92">
        <w:rPr>
          <w:sz w:val="32"/>
          <w:szCs w:val="32"/>
          <w:lang w:val="en-IN"/>
        </w:rPr>
        <w:t xml:space="preserve"> Skold, 4G LTE/LTE-Advanced for Mobile Broadband. Academic Press, 2011. </w:t>
      </w:r>
    </w:p>
    <w:p w:rsidR="00000000" w:rsidRPr="00594C92" w:rsidRDefault="00AC5CDA" w:rsidP="00594C92">
      <w:pPr>
        <w:pStyle w:val="BodyText"/>
        <w:numPr>
          <w:ilvl w:val="0"/>
          <w:numId w:val="42"/>
        </w:numPr>
        <w:rPr>
          <w:sz w:val="32"/>
          <w:szCs w:val="32"/>
          <w:lang w:val="en-IN"/>
        </w:rPr>
      </w:pPr>
      <w:r w:rsidRPr="00594C92">
        <w:rPr>
          <w:sz w:val="32"/>
          <w:szCs w:val="32"/>
          <w:lang w:val="en-IN"/>
        </w:rPr>
        <w:t>[10] N. S. Mazloum and O. Edfors, “Performance analysis and energy optimization of wake-up receiver schemes for wireless lowpower applications,” IEEE Transactions on Wireless Communi</w:t>
      </w:r>
      <w:r w:rsidRPr="00594C92">
        <w:rPr>
          <w:sz w:val="32"/>
          <w:szCs w:val="32"/>
          <w:lang w:val="en-IN"/>
        </w:rPr>
        <w:t xml:space="preserve">cations, vol. 13, no. 12, pp. 7050–7061, Dec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CDA" w:rsidRDefault="00AC5CDA" w:rsidP="003654DF">
      <w:pPr>
        <w:spacing w:after="0" w:line="240" w:lineRule="auto"/>
      </w:pPr>
      <w:r>
        <w:separator/>
      </w:r>
    </w:p>
  </w:endnote>
  <w:endnote w:type="continuationSeparator" w:id="1">
    <w:p w:rsidR="00AC5CDA" w:rsidRDefault="00AC5CD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CDA" w:rsidRDefault="00AC5CDA" w:rsidP="003654DF">
      <w:pPr>
        <w:spacing w:after="0" w:line="240" w:lineRule="auto"/>
      </w:pPr>
      <w:r>
        <w:separator/>
      </w:r>
    </w:p>
  </w:footnote>
  <w:footnote w:type="continuationSeparator" w:id="1">
    <w:p w:rsidR="00AC5CDA" w:rsidRDefault="00AC5CD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A4EDC">
        <w:pPr>
          <w:pStyle w:val="Header"/>
          <w:jc w:val="right"/>
        </w:pPr>
        <w:fldSimple w:instr=" PAGE   \* MERGEFORMAT ">
          <w:r w:rsidR="00325FC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991A9A"/>
    <w:multiLevelType w:val="hybridMultilevel"/>
    <w:tmpl w:val="5D6EE36A"/>
    <w:lvl w:ilvl="0" w:tplc="FE72DE3A">
      <w:start w:val="1"/>
      <w:numFmt w:val="bullet"/>
      <w:lvlText w:val=""/>
      <w:lvlJc w:val="left"/>
      <w:pPr>
        <w:tabs>
          <w:tab w:val="num" w:pos="720"/>
        </w:tabs>
        <w:ind w:left="720" w:hanging="360"/>
      </w:pPr>
      <w:rPr>
        <w:rFonts w:ascii="Wingdings 2" w:hAnsi="Wingdings 2" w:hint="default"/>
      </w:rPr>
    </w:lvl>
    <w:lvl w:ilvl="1" w:tplc="18943CC8" w:tentative="1">
      <w:start w:val="1"/>
      <w:numFmt w:val="bullet"/>
      <w:lvlText w:val=""/>
      <w:lvlJc w:val="left"/>
      <w:pPr>
        <w:tabs>
          <w:tab w:val="num" w:pos="1440"/>
        </w:tabs>
        <w:ind w:left="1440" w:hanging="360"/>
      </w:pPr>
      <w:rPr>
        <w:rFonts w:ascii="Wingdings 2" w:hAnsi="Wingdings 2" w:hint="default"/>
      </w:rPr>
    </w:lvl>
    <w:lvl w:ilvl="2" w:tplc="57C20274" w:tentative="1">
      <w:start w:val="1"/>
      <w:numFmt w:val="bullet"/>
      <w:lvlText w:val=""/>
      <w:lvlJc w:val="left"/>
      <w:pPr>
        <w:tabs>
          <w:tab w:val="num" w:pos="2160"/>
        </w:tabs>
        <w:ind w:left="2160" w:hanging="360"/>
      </w:pPr>
      <w:rPr>
        <w:rFonts w:ascii="Wingdings 2" w:hAnsi="Wingdings 2" w:hint="default"/>
      </w:rPr>
    </w:lvl>
    <w:lvl w:ilvl="3" w:tplc="8F3A424E" w:tentative="1">
      <w:start w:val="1"/>
      <w:numFmt w:val="bullet"/>
      <w:lvlText w:val=""/>
      <w:lvlJc w:val="left"/>
      <w:pPr>
        <w:tabs>
          <w:tab w:val="num" w:pos="2880"/>
        </w:tabs>
        <w:ind w:left="2880" w:hanging="360"/>
      </w:pPr>
      <w:rPr>
        <w:rFonts w:ascii="Wingdings 2" w:hAnsi="Wingdings 2" w:hint="default"/>
      </w:rPr>
    </w:lvl>
    <w:lvl w:ilvl="4" w:tplc="2F22B582" w:tentative="1">
      <w:start w:val="1"/>
      <w:numFmt w:val="bullet"/>
      <w:lvlText w:val=""/>
      <w:lvlJc w:val="left"/>
      <w:pPr>
        <w:tabs>
          <w:tab w:val="num" w:pos="3600"/>
        </w:tabs>
        <w:ind w:left="3600" w:hanging="360"/>
      </w:pPr>
      <w:rPr>
        <w:rFonts w:ascii="Wingdings 2" w:hAnsi="Wingdings 2" w:hint="default"/>
      </w:rPr>
    </w:lvl>
    <w:lvl w:ilvl="5" w:tplc="D3D66692" w:tentative="1">
      <w:start w:val="1"/>
      <w:numFmt w:val="bullet"/>
      <w:lvlText w:val=""/>
      <w:lvlJc w:val="left"/>
      <w:pPr>
        <w:tabs>
          <w:tab w:val="num" w:pos="4320"/>
        </w:tabs>
        <w:ind w:left="4320" w:hanging="360"/>
      </w:pPr>
      <w:rPr>
        <w:rFonts w:ascii="Wingdings 2" w:hAnsi="Wingdings 2" w:hint="default"/>
      </w:rPr>
    </w:lvl>
    <w:lvl w:ilvl="6" w:tplc="738AEC20" w:tentative="1">
      <w:start w:val="1"/>
      <w:numFmt w:val="bullet"/>
      <w:lvlText w:val=""/>
      <w:lvlJc w:val="left"/>
      <w:pPr>
        <w:tabs>
          <w:tab w:val="num" w:pos="5040"/>
        </w:tabs>
        <w:ind w:left="5040" w:hanging="360"/>
      </w:pPr>
      <w:rPr>
        <w:rFonts w:ascii="Wingdings 2" w:hAnsi="Wingdings 2" w:hint="default"/>
      </w:rPr>
    </w:lvl>
    <w:lvl w:ilvl="7" w:tplc="470C1C9A" w:tentative="1">
      <w:start w:val="1"/>
      <w:numFmt w:val="bullet"/>
      <w:lvlText w:val=""/>
      <w:lvlJc w:val="left"/>
      <w:pPr>
        <w:tabs>
          <w:tab w:val="num" w:pos="5760"/>
        </w:tabs>
        <w:ind w:left="5760" w:hanging="360"/>
      </w:pPr>
      <w:rPr>
        <w:rFonts w:ascii="Wingdings 2" w:hAnsi="Wingdings 2" w:hint="default"/>
      </w:rPr>
    </w:lvl>
    <w:lvl w:ilvl="8" w:tplc="B096FDA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3279F3"/>
    <w:multiLevelType w:val="hybridMultilevel"/>
    <w:tmpl w:val="4F341132"/>
    <w:lvl w:ilvl="0" w:tplc="2C80B0DC">
      <w:start w:val="1"/>
      <w:numFmt w:val="bullet"/>
      <w:lvlText w:val=""/>
      <w:lvlJc w:val="left"/>
      <w:pPr>
        <w:tabs>
          <w:tab w:val="num" w:pos="720"/>
        </w:tabs>
        <w:ind w:left="720" w:hanging="360"/>
      </w:pPr>
      <w:rPr>
        <w:rFonts w:ascii="Wingdings 2" w:hAnsi="Wingdings 2" w:hint="default"/>
      </w:rPr>
    </w:lvl>
    <w:lvl w:ilvl="1" w:tplc="8564DAB2" w:tentative="1">
      <w:start w:val="1"/>
      <w:numFmt w:val="bullet"/>
      <w:lvlText w:val=""/>
      <w:lvlJc w:val="left"/>
      <w:pPr>
        <w:tabs>
          <w:tab w:val="num" w:pos="1440"/>
        </w:tabs>
        <w:ind w:left="1440" w:hanging="360"/>
      </w:pPr>
      <w:rPr>
        <w:rFonts w:ascii="Wingdings 2" w:hAnsi="Wingdings 2" w:hint="default"/>
      </w:rPr>
    </w:lvl>
    <w:lvl w:ilvl="2" w:tplc="91DC35A2" w:tentative="1">
      <w:start w:val="1"/>
      <w:numFmt w:val="bullet"/>
      <w:lvlText w:val=""/>
      <w:lvlJc w:val="left"/>
      <w:pPr>
        <w:tabs>
          <w:tab w:val="num" w:pos="2160"/>
        </w:tabs>
        <w:ind w:left="2160" w:hanging="360"/>
      </w:pPr>
      <w:rPr>
        <w:rFonts w:ascii="Wingdings 2" w:hAnsi="Wingdings 2" w:hint="default"/>
      </w:rPr>
    </w:lvl>
    <w:lvl w:ilvl="3" w:tplc="D5EC665E" w:tentative="1">
      <w:start w:val="1"/>
      <w:numFmt w:val="bullet"/>
      <w:lvlText w:val=""/>
      <w:lvlJc w:val="left"/>
      <w:pPr>
        <w:tabs>
          <w:tab w:val="num" w:pos="2880"/>
        </w:tabs>
        <w:ind w:left="2880" w:hanging="360"/>
      </w:pPr>
      <w:rPr>
        <w:rFonts w:ascii="Wingdings 2" w:hAnsi="Wingdings 2" w:hint="default"/>
      </w:rPr>
    </w:lvl>
    <w:lvl w:ilvl="4" w:tplc="99F02372" w:tentative="1">
      <w:start w:val="1"/>
      <w:numFmt w:val="bullet"/>
      <w:lvlText w:val=""/>
      <w:lvlJc w:val="left"/>
      <w:pPr>
        <w:tabs>
          <w:tab w:val="num" w:pos="3600"/>
        </w:tabs>
        <w:ind w:left="3600" w:hanging="360"/>
      </w:pPr>
      <w:rPr>
        <w:rFonts w:ascii="Wingdings 2" w:hAnsi="Wingdings 2" w:hint="default"/>
      </w:rPr>
    </w:lvl>
    <w:lvl w:ilvl="5" w:tplc="44C0FE1A" w:tentative="1">
      <w:start w:val="1"/>
      <w:numFmt w:val="bullet"/>
      <w:lvlText w:val=""/>
      <w:lvlJc w:val="left"/>
      <w:pPr>
        <w:tabs>
          <w:tab w:val="num" w:pos="4320"/>
        </w:tabs>
        <w:ind w:left="4320" w:hanging="360"/>
      </w:pPr>
      <w:rPr>
        <w:rFonts w:ascii="Wingdings 2" w:hAnsi="Wingdings 2" w:hint="default"/>
      </w:rPr>
    </w:lvl>
    <w:lvl w:ilvl="6" w:tplc="CA34A178" w:tentative="1">
      <w:start w:val="1"/>
      <w:numFmt w:val="bullet"/>
      <w:lvlText w:val=""/>
      <w:lvlJc w:val="left"/>
      <w:pPr>
        <w:tabs>
          <w:tab w:val="num" w:pos="5040"/>
        </w:tabs>
        <w:ind w:left="5040" w:hanging="360"/>
      </w:pPr>
      <w:rPr>
        <w:rFonts w:ascii="Wingdings 2" w:hAnsi="Wingdings 2" w:hint="default"/>
      </w:rPr>
    </w:lvl>
    <w:lvl w:ilvl="7" w:tplc="FD46276E" w:tentative="1">
      <w:start w:val="1"/>
      <w:numFmt w:val="bullet"/>
      <w:lvlText w:val=""/>
      <w:lvlJc w:val="left"/>
      <w:pPr>
        <w:tabs>
          <w:tab w:val="num" w:pos="5760"/>
        </w:tabs>
        <w:ind w:left="5760" w:hanging="360"/>
      </w:pPr>
      <w:rPr>
        <w:rFonts w:ascii="Wingdings 2" w:hAnsi="Wingdings 2" w:hint="default"/>
      </w:rPr>
    </w:lvl>
    <w:lvl w:ilvl="8" w:tplc="1A9E6944" w:tentative="1">
      <w:start w:val="1"/>
      <w:numFmt w:val="bullet"/>
      <w:lvlText w:val=""/>
      <w:lvlJc w:val="left"/>
      <w:pPr>
        <w:tabs>
          <w:tab w:val="num" w:pos="6480"/>
        </w:tabs>
        <w:ind w:left="6480" w:hanging="360"/>
      </w:pPr>
      <w:rPr>
        <w:rFonts w:ascii="Wingdings 2" w:hAnsi="Wingdings 2" w:hint="default"/>
      </w:rPr>
    </w:lvl>
  </w:abstractNum>
  <w:abstractNum w:abstractNumId="22">
    <w:nsid w:val="38543D62"/>
    <w:multiLevelType w:val="hybridMultilevel"/>
    <w:tmpl w:val="104A25A8"/>
    <w:lvl w:ilvl="0" w:tplc="E51ADC7A">
      <w:start w:val="1"/>
      <w:numFmt w:val="bullet"/>
      <w:lvlText w:val=""/>
      <w:lvlJc w:val="left"/>
      <w:pPr>
        <w:tabs>
          <w:tab w:val="num" w:pos="720"/>
        </w:tabs>
        <w:ind w:left="720" w:hanging="360"/>
      </w:pPr>
      <w:rPr>
        <w:rFonts w:ascii="Wingdings 2" w:hAnsi="Wingdings 2" w:hint="default"/>
      </w:rPr>
    </w:lvl>
    <w:lvl w:ilvl="1" w:tplc="E8186566" w:tentative="1">
      <w:start w:val="1"/>
      <w:numFmt w:val="bullet"/>
      <w:lvlText w:val=""/>
      <w:lvlJc w:val="left"/>
      <w:pPr>
        <w:tabs>
          <w:tab w:val="num" w:pos="1440"/>
        </w:tabs>
        <w:ind w:left="1440" w:hanging="360"/>
      </w:pPr>
      <w:rPr>
        <w:rFonts w:ascii="Wingdings 2" w:hAnsi="Wingdings 2" w:hint="default"/>
      </w:rPr>
    </w:lvl>
    <w:lvl w:ilvl="2" w:tplc="8EE2DDB2" w:tentative="1">
      <w:start w:val="1"/>
      <w:numFmt w:val="bullet"/>
      <w:lvlText w:val=""/>
      <w:lvlJc w:val="left"/>
      <w:pPr>
        <w:tabs>
          <w:tab w:val="num" w:pos="2160"/>
        </w:tabs>
        <w:ind w:left="2160" w:hanging="360"/>
      </w:pPr>
      <w:rPr>
        <w:rFonts w:ascii="Wingdings 2" w:hAnsi="Wingdings 2" w:hint="default"/>
      </w:rPr>
    </w:lvl>
    <w:lvl w:ilvl="3" w:tplc="9FB20CEE" w:tentative="1">
      <w:start w:val="1"/>
      <w:numFmt w:val="bullet"/>
      <w:lvlText w:val=""/>
      <w:lvlJc w:val="left"/>
      <w:pPr>
        <w:tabs>
          <w:tab w:val="num" w:pos="2880"/>
        </w:tabs>
        <w:ind w:left="2880" w:hanging="360"/>
      </w:pPr>
      <w:rPr>
        <w:rFonts w:ascii="Wingdings 2" w:hAnsi="Wingdings 2" w:hint="default"/>
      </w:rPr>
    </w:lvl>
    <w:lvl w:ilvl="4" w:tplc="75F0D8C8" w:tentative="1">
      <w:start w:val="1"/>
      <w:numFmt w:val="bullet"/>
      <w:lvlText w:val=""/>
      <w:lvlJc w:val="left"/>
      <w:pPr>
        <w:tabs>
          <w:tab w:val="num" w:pos="3600"/>
        </w:tabs>
        <w:ind w:left="3600" w:hanging="360"/>
      </w:pPr>
      <w:rPr>
        <w:rFonts w:ascii="Wingdings 2" w:hAnsi="Wingdings 2" w:hint="default"/>
      </w:rPr>
    </w:lvl>
    <w:lvl w:ilvl="5" w:tplc="1F6025B2" w:tentative="1">
      <w:start w:val="1"/>
      <w:numFmt w:val="bullet"/>
      <w:lvlText w:val=""/>
      <w:lvlJc w:val="left"/>
      <w:pPr>
        <w:tabs>
          <w:tab w:val="num" w:pos="4320"/>
        </w:tabs>
        <w:ind w:left="4320" w:hanging="360"/>
      </w:pPr>
      <w:rPr>
        <w:rFonts w:ascii="Wingdings 2" w:hAnsi="Wingdings 2" w:hint="default"/>
      </w:rPr>
    </w:lvl>
    <w:lvl w:ilvl="6" w:tplc="888620CE" w:tentative="1">
      <w:start w:val="1"/>
      <w:numFmt w:val="bullet"/>
      <w:lvlText w:val=""/>
      <w:lvlJc w:val="left"/>
      <w:pPr>
        <w:tabs>
          <w:tab w:val="num" w:pos="5040"/>
        </w:tabs>
        <w:ind w:left="5040" w:hanging="360"/>
      </w:pPr>
      <w:rPr>
        <w:rFonts w:ascii="Wingdings 2" w:hAnsi="Wingdings 2" w:hint="default"/>
      </w:rPr>
    </w:lvl>
    <w:lvl w:ilvl="7" w:tplc="E438E9BC" w:tentative="1">
      <w:start w:val="1"/>
      <w:numFmt w:val="bullet"/>
      <w:lvlText w:val=""/>
      <w:lvlJc w:val="left"/>
      <w:pPr>
        <w:tabs>
          <w:tab w:val="num" w:pos="5760"/>
        </w:tabs>
        <w:ind w:left="5760" w:hanging="360"/>
      </w:pPr>
      <w:rPr>
        <w:rFonts w:ascii="Wingdings 2" w:hAnsi="Wingdings 2" w:hint="default"/>
      </w:rPr>
    </w:lvl>
    <w:lvl w:ilvl="8" w:tplc="5366F0A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497596"/>
    <w:multiLevelType w:val="hybridMultilevel"/>
    <w:tmpl w:val="84425800"/>
    <w:lvl w:ilvl="0" w:tplc="6B0C2486">
      <w:start w:val="1"/>
      <w:numFmt w:val="bullet"/>
      <w:lvlText w:val=""/>
      <w:lvlJc w:val="left"/>
      <w:pPr>
        <w:tabs>
          <w:tab w:val="num" w:pos="720"/>
        </w:tabs>
        <w:ind w:left="720" w:hanging="360"/>
      </w:pPr>
      <w:rPr>
        <w:rFonts w:ascii="Wingdings 2" w:hAnsi="Wingdings 2" w:hint="default"/>
      </w:rPr>
    </w:lvl>
    <w:lvl w:ilvl="1" w:tplc="712C2836" w:tentative="1">
      <w:start w:val="1"/>
      <w:numFmt w:val="bullet"/>
      <w:lvlText w:val=""/>
      <w:lvlJc w:val="left"/>
      <w:pPr>
        <w:tabs>
          <w:tab w:val="num" w:pos="1440"/>
        </w:tabs>
        <w:ind w:left="1440" w:hanging="360"/>
      </w:pPr>
      <w:rPr>
        <w:rFonts w:ascii="Wingdings 2" w:hAnsi="Wingdings 2" w:hint="default"/>
      </w:rPr>
    </w:lvl>
    <w:lvl w:ilvl="2" w:tplc="E9A6391E" w:tentative="1">
      <w:start w:val="1"/>
      <w:numFmt w:val="bullet"/>
      <w:lvlText w:val=""/>
      <w:lvlJc w:val="left"/>
      <w:pPr>
        <w:tabs>
          <w:tab w:val="num" w:pos="2160"/>
        </w:tabs>
        <w:ind w:left="2160" w:hanging="360"/>
      </w:pPr>
      <w:rPr>
        <w:rFonts w:ascii="Wingdings 2" w:hAnsi="Wingdings 2" w:hint="default"/>
      </w:rPr>
    </w:lvl>
    <w:lvl w:ilvl="3" w:tplc="AEB864B6" w:tentative="1">
      <w:start w:val="1"/>
      <w:numFmt w:val="bullet"/>
      <w:lvlText w:val=""/>
      <w:lvlJc w:val="left"/>
      <w:pPr>
        <w:tabs>
          <w:tab w:val="num" w:pos="2880"/>
        </w:tabs>
        <w:ind w:left="2880" w:hanging="360"/>
      </w:pPr>
      <w:rPr>
        <w:rFonts w:ascii="Wingdings 2" w:hAnsi="Wingdings 2" w:hint="default"/>
      </w:rPr>
    </w:lvl>
    <w:lvl w:ilvl="4" w:tplc="2DB62748" w:tentative="1">
      <w:start w:val="1"/>
      <w:numFmt w:val="bullet"/>
      <w:lvlText w:val=""/>
      <w:lvlJc w:val="left"/>
      <w:pPr>
        <w:tabs>
          <w:tab w:val="num" w:pos="3600"/>
        </w:tabs>
        <w:ind w:left="3600" w:hanging="360"/>
      </w:pPr>
      <w:rPr>
        <w:rFonts w:ascii="Wingdings 2" w:hAnsi="Wingdings 2" w:hint="default"/>
      </w:rPr>
    </w:lvl>
    <w:lvl w:ilvl="5" w:tplc="40CE737E" w:tentative="1">
      <w:start w:val="1"/>
      <w:numFmt w:val="bullet"/>
      <w:lvlText w:val=""/>
      <w:lvlJc w:val="left"/>
      <w:pPr>
        <w:tabs>
          <w:tab w:val="num" w:pos="4320"/>
        </w:tabs>
        <w:ind w:left="4320" w:hanging="360"/>
      </w:pPr>
      <w:rPr>
        <w:rFonts w:ascii="Wingdings 2" w:hAnsi="Wingdings 2" w:hint="default"/>
      </w:rPr>
    </w:lvl>
    <w:lvl w:ilvl="6" w:tplc="226AA0B2" w:tentative="1">
      <w:start w:val="1"/>
      <w:numFmt w:val="bullet"/>
      <w:lvlText w:val=""/>
      <w:lvlJc w:val="left"/>
      <w:pPr>
        <w:tabs>
          <w:tab w:val="num" w:pos="5040"/>
        </w:tabs>
        <w:ind w:left="5040" w:hanging="360"/>
      </w:pPr>
      <w:rPr>
        <w:rFonts w:ascii="Wingdings 2" w:hAnsi="Wingdings 2" w:hint="default"/>
      </w:rPr>
    </w:lvl>
    <w:lvl w:ilvl="7" w:tplc="6A107F2A" w:tentative="1">
      <w:start w:val="1"/>
      <w:numFmt w:val="bullet"/>
      <w:lvlText w:val=""/>
      <w:lvlJc w:val="left"/>
      <w:pPr>
        <w:tabs>
          <w:tab w:val="num" w:pos="5760"/>
        </w:tabs>
        <w:ind w:left="5760" w:hanging="360"/>
      </w:pPr>
      <w:rPr>
        <w:rFonts w:ascii="Wingdings 2" w:hAnsi="Wingdings 2" w:hint="default"/>
      </w:rPr>
    </w:lvl>
    <w:lvl w:ilvl="8" w:tplc="F60E4392"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6B09FE"/>
    <w:multiLevelType w:val="hybridMultilevel"/>
    <w:tmpl w:val="210627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663F1C"/>
    <w:multiLevelType w:val="hybridMultilevel"/>
    <w:tmpl w:val="888AA274"/>
    <w:lvl w:ilvl="0" w:tplc="C7CC84AA">
      <w:start w:val="1"/>
      <w:numFmt w:val="bullet"/>
      <w:lvlText w:val=""/>
      <w:lvlJc w:val="left"/>
      <w:pPr>
        <w:tabs>
          <w:tab w:val="num" w:pos="720"/>
        </w:tabs>
        <w:ind w:left="720" w:hanging="360"/>
      </w:pPr>
      <w:rPr>
        <w:rFonts w:ascii="Wingdings 2" w:hAnsi="Wingdings 2" w:hint="default"/>
      </w:rPr>
    </w:lvl>
    <w:lvl w:ilvl="1" w:tplc="D87A4EA8" w:tentative="1">
      <w:start w:val="1"/>
      <w:numFmt w:val="bullet"/>
      <w:lvlText w:val=""/>
      <w:lvlJc w:val="left"/>
      <w:pPr>
        <w:tabs>
          <w:tab w:val="num" w:pos="1440"/>
        </w:tabs>
        <w:ind w:left="1440" w:hanging="360"/>
      </w:pPr>
      <w:rPr>
        <w:rFonts w:ascii="Wingdings 2" w:hAnsi="Wingdings 2" w:hint="default"/>
      </w:rPr>
    </w:lvl>
    <w:lvl w:ilvl="2" w:tplc="F676A056" w:tentative="1">
      <w:start w:val="1"/>
      <w:numFmt w:val="bullet"/>
      <w:lvlText w:val=""/>
      <w:lvlJc w:val="left"/>
      <w:pPr>
        <w:tabs>
          <w:tab w:val="num" w:pos="2160"/>
        </w:tabs>
        <w:ind w:left="2160" w:hanging="360"/>
      </w:pPr>
      <w:rPr>
        <w:rFonts w:ascii="Wingdings 2" w:hAnsi="Wingdings 2" w:hint="default"/>
      </w:rPr>
    </w:lvl>
    <w:lvl w:ilvl="3" w:tplc="822AF360" w:tentative="1">
      <w:start w:val="1"/>
      <w:numFmt w:val="bullet"/>
      <w:lvlText w:val=""/>
      <w:lvlJc w:val="left"/>
      <w:pPr>
        <w:tabs>
          <w:tab w:val="num" w:pos="2880"/>
        </w:tabs>
        <w:ind w:left="2880" w:hanging="360"/>
      </w:pPr>
      <w:rPr>
        <w:rFonts w:ascii="Wingdings 2" w:hAnsi="Wingdings 2" w:hint="default"/>
      </w:rPr>
    </w:lvl>
    <w:lvl w:ilvl="4" w:tplc="47920A1C" w:tentative="1">
      <w:start w:val="1"/>
      <w:numFmt w:val="bullet"/>
      <w:lvlText w:val=""/>
      <w:lvlJc w:val="left"/>
      <w:pPr>
        <w:tabs>
          <w:tab w:val="num" w:pos="3600"/>
        </w:tabs>
        <w:ind w:left="3600" w:hanging="360"/>
      </w:pPr>
      <w:rPr>
        <w:rFonts w:ascii="Wingdings 2" w:hAnsi="Wingdings 2" w:hint="default"/>
      </w:rPr>
    </w:lvl>
    <w:lvl w:ilvl="5" w:tplc="450C2E36" w:tentative="1">
      <w:start w:val="1"/>
      <w:numFmt w:val="bullet"/>
      <w:lvlText w:val=""/>
      <w:lvlJc w:val="left"/>
      <w:pPr>
        <w:tabs>
          <w:tab w:val="num" w:pos="4320"/>
        </w:tabs>
        <w:ind w:left="4320" w:hanging="360"/>
      </w:pPr>
      <w:rPr>
        <w:rFonts w:ascii="Wingdings 2" w:hAnsi="Wingdings 2" w:hint="default"/>
      </w:rPr>
    </w:lvl>
    <w:lvl w:ilvl="6" w:tplc="14DA457A" w:tentative="1">
      <w:start w:val="1"/>
      <w:numFmt w:val="bullet"/>
      <w:lvlText w:val=""/>
      <w:lvlJc w:val="left"/>
      <w:pPr>
        <w:tabs>
          <w:tab w:val="num" w:pos="5040"/>
        </w:tabs>
        <w:ind w:left="5040" w:hanging="360"/>
      </w:pPr>
      <w:rPr>
        <w:rFonts w:ascii="Wingdings 2" w:hAnsi="Wingdings 2" w:hint="default"/>
      </w:rPr>
    </w:lvl>
    <w:lvl w:ilvl="7" w:tplc="AE94FC9C" w:tentative="1">
      <w:start w:val="1"/>
      <w:numFmt w:val="bullet"/>
      <w:lvlText w:val=""/>
      <w:lvlJc w:val="left"/>
      <w:pPr>
        <w:tabs>
          <w:tab w:val="num" w:pos="5760"/>
        </w:tabs>
        <w:ind w:left="5760" w:hanging="360"/>
      </w:pPr>
      <w:rPr>
        <w:rFonts w:ascii="Wingdings 2" w:hAnsi="Wingdings 2" w:hint="default"/>
      </w:rPr>
    </w:lvl>
    <w:lvl w:ilvl="8" w:tplc="95A2D1A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8"/>
  </w:num>
  <w:num w:numId="23">
    <w:abstractNumId w:val="41"/>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4"/>
  </w:num>
  <w:num w:numId="42">
    <w:abstractNumId w:val="44"/>
  </w:num>
  <w:num w:numId="43">
    <w:abstractNumId w:val="27"/>
  </w:num>
  <w:num w:numId="44">
    <w:abstractNumId w:val="21"/>
  </w:num>
  <w:num w:numId="45">
    <w:abstractNumId w:val="9"/>
  </w:num>
  <w:num w:numId="46">
    <w:abstractNumId w:val="42"/>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10F"/>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083B"/>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FC1"/>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4C92"/>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2B8"/>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5CDA"/>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EDC"/>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2221059">
      <w:bodyDiv w:val="1"/>
      <w:marLeft w:val="0"/>
      <w:marRight w:val="0"/>
      <w:marTop w:val="0"/>
      <w:marBottom w:val="0"/>
      <w:divBdr>
        <w:top w:val="none" w:sz="0" w:space="0" w:color="auto"/>
        <w:left w:val="none" w:sz="0" w:space="0" w:color="auto"/>
        <w:bottom w:val="none" w:sz="0" w:space="0" w:color="auto"/>
        <w:right w:val="none" w:sz="0" w:space="0" w:color="auto"/>
      </w:divBdr>
      <w:divsChild>
        <w:div w:id="1849101966">
          <w:marLeft w:val="576"/>
          <w:marRight w:val="0"/>
          <w:marTop w:val="120"/>
          <w:marBottom w:val="0"/>
          <w:divBdr>
            <w:top w:val="none" w:sz="0" w:space="0" w:color="auto"/>
            <w:left w:val="none" w:sz="0" w:space="0" w:color="auto"/>
            <w:bottom w:val="none" w:sz="0" w:space="0" w:color="auto"/>
            <w:right w:val="none" w:sz="0" w:space="0" w:color="auto"/>
          </w:divBdr>
        </w:div>
        <w:div w:id="1530487256">
          <w:marLeft w:val="576"/>
          <w:marRight w:val="0"/>
          <w:marTop w:val="120"/>
          <w:marBottom w:val="0"/>
          <w:divBdr>
            <w:top w:val="none" w:sz="0" w:space="0" w:color="auto"/>
            <w:left w:val="none" w:sz="0" w:space="0" w:color="auto"/>
            <w:bottom w:val="none" w:sz="0" w:space="0" w:color="auto"/>
            <w:right w:val="none" w:sz="0" w:space="0" w:color="auto"/>
          </w:divBdr>
        </w:div>
        <w:div w:id="804735129">
          <w:marLeft w:val="576"/>
          <w:marRight w:val="0"/>
          <w:marTop w:val="120"/>
          <w:marBottom w:val="0"/>
          <w:divBdr>
            <w:top w:val="none" w:sz="0" w:space="0" w:color="auto"/>
            <w:left w:val="none" w:sz="0" w:space="0" w:color="auto"/>
            <w:bottom w:val="none" w:sz="0" w:space="0" w:color="auto"/>
            <w:right w:val="none" w:sz="0" w:space="0" w:color="auto"/>
          </w:divBdr>
        </w:div>
        <w:div w:id="852260822">
          <w:marLeft w:val="576"/>
          <w:marRight w:val="0"/>
          <w:marTop w:val="120"/>
          <w:marBottom w:val="0"/>
          <w:divBdr>
            <w:top w:val="none" w:sz="0" w:space="0" w:color="auto"/>
            <w:left w:val="none" w:sz="0" w:space="0" w:color="auto"/>
            <w:bottom w:val="none" w:sz="0" w:space="0" w:color="auto"/>
            <w:right w:val="none" w:sz="0" w:space="0" w:color="auto"/>
          </w:divBdr>
        </w:div>
        <w:div w:id="170355492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024686">
      <w:bodyDiv w:val="1"/>
      <w:marLeft w:val="0"/>
      <w:marRight w:val="0"/>
      <w:marTop w:val="0"/>
      <w:marBottom w:val="0"/>
      <w:divBdr>
        <w:top w:val="none" w:sz="0" w:space="0" w:color="auto"/>
        <w:left w:val="none" w:sz="0" w:space="0" w:color="auto"/>
        <w:bottom w:val="none" w:sz="0" w:space="0" w:color="auto"/>
        <w:right w:val="none" w:sz="0" w:space="0" w:color="auto"/>
      </w:divBdr>
      <w:divsChild>
        <w:div w:id="1565411218">
          <w:marLeft w:val="576"/>
          <w:marRight w:val="0"/>
          <w:marTop w:val="120"/>
          <w:marBottom w:val="0"/>
          <w:divBdr>
            <w:top w:val="none" w:sz="0" w:space="0" w:color="auto"/>
            <w:left w:val="none" w:sz="0" w:space="0" w:color="auto"/>
            <w:bottom w:val="none" w:sz="0" w:space="0" w:color="auto"/>
            <w:right w:val="none" w:sz="0" w:space="0" w:color="auto"/>
          </w:divBdr>
        </w:div>
        <w:div w:id="1365057653">
          <w:marLeft w:val="576"/>
          <w:marRight w:val="0"/>
          <w:marTop w:val="120"/>
          <w:marBottom w:val="0"/>
          <w:divBdr>
            <w:top w:val="none" w:sz="0" w:space="0" w:color="auto"/>
            <w:left w:val="none" w:sz="0" w:space="0" w:color="auto"/>
            <w:bottom w:val="none" w:sz="0" w:space="0" w:color="auto"/>
            <w:right w:val="none" w:sz="0" w:space="0" w:color="auto"/>
          </w:divBdr>
        </w:div>
        <w:div w:id="1241212521">
          <w:marLeft w:val="576"/>
          <w:marRight w:val="0"/>
          <w:marTop w:val="120"/>
          <w:marBottom w:val="0"/>
          <w:divBdr>
            <w:top w:val="none" w:sz="0" w:space="0" w:color="auto"/>
            <w:left w:val="none" w:sz="0" w:space="0" w:color="auto"/>
            <w:bottom w:val="none" w:sz="0" w:space="0" w:color="auto"/>
            <w:right w:val="none" w:sz="0" w:space="0" w:color="auto"/>
          </w:divBdr>
        </w:div>
        <w:div w:id="1696494145">
          <w:marLeft w:val="576"/>
          <w:marRight w:val="0"/>
          <w:marTop w:val="120"/>
          <w:marBottom w:val="0"/>
          <w:divBdr>
            <w:top w:val="none" w:sz="0" w:space="0" w:color="auto"/>
            <w:left w:val="none" w:sz="0" w:space="0" w:color="auto"/>
            <w:bottom w:val="none" w:sz="0" w:space="0" w:color="auto"/>
            <w:right w:val="none" w:sz="0" w:space="0" w:color="auto"/>
          </w:divBdr>
        </w:div>
        <w:div w:id="151376441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0615047">
      <w:bodyDiv w:val="1"/>
      <w:marLeft w:val="0"/>
      <w:marRight w:val="0"/>
      <w:marTop w:val="0"/>
      <w:marBottom w:val="0"/>
      <w:divBdr>
        <w:top w:val="none" w:sz="0" w:space="0" w:color="auto"/>
        <w:left w:val="none" w:sz="0" w:space="0" w:color="auto"/>
        <w:bottom w:val="none" w:sz="0" w:space="0" w:color="auto"/>
        <w:right w:val="none" w:sz="0" w:space="0" w:color="auto"/>
      </w:divBdr>
      <w:divsChild>
        <w:div w:id="894589321">
          <w:marLeft w:val="576"/>
          <w:marRight w:val="0"/>
          <w:marTop w:val="120"/>
          <w:marBottom w:val="0"/>
          <w:divBdr>
            <w:top w:val="none" w:sz="0" w:space="0" w:color="auto"/>
            <w:left w:val="none" w:sz="0" w:space="0" w:color="auto"/>
            <w:bottom w:val="none" w:sz="0" w:space="0" w:color="auto"/>
            <w:right w:val="none" w:sz="0" w:space="0" w:color="auto"/>
          </w:divBdr>
        </w:div>
        <w:div w:id="188764075">
          <w:marLeft w:val="576"/>
          <w:marRight w:val="0"/>
          <w:marTop w:val="120"/>
          <w:marBottom w:val="0"/>
          <w:divBdr>
            <w:top w:val="none" w:sz="0" w:space="0" w:color="auto"/>
            <w:left w:val="none" w:sz="0" w:space="0" w:color="auto"/>
            <w:bottom w:val="none" w:sz="0" w:space="0" w:color="auto"/>
            <w:right w:val="none" w:sz="0" w:space="0" w:color="auto"/>
          </w:divBdr>
        </w:div>
        <w:div w:id="1942252389">
          <w:marLeft w:val="576"/>
          <w:marRight w:val="0"/>
          <w:marTop w:val="120"/>
          <w:marBottom w:val="0"/>
          <w:divBdr>
            <w:top w:val="none" w:sz="0" w:space="0" w:color="auto"/>
            <w:left w:val="none" w:sz="0" w:space="0" w:color="auto"/>
            <w:bottom w:val="none" w:sz="0" w:space="0" w:color="auto"/>
            <w:right w:val="none" w:sz="0" w:space="0" w:color="auto"/>
          </w:divBdr>
        </w:div>
        <w:div w:id="380322241">
          <w:marLeft w:val="576"/>
          <w:marRight w:val="0"/>
          <w:marTop w:val="120"/>
          <w:marBottom w:val="0"/>
          <w:divBdr>
            <w:top w:val="none" w:sz="0" w:space="0" w:color="auto"/>
            <w:left w:val="none" w:sz="0" w:space="0" w:color="auto"/>
            <w:bottom w:val="none" w:sz="0" w:space="0" w:color="auto"/>
            <w:right w:val="none" w:sz="0" w:space="0" w:color="auto"/>
          </w:divBdr>
        </w:div>
        <w:div w:id="381363935">
          <w:marLeft w:val="576"/>
          <w:marRight w:val="0"/>
          <w:marTop w:val="120"/>
          <w:marBottom w:val="0"/>
          <w:divBdr>
            <w:top w:val="none" w:sz="0" w:space="0" w:color="auto"/>
            <w:left w:val="none" w:sz="0" w:space="0" w:color="auto"/>
            <w:bottom w:val="none" w:sz="0" w:space="0" w:color="auto"/>
            <w:right w:val="none" w:sz="0" w:space="0" w:color="auto"/>
          </w:divBdr>
        </w:div>
      </w:divsChild>
    </w:div>
    <w:div w:id="117514672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858593">
      <w:bodyDiv w:val="1"/>
      <w:marLeft w:val="0"/>
      <w:marRight w:val="0"/>
      <w:marTop w:val="0"/>
      <w:marBottom w:val="0"/>
      <w:divBdr>
        <w:top w:val="none" w:sz="0" w:space="0" w:color="auto"/>
        <w:left w:val="none" w:sz="0" w:space="0" w:color="auto"/>
        <w:bottom w:val="none" w:sz="0" w:space="0" w:color="auto"/>
        <w:right w:val="none" w:sz="0" w:space="0" w:color="auto"/>
      </w:divBdr>
      <w:divsChild>
        <w:div w:id="988175148">
          <w:marLeft w:val="576"/>
          <w:marRight w:val="0"/>
          <w:marTop w:val="120"/>
          <w:marBottom w:val="0"/>
          <w:divBdr>
            <w:top w:val="none" w:sz="0" w:space="0" w:color="auto"/>
            <w:left w:val="none" w:sz="0" w:space="0" w:color="auto"/>
            <w:bottom w:val="none" w:sz="0" w:space="0" w:color="auto"/>
            <w:right w:val="none" w:sz="0" w:space="0" w:color="auto"/>
          </w:divBdr>
        </w:div>
        <w:div w:id="1417627631">
          <w:marLeft w:val="576"/>
          <w:marRight w:val="0"/>
          <w:marTop w:val="120"/>
          <w:marBottom w:val="0"/>
          <w:divBdr>
            <w:top w:val="none" w:sz="0" w:space="0" w:color="auto"/>
            <w:left w:val="none" w:sz="0" w:space="0" w:color="auto"/>
            <w:bottom w:val="none" w:sz="0" w:space="0" w:color="auto"/>
            <w:right w:val="none" w:sz="0" w:space="0" w:color="auto"/>
          </w:divBdr>
        </w:div>
        <w:div w:id="1056205436">
          <w:marLeft w:val="576"/>
          <w:marRight w:val="0"/>
          <w:marTop w:val="120"/>
          <w:marBottom w:val="0"/>
          <w:divBdr>
            <w:top w:val="none" w:sz="0" w:space="0" w:color="auto"/>
            <w:left w:val="none" w:sz="0" w:space="0" w:color="auto"/>
            <w:bottom w:val="none" w:sz="0" w:space="0" w:color="auto"/>
            <w:right w:val="none" w:sz="0" w:space="0" w:color="auto"/>
          </w:divBdr>
        </w:div>
        <w:div w:id="121007397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7469856">
      <w:bodyDiv w:val="1"/>
      <w:marLeft w:val="0"/>
      <w:marRight w:val="0"/>
      <w:marTop w:val="0"/>
      <w:marBottom w:val="0"/>
      <w:divBdr>
        <w:top w:val="none" w:sz="0" w:space="0" w:color="auto"/>
        <w:left w:val="none" w:sz="0" w:space="0" w:color="auto"/>
        <w:bottom w:val="none" w:sz="0" w:space="0" w:color="auto"/>
        <w:right w:val="none" w:sz="0" w:space="0" w:color="auto"/>
      </w:divBdr>
      <w:divsChild>
        <w:div w:id="450248179">
          <w:marLeft w:val="576"/>
          <w:marRight w:val="0"/>
          <w:marTop w:val="120"/>
          <w:marBottom w:val="0"/>
          <w:divBdr>
            <w:top w:val="none" w:sz="0" w:space="0" w:color="auto"/>
            <w:left w:val="none" w:sz="0" w:space="0" w:color="auto"/>
            <w:bottom w:val="none" w:sz="0" w:space="0" w:color="auto"/>
            <w:right w:val="none" w:sz="0" w:space="0" w:color="auto"/>
          </w:divBdr>
        </w:div>
        <w:div w:id="1013846182">
          <w:marLeft w:val="576"/>
          <w:marRight w:val="0"/>
          <w:marTop w:val="120"/>
          <w:marBottom w:val="0"/>
          <w:divBdr>
            <w:top w:val="none" w:sz="0" w:space="0" w:color="auto"/>
            <w:left w:val="none" w:sz="0" w:space="0" w:color="auto"/>
            <w:bottom w:val="none" w:sz="0" w:space="0" w:color="auto"/>
            <w:right w:val="none" w:sz="0" w:space="0" w:color="auto"/>
          </w:divBdr>
        </w:div>
        <w:div w:id="1323121540">
          <w:marLeft w:val="576"/>
          <w:marRight w:val="0"/>
          <w:marTop w:val="120"/>
          <w:marBottom w:val="0"/>
          <w:divBdr>
            <w:top w:val="none" w:sz="0" w:space="0" w:color="auto"/>
            <w:left w:val="none" w:sz="0" w:space="0" w:color="auto"/>
            <w:bottom w:val="none" w:sz="0" w:space="0" w:color="auto"/>
            <w:right w:val="none" w:sz="0" w:space="0" w:color="auto"/>
          </w:divBdr>
        </w:div>
        <w:div w:id="1251160602">
          <w:marLeft w:val="576"/>
          <w:marRight w:val="0"/>
          <w:marTop w:val="120"/>
          <w:marBottom w:val="0"/>
          <w:divBdr>
            <w:top w:val="none" w:sz="0" w:space="0" w:color="auto"/>
            <w:left w:val="none" w:sz="0" w:space="0" w:color="auto"/>
            <w:bottom w:val="none" w:sz="0" w:space="0" w:color="auto"/>
            <w:right w:val="none" w:sz="0" w:space="0" w:color="auto"/>
          </w:divBdr>
        </w:div>
        <w:div w:id="89131108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7322299">
      <w:bodyDiv w:val="1"/>
      <w:marLeft w:val="0"/>
      <w:marRight w:val="0"/>
      <w:marTop w:val="0"/>
      <w:marBottom w:val="0"/>
      <w:divBdr>
        <w:top w:val="none" w:sz="0" w:space="0" w:color="auto"/>
        <w:left w:val="none" w:sz="0" w:space="0" w:color="auto"/>
        <w:bottom w:val="none" w:sz="0" w:space="0" w:color="auto"/>
        <w:right w:val="none" w:sz="0" w:space="0" w:color="auto"/>
      </w:divBdr>
      <w:divsChild>
        <w:div w:id="750851642">
          <w:marLeft w:val="576"/>
          <w:marRight w:val="0"/>
          <w:marTop w:val="120"/>
          <w:marBottom w:val="0"/>
          <w:divBdr>
            <w:top w:val="none" w:sz="0" w:space="0" w:color="auto"/>
            <w:left w:val="none" w:sz="0" w:space="0" w:color="auto"/>
            <w:bottom w:val="none" w:sz="0" w:space="0" w:color="auto"/>
            <w:right w:val="none" w:sz="0" w:space="0" w:color="auto"/>
          </w:divBdr>
        </w:div>
        <w:div w:id="1283612243">
          <w:marLeft w:val="576"/>
          <w:marRight w:val="0"/>
          <w:marTop w:val="120"/>
          <w:marBottom w:val="0"/>
          <w:divBdr>
            <w:top w:val="none" w:sz="0" w:space="0" w:color="auto"/>
            <w:left w:val="none" w:sz="0" w:space="0" w:color="auto"/>
            <w:bottom w:val="none" w:sz="0" w:space="0" w:color="auto"/>
            <w:right w:val="none" w:sz="0" w:space="0" w:color="auto"/>
          </w:divBdr>
        </w:div>
        <w:div w:id="936793959">
          <w:marLeft w:val="576"/>
          <w:marRight w:val="0"/>
          <w:marTop w:val="120"/>
          <w:marBottom w:val="0"/>
          <w:divBdr>
            <w:top w:val="none" w:sz="0" w:space="0" w:color="auto"/>
            <w:left w:val="none" w:sz="0" w:space="0" w:color="auto"/>
            <w:bottom w:val="none" w:sz="0" w:space="0" w:color="auto"/>
            <w:right w:val="none" w:sz="0" w:space="0" w:color="auto"/>
          </w:divBdr>
        </w:div>
        <w:div w:id="101843252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1901</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2021-08-17T08:57:00Z</dcterms:modified>
</cp:coreProperties>
</file>