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92A95" w:rsidRDefault="00845895" w:rsidP="00292A95">
      <w:pPr>
        <w:spacing w:line="360" w:lineRule="auto"/>
        <w:jc w:val="center"/>
        <w:rPr>
          <w:rFonts w:ascii="Times New Roman" w:hAnsi="Times New Roman" w:cs="Times New Roman"/>
          <w:b/>
          <w:sz w:val="48"/>
          <w:szCs w:val="48"/>
        </w:rPr>
      </w:pPr>
    </w:p>
    <w:p w:rsidR="00CF3C1B" w:rsidRPr="00292A95" w:rsidRDefault="00292A95" w:rsidP="00292A95">
      <w:pPr>
        <w:spacing w:line="360" w:lineRule="auto"/>
        <w:jc w:val="center"/>
        <w:rPr>
          <w:rFonts w:ascii="Times New Roman" w:hAnsi="Times New Roman" w:cs="Times New Roman"/>
          <w:b/>
          <w:sz w:val="48"/>
          <w:szCs w:val="48"/>
        </w:rPr>
      </w:pPr>
      <w:r w:rsidRPr="00292A95">
        <w:rPr>
          <w:rFonts w:ascii="Times New Roman" w:hAnsi="Times New Roman" w:cs="Times New Roman"/>
          <w:b/>
          <w:sz w:val="48"/>
          <w:szCs w:val="48"/>
        </w:rPr>
        <w:t>Integrated Inter-Tower Wireless Communications Network for Terrestrial Broadcasting and Multicasting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2A95" w:rsidRDefault="00292A9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E5041" w:rsidRDefault="008E5041" w:rsidP="008E504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E5041">
        <w:rPr>
          <w:rFonts w:ascii="Times New Roman" w:eastAsia="Times New Roman" w:hAnsi="Times New Roman" w:cs="Times New Roman"/>
          <w:color w:val="333333"/>
          <w:sz w:val="32"/>
          <w:szCs w:val="32"/>
          <w:lang w:val="en-IN" w:eastAsia="en-IN" w:bidi="ta-IN"/>
        </w:rPr>
        <w:t>This paper describes systems, devices, and methods to implement a bi-directional integrated inter-tower wireless communications network (IITWCN). The described technology can be implemented in combination with the Broadcast Core Network (BCN) in next generation broadcast eco-system and, therefore, support new business cases for broadcast operators such as the delivery of flexible datacasting services or support broadcast or point-to-point Internet services. The introduced bi-directional inter-tower communications network (ITCN) extends the previous unidirectional in-band distribution links (IDL) and adopts the on-channel repeater (OCR) as a simplified backhaul solution in single frequency networks (SFN). The concept of the coordinated ITCN is also presented, aiming at future broadcast Internet services. The ITCN provides a scalable and configurable network solution embedded in a broadcast system, which becomes independent from any non-broadcasting telecommunication infrastructure. The described technology partially relies on the infrastructure of the underlying broadcast/multicast network, using the allocated service channels without requiring additional frequency bands or a separate frequency band. The bi-directional inter-transmitter communication links are therefore referred to as integrated transmission links and the corresponding network as an integrated network.</w:t>
      </w:r>
    </w:p>
    <w:p w:rsidR="008E5041" w:rsidRDefault="008E5041" w:rsidP="008E504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8E5041" w:rsidRDefault="001C4FD2" w:rsidP="008E5041">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D59C7" w:rsidRDefault="001F262D" w:rsidP="00A91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9C7">
        <w:rPr>
          <w:rFonts w:ascii="Times New Roman" w:hAnsi="Times New Roman" w:cs="Times New Roman"/>
          <w:sz w:val="32"/>
          <w:szCs w:val="32"/>
          <w:lang w:val="en-IN"/>
        </w:rPr>
        <w:t>A very high speed, multicast</w:t>
      </w:r>
      <w:r w:rsidRPr="000D59C7">
        <w:rPr>
          <w:rFonts w:ascii="Cambria Math" w:hAnsi="Cambria Math" w:cs="Cambria Math"/>
          <w:sz w:val="32"/>
          <w:szCs w:val="32"/>
          <w:lang w:val="en-IN"/>
        </w:rPr>
        <w:t>‐</w:t>
      </w:r>
      <w:r w:rsidRPr="000D59C7">
        <w:rPr>
          <w:rFonts w:ascii="Times New Roman" w:hAnsi="Times New Roman" w:cs="Times New Roman"/>
          <w:sz w:val="32"/>
          <w:szCs w:val="32"/>
          <w:lang w:val="en-IN"/>
        </w:rPr>
        <w:t>enabled, satellite link (up to Gbps speed), direct to the local cell towers, from geostationary and/or nongeostationary satellites will comple</w:t>
      </w:r>
      <w:r w:rsidRPr="000D59C7">
        <w:rPr>
          <w:rFonts w:ascii="Times New Roman" w:hAnsi="Times New Roman" w:cs="Times New Roman"/>
          <w:sz w:val="32"/>
          <w:szCs w:val="32"/>
          <w:lang w:val="en-IN"/>
        </w:rPr>
        <w:t>ment existing terrestrial connectivity.</w:t>
      </w:r>
    </w:p>
    <w:p w:rsidR="00000000" w:rsidRPr="000D59C7" w:rsidRDefault="001F262D" w:rsidP="00A91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9C7">
        <w:rPr>
          <w:rFonts w:ascii="Times New Roman" w:hAnsi="Times New Roman" w:cs="Times New Roman"/>
          <w:sz w:val="32"/>
          <w:szCs w:val="32"/>
          <w:lang w:val="en-IN"/>
        </w:rPr>
        <w:t>This SUCC assumes that satellite connectivity will complement existing terrestrial connectivity, where available (such as, airports, harbors, train stations, and connected cars).</w:t>
      </w:r>
    </w:p>
    <w:p w:rsidR="00000000" w:rsidRPr="000D59C7" w:rsidRDefault="001F262D" w:rsidP="00A91E5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D59C7">
        <w:rPr>
          <w:rFonts w:ascii="Times New Roman" w:hAnsi="Times New Roman" w:cs="Times New Roman"/>
          <w:sz w:val="32"/>
          <w:szCs w:val="32"/>
          <w:lang w:val="en-IN"/>
        </w:rPr>
        <w:t xml:space="preserve">While </w:t>
      </w:r>
      <w:r w:rsidRPr="000D59C7">
        <w:rPr>
          <w:rFonts w:ascii="Times New Roman" w:hAnsi="Times New Roman" w:cs="Times New Roman"/>
          <w:sz w:val="32"/>
          <w:szCs w:val="32"/>
          <w:lang w:val="en-IN"/>
        </w:rPr>
        <w:t>MPEG</w:t>
      </w:r>
      <w:r w:rsidRPr="000D59C7">
        <w:rPr>
          <w:rFonts w:ascii="Cambria Math" w:hAnsi="Cambria Math" w:cs="Cambria Math"/>
          <w:sz w:val="32"/>
          <w:szCs w:val="32"/>
          <w:lang w:val="en-IN"/>
        </w:rPr>
        <w:t>‐</w:t>
      </w:r>
      <w:r w:rsidRPr="000D59C7">
        <w:rPr>
          <w:rFonts w:ascii="Times New Roman" w:hAnsi="Times New Roman" w:cs="Times New Roman"/>
          <w:sz w:val="32"/>
          <w:szCs w:val="32"/>
          <w:lang w:val="en-IN"/>
        </w:rPr>
        <w:t>DASH has many benefits such as offering flexibility through on</w:t>
      </w:r>
      <w:r w:rsidRPr="000D59C7">
        <w:rPr>
          <w:rFonts w:ascii="Cambria Math" w:hAnsi="Cambria Math" w:cs="Cambria Math"/>
          <w:sz w:val="32"/>
          <w:szCs w:val="32"/>
          <w:lang w:val="en-IN"/>
        </w:rPr>
        <w:t>‐</w:t>
      </w:r>
      <w:r w:rsidRPr="000D59C7">
        <w:rPr>
          <w:rFonts w:ascii="Times New Roman" w:hAnsi="Times New Roman" w:cs="Times New Roman"/>
          <w:sz w:val="32"/>
          <w:szCs w:val="32"/>
          <w:lang w:val="en-IN"/>
        </w:rPr>
        <w:t>the</w:t>
      </w:r>
      <w:r w:rsidRPr="000D59C7">
        <w:rPr>
          <w:rFonts w:ascii="Cambria Math" w:hAnsi="Cambria Math" w:cs="Cambria Math"/>
          <w:sz w:val="32"/>
          <w:szCs w:val="32"/>
          <w:lang w:val="en-IN"/>
        </w:rPr>
        <w:t>‐</w:t>
      </w:r>
      <w:r w:rsidRPr="000D59C7">
        <w:rPr>
          <w:rFonts w:ascii="Times New Roman" w:hAnsi="Times New Roman" w:cs="Times New Roman"/>
          <w:sz w:val="32"/>
          <w:szCs w:val="32"/>
          <w:lang w:val="en-IN"/>
        </w:rPr>
        <w:t>fly quality adaptation and its easy implementation over existing HTTP (Hypertext Transfer Protocol) infrastructure, the fact that DASH uses TCP (Transmission Control Protocol) is a dou</w:t>
      </w:r>
      <w:r w:rsidRPr="000D59C7">
        <w:rPr>
          <w:rFonts w:ascii="Times New Roman" w:hAnsi="Times New Roman" w:cs="Times New Roman"/>
          <w:sz w:val="32"/>
          <w:szCs w:val="32"/>
          <w:lang w:val="en-IN"/>
        </w:rPr>
        <w:t>ble</w:t>
      </w:r>
      <w:r w:rsidRPr="000D59C7">
        <w:rPr>
          <w:rFonts w:ascii="Cambria Math" w:hAnsi="Cambria Math" w:cs="Cambria Math"/>
          <w:sz w:val="32"/>
          <w:szCs w:val="32"/>
          <w:lang w:val="en-IN"/>
        </w:rPr>
        <w:t>‐</w:t>
      </w:r>
      <w:r w:rsidRPr="000D59C7">
        <w:rPr>
          <w:rFonts w:ascii="Times New Roman" w:hAnsi="Times New Roman" w:cs="Times New Roman"/>
          <w:sz w:val="32"/>
          <w:szCs w:val="32"/>
          <w:lang w:val="en-IN"/>
        </w:rPr>
        <w:t>edged sword</w:t>
      </w:r>
      <w:r w:rsidRPr="000D59C7">
        <w:rPr>
          <w:rFonts w:ascii="Times New Roman" w:hAnsi="Times New Roman" w:cs="Times New Roman"/>
          <w:sz w:val="32"/>
          <w:szCs w:val="32"/>
          <w:lang w:val="en-IN"/>
        </w:rPr>
        <w:t>.</w:t>
      </w:r>
      <w:r w:rsidRPr="000D59C7">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1E51" w:rsidRDefault="001F262D" w:rsidP="00A91E51">
      <w:pPr>
        <w:numPr>
          <w:ilvl w:val="0"/>
          <w:numId w:val="45"/>
        </w:numPr>
        <w:spacing w:line="360" w:lineRule="auto"/>
        <w:jc w:val="both"/>
        <w:rPr>
          <w:rFonts w:ascii="Times New Roman" w:hAnsi="Times New Roman" w:cs="Times New Roman"/>
          <w:bCs/>
          <w:sz w:val="32"/>
          <w:szCs w:val="32"/>
          <w:lang w:val="en-IN"/>
        </w:rPr>
      </w:pPr>
      <w:r w:rsidRPr="00A91E51">
        <w:rPr>
          <w:rFonts w:ascii="Times New Roman" w:hAnsi="Times New Roman" w:cs="Times New Roman"/>
          <w:bCs/>
          <w:sz w:val="32"/>
          <w:szCs w:val="32"/>
          <w:lang w:val="en-IN"/>
        </w:rPr>
        <w:t>We introduce a new RAN interface design to support Terrestrial Broadcast and multicast with the minimal impact on the current 5G system.</w:t>
      </w:r>
    </w:p>
    <w:p w:rsidR="00000000" w:rsidRPr="00A91E51" w:rsidRDefault="001F262D" w:rsidP="00A91E51">
      <w:pPr>
        <w:numPr>
          <w:ilvl w:val="0"/>
          <w:numId w:val="45"/>
        </w:numPr>
        <w:spacing w:line="360" w:lineRule="auto"/>
        <w:jc w:val="both"/>
        <w:rPr>
          <w:rFonts w:ascii="Times New Roman" w:hAnsi="Times New Roman" w:cs="Times New Roman"/>
          <w:bCs/>
          <w:sz w:val="32"/>
          <w:szCs w:val="32"/>
          <w:lang w:val="en-IN"/>
        </w:rPr>
      </w:pPr>
      <w:r w:rsidRPr="00A91E51">
        <w:rPr>
          <w:rFonts w:ascii="Times New Roman" w:hAnsi="Times New Roman" w:cs="Times New Roman"/>
          <w:bCs/>
          <w:sz w:val="32"/>
          <w:szCs w:val="32"/>
          <w:lang w:val="en-IN"/>
        </w:rPr>
        <w:t>A slightly different approach is followed to address the requirement on large area coverage where t</w:t>
      </w:r>
      <w:r w:rsidRPr="00A91E51">
        <w:rPr>
          <w:rFonts w:ascii="Times New Roman" w:hAnsi="Times New Roman" w:cs="Times New Roman"/>
          <w:bCs/>
          <w:sz w:val="32"/>
          <w:szCs w:val="32"/>
          <w:lang w:val="en-IN"/>
        </w:rPr>
        <w:t xml:space="preserve">he use of SFN modes </w:t>
      </w:r>
      <w:r w:rsidRPr="00A91E51">
        <w:rPr>
          <w:rFonts w:ascii="Times New Roman" w:hAnsi="Times New Roman" w:cs="Times New Roman"/>
          <w:bCs/>
          <w:sz w:val="32"/>
          <w:szCs w:val="32"/>
          <w:lang w:val="en-IN"/>
        </w:rPr>
        <w:lastRenderedPageBreak/>
        <w:t xml:space="preserve">are avoided when possible as this has a severe impact on the air-interface design. </w:t>
      </w:r>
    </w:p>
    <w:p w:rsidR="00000000" w:rsidRPr="00A91E51" w:rsidRDefault="001F262D" w:rsidP="00A91E51">
      <w:pPr>
        <w:numPr>
          <w:ilvl w:val="0"/>
          <w:numId w:val="45"/>
        </w:numPr>
        <w:spacing w:line="360" w:lineRule="auto"/>
        <w:jc w:val="both"/>
        <w:rPr>
          <w:rFonts w:ascii="Times New Roman" w:hAnsi="Times New Roman" w:cs="Times New Roman"/>
          <w:bCs/>
          <w:sz w:val="32"/>
          <w:szCs w:val="32"/>
          <w:lang w:val="en-IN"/>
        </w:rPr>
      </w:pPr>
      <w:r w:rsidRPr="00A91E51">
        <w:rPr>
          <w:rFonts w:ascii="Times New Roman" w:hAnsi="Times New Roman" w:cs="Times New Roman"/>
          <w:bCs/>
          <w:sz w:val="32"/>
          <w:szCs w:val="32"/>
          <w:lang w:val="en-IN"/>
        </w:rPr>
        <w:t xml:space="preserve">To the contrary, Terrestrial Broadcast infrastructure is usually heterogeneous and relies on local, regional or nationwide transmitter areas in SFN or </w:t>
      </w:r>
      <w:r w:rsidRPr="00A91E51">
        <w:rPr>
          <w:rFonts w:ascii="Times New Roman" w:hAnsi="Times New Roman" w:cs="Times New Roman"/>
          <w:bCs/>
          <w:sz w:val="32"/>
          <w:szCs w:val="32"/>
          <w:lang w:val="en-IN"/>
        </w:rPr>
        <w:t>in Multi Frequency Network (MFN) with some degree of frequency reuse.</w:t>
      </w:r>
    </w:p>
    <w:p w:rsidR="00000000" w:rsidRPr="00A91E51" w:rsidRDefault="001F262D" w:rsidP="00A91E51">
      <w:pPr>
        <w:numPr>
          <w:ilvl w:val="0"/>
          <w:numId w:val="45"/>
        </w:numPr>
        <w:spacing w:line="360" w:lineRule="auto"/>
        <w:jc w:val="both"/>
        <w:rPr>
          <w:rFonts w:ascii="Times New Roman" w:hAnsi="Times New Roman" w:cs="Times New Roman"/>
          <w:bCs/>
          <w:sz w:val="32"/>
          <w:szCs w:val="32"/>
          <w:lang w:val="en-IN"/>
        </w:rPr>
      </w:pPr>
      <w:r w:rsidRPr="00A91E51">
        <w:rPr>
          <w:rFonts w:ascii="Times New Roman" w:hAnsi="Times New Roman" w:cs="Times New Roman"/>
          <w:bCs/>
          <w:sz w:val="32"/>
          <w:szCs w:val="32"/>
          <w:lang w:val="en-IN"/>
        </w:rPr>
        <w:t xml:space="preserve">The number of new interfaces impacts directly the service integration and deployment complexity of the new broadcast/multicast system. </w:t>
      </w:r>
    </w:p>
    <w:p w:rsidR="000B33B0" w:rsidRPr="00A91E51" w:rsidRDefault="006A300A" w:rsidP="00A91E51">
      <w:pPr>
        <w:spacing w:line="360" w:lineRule="auto"/>
        <w:jc w:val="both"/>
        <w:rPr>
          <w:rFonts w:ascii="Times New Roman" w:eastAsia="Times New Roman" w:hAnsi="Times New Roman" w:cs="Times New Roman"/>
          <w:sz w:val="32"/>
          <w:szCs w:val="32"/>
        </w:rPr>
      </w:pPr>
      <w:r w:rsidRPr="00A91E51">
        <w:rPr>
          <w:rFonts w:ascii="Times New Roman" w:hAnsi="Times New Roman" w:cs="Times New Roman"/>
          <w:b/>
          <w:sz w:val="36"/>
          <w:szCs w:val="36"/>
        </w:rPr>
        <w:t xml:space="preserve">2.2. PROPOSED </w:t>
      </w:r>
      <w:r w:rsidR="000B33B0" w:rsidRPr="00A91E51">
        <w:rPr>
          <w:rFonts w:ascii="Times New Roman" w:hAnsi="Times New Roman" w:cs="Times New Roman"/>
          <w:b/>
          <w:sz w:val="36"/>
          <w:szCs w:val="36"/>
        </w:rPr>
        <w:t xml:space="preserve">SYSTEM </w:t>
      </w:r>
    </w:p>
    <w:p w:rsidR="00A91E51" w:rsidRPr="00A91E51" w:rsidRDefault="00A91E51" w:rsidP="00A91E51">
      <w:pPr>
        <w:pStyle w:val="NormalWeb"/>
        <w:numPr>
          <w:ilvl w:val="0"/>
          <w:numId w:val="46"/>
        </w:numPr>
        <w:spacing w:before="0" w:beforeAutospacing="0" w:after="0" w:afterAutospacing="0" w:line="360" w:lineRule="auto"/>
        <w:ind w:left="284" w:hanging="284"/>
        <w:jc w:val="both"/>
        <w:rPr>
          <w:sz w:val="32"/>
          <w:szCs w:val="32"/>
        </w:rPr>
      </w:pPr>
      <w:r w:rsidRPr="00A91E51">
        <w:rPr>
          <w:sz w:val="32"/>
          <w:szCs w:val="32"/>
        </w:rPr>
        <w:t xml:space="preserve">The proposed scheme contains the following key operations at the mobile edge virtual CDN node: First, it realizes context awareness on network and users. </w:t>
      </w:r>
    </w:p>
    <w:p w:rsidR="00A91E51" w:rsidRPr="00A91E51" w:rsidRDefault="00A91E51" w:rsidP="00A91E51">
      <w:pPr>
        <w:pStyle w:val="NormalWeb"/>
        <w:numPr>
          <w:ilvl w:val="0"/>
          <w:numId w:val="46"/>
        </w:numPr>
        <w:spacing w:before="0" w:beforeAutospacing="0" w:after="0" w:afterAutospacing="0" w:line="360" w:lineRule="auto"/>
        <w:ind w:left="284" w:hanging="284"/>
        <w:jc w:val="both"/>
        <w:rPr>
          <w:sz w:val="32"/>
          <w:szCs w:val="32"/>
        </w:rPr>
      </w:pPr>
      <w:r w:rsidRPr="00A91E51">
        <w:rPr>
          <w:sz w:val="32"/>
          <w:szCs w:val="32"/>
        </w:rPr>
        <w:t>SaT5G will propose new business models including the new value chains and diverse actors as well as show how they will come together to operate such a system.</w:t>
      </w:r>
    </w:p>
    <w:p w:rsidR="00A91E51" w:rsidRPr="00A91E51" w:rsidRDefault="00A91E51" w:rsidP="00A91E51">
      <w:pPr>
        <w:pStyle w:val="NormalWeb"/>
        <w:numPr>
          <w:ilvl w:val="0"/>
          <w:numId w:val="46"/>
        </w:numPr>
        <w:spacing w:before="0" w:beforeAutospacing="0" w:after="0" w:afterAutospacing="0" w:line="360" w:lineRule="auto"/>
        <w:ind w:left="284" w:hanging="284"/>
        <w:jc w:val="both"/>
        <w:rPr>
          <w:sz w:val="32"/>
          <w:szCs w:val="32"/>
        </w:rPr>
      </w:pPr>
      <w:r w:rsidRPr="00A91E51">
        <w:rPr>
          <w:sz w:val="32"/>
          <w:szCs w:val="32"/>
        </w:rPr>
        <w:t xml:space="preserve">A purpose, satellite links can play a useful role to offload content traffic away from the terrestrial networks between the original content source and a virtual CDN node. </w:t>
      </w:r>
    </w:p>
    <w:p w:rsidR="00BB3207" w:rsidRDefault="00A91E51" w:rsidP="00A91E51">
      <w:pPr>
        <w:pStyle w:val="NormalWeb"/>
        <w:numPr>
          <w:ilvl w:val="0"/>
          <w:numId w:val="46"/>
        </w:numPr>
        <w:spacing w:before="0" w:beforeAutospacing="0" w:after="0" w:afterAutospacing="0" w:line="360" w:lineRule="auto"/>
        <w:ind w:left="284" w:hanging="284"/>
        <w:jc w:val="both"/>
        <w:rPr>
          <w:sz w:val="32"/>
          <w:szCs w:val="32"/>
        </w:rPr>
      </w:pPr>
      <w:r w:rsidRPr="00A91E51">
        <w:rPr>
          <w:sz w:val="32"/>
          <w:szCs w:val="32"/>
        </w:rPr>
        <w:t>It can be inferred that each virtual CDN node independently performs its own content popularity monitoring and prediction.</w:t>
      </w:r>
    </w:p>
    <w:p w:rsidR="00A91E51" w:rsidRDefault="00A91E51"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91E51" w:rsidRDefault="001F262D" w:rsidP="00A91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E51">
        <w:rPr>
          <w:rFonts w:ascii="Times New Roman" w:eastAsia="AdvGulliv-R" w:hAnsi="Times New Roman" w:cs="Times New Roman"/>
          <w:bCs/>
          <w:sz w:val="32"/>
          <w:szCs w:val="32"/>
          <w:lang w:val="en-IN"/>
        </w:rPr>
        <w:t>The duplication can be used in the proposed</w:t>
      </w:r>
      <w:r w:rsidRPr="00A91E51">
        <w:rPr>
          <w:rFonts w:ascii="Times New Roman" w:eastAsia="AdvGulliv-R" w:hAnsi="Times New Roman" w:cs="Times New Roman"/>
          <w:bCs/>
          <w:sz w:val="32"/>
          <w:szCs w:val="32"/>
          <w:lang w:val="en-IN"/>
        </w:rPr>
        <w:t xml:space="preserve"> architecture also for performance enhancement when the UE receives the same PDCP PDU over Dedicated Traffic Channel (DTCH) and Multicast logical Channel (XTCH) as a means for improving packet reliability. </w:t>
      </w:r>
    </w:p>
    <w:p w:rsidR="00000000" w:rsidRPr="00A91E51" w:rsidRDefault="001F262D" w:rsidP="00A91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E51">
        <w:rPr>
          <w:rFonts w:ascii="Times New Roman" w:eastAsia="AdvGulliv-R" w:hAnsi="Times New Roman" w:cs="Times New Roman"/>
          <w:bCs/>
          <w:sz w:val="32"/>
          <w:szCs w:val="32"/>
          <w:lang w:val="en-IN"/>
        </w:rPr>
        <w:t>Latency performance parameters in cellular netwo</w:t>
      </w:r>
      <w:r w:rsidRPr="00A91E51">
        <w:rPr>
          <w:rFonts w:ascii="Times New Roman" w:eastAsia="AdvGulliv-R" w:hAnsi="Times New Roman" w:cs="Times New Roman"/>
          <w:bCs/>
          <w:sz w:val="32"/>
          <w:szCs w:val="32"/>
          <w:lang w:val="en-IN"/>
        </w:rPr>
        <w:t>rks are usually divided into Control Plane latency and User Plane latency.</w:t>
      </w:r>
    </w:p>
    <w:p w:rsidR="00000000" w:rsidRPr="00A91E51" w:rsidRDefault="001F262D" w:rsidP="00A91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E51">
        <w:rPr>
          <w:rFonts w:ascii="Times New Roman" w:eastAsia="AdvGulliv-R" w:hAnsi="Times New Roman" w:cs="Times New Roman"/>
          <w:bCs/>
          <w:sz w:val="32"/>
          <w:szCs w:val="32"/>
          <w:lang w:val="en-IN"/>
        </w:rPr>
        <w:t>This paper proposes an enhanced Next Generation RAN architecture based on 3GPP Release 15 with a series of architectural and functional enhancements, to support an efficient, flexi</w:t>
      </w:r>
      <w:r w:rsidRPr="00A91E51">
        <w:rPr>
          <w:rFonts w:ascii="Times New Roman" w:eastAsia="AdvGulliv-R" w:hAnsi="Times New Roman" w:cs="Times New Roman"/>
          <w:bCs/>
          <w:sz w:val="32"/>
          <w:szCs w:val="32"/>
          <w:lang w:val="en-IN"/>
        </w:rPr>
        <w:t>ble and dynamic selection between unicast and multicast/broadcast transmission modes and also the delivery of Terrestrial Broadcast services.</w:t>
      </w:r>
    </w:p>
    <w:p w:rsidR="00000000" w:rsidRPr="00A91E51" w:rsidRDefault="001F262D" w:rsidP="00A91E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91E51">
        <w:rPr>
          <w:rFonts w:ascii="Times New Roman" w:eastAsia="AdvGulliv-R" w:hAnsi="Times New Roman" w:cs="Times New Roman"/>
          <w:bCs/>
          <w:sz w:val="32"/>
          <w:szCs w:val="32"/>
          <w:lang w:val="en-IN"/>
        </w:rPr>
        <w:t>The support of concurrent delivery of both unicast and PTM services to the users from the same cell, with efficie</w:t>
      </w:r>
      <w:r w:rsidRPr="00A91E51">
        <w:rPr>
          <w:rFonts w:ascii="Times New Roman" w:eastAsia="AdvGulliv-R" w:hAnsi="Times New Roman" w:cs="Times New Roman"/>
          <w:bCs/>
          <w:sz w:val="32"/>
          <w:szCs w:val="32"/>
          <w:lang w:val="en-IN"/>
        </w:rPr>
        <w:t>nt multiplexing with unicast transmissions is also taken into account.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5G for Broadband Multimedia Systems and Broadcasting</w:t>
            </w:r>
          </w:p>
        </w:tc>
        <w:tc>
          <w:tcPr>
            <w:tcW w:w="3192" w:type="dxa"/>
          </w:tcPr>
          <w:p w:rsidR="000C407B" w:rsidRPr="00A91E51" w:rsidRDefault="00A91E51" w:rsidP="00A91E51">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 xml:space="preserve">D. Gomez-Barquero et al., </w:t>
            </w:r>
          </w:p>
        </w:tc>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color w:val="333333"/>
                <w:sz w:val="28"/>
                <w:szCs w:val="28"/>
                <w:shd w:val="clear" w:color="auto" w:fill="FFFFFF"/>
              </w:rPr>
              <w:t xml:space="preserve">The first version of the 3GPP specification (i.e., Release 15) has been recently completed and many 5G trials are under plan or carrying out </w:t>
            </w:r>
            <w:r w:rsidRPr="00A91E51">
              <w:rPr>
                <w:rFonts w:ascii="Times New Roman" w:hAnsi="Times New Roman" w:cs="Times New Roman"/>
                <w:color w:val="333333"/>
                <w:sz w:val="28"/>
                <w:szCs w:val="28"/>
                <w:shd w:val="clear" w:color="auto" w:fill="FFFFFF"/>
              </w:rPr>
              <w:lastRenderedPageBreak/>
              <w:t>worldwide, with the first commercial deployments happening in 2019.</w:t>
            </w:r>
          </w:p>
        </w:tc>
      </w:tr>
      <w:tr w:rsidR="000C407B" w:rsidTr="000C407B">
        <w:trPr>
          <w:trHeight w:val="2942"/>
        </w:trPr>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lastRenderedPageBreak/>
              <w:t>Multicast and Broadcast Enablers for High-Performing Cellular V2X Systems</w:t>
            </w:r>
          </w:p>
        </w:tc>
        <w:tc>
          <w:tcPr>
            <w:tcW w:w="3192" w:type="dxa"/>
          </w:tcPr>
          <w:p w:rsidR="000C407B" w:rsidRPr="00A91E51" w:rsidRDefault="00A91E51" w:rsidP="00A91E51">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 xml:space="preserve">M. Fallgren et al., </w:t>
            </w:r>
          </w:p>
        </w:tc>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This paper focuses on capabilities enabled by 5G connectivity in the cooperative, connected and autonomous cars, and elaborates on two technical enablers.</w:t>
            </w:r>
          </w:p>
        </w:tc>
      </w:tr>
      <w:tr w:rsidR="000C407B" w:rsidTr="000C407B">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enTV Rel-14: A Transport System for Next Generation Broadcaster Services</w:t>
            </w:r>
          </w:p>
        </w:tc>
        <w:tc>
          <w:tcPr>
            <w:tcW w:w="3192" w:type="dxa"/>
          </w:tcPr>
          <w:p w:rsidR="000C407B" w:rsidRPr="00A91E51" w:rsidRDefault="00A91E51" w:rsidP="00A91E51">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 xml:space="preserve">T. Stockhammer, </w:t>
            </w:r>
          </w:p>
        </w:tc>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Distributors need consistent app behavior across platforms - WAVE testing needs neutral, well-known reference platform - Each device platform has different video features, APIs and semantics.</w:t>
            </w:r>
          </w:p>
        </w:tc>
      </w:tr>
      <w:tr w:rsidR="000C407B" w:rsidTr="000C407B">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Further Enhanced Multimedia Broadcast/Multicast Service in LTE-Advanced Pro</w:t>
            </w:r>
          </w:p>
        </w:tc>
        <w:tc>
          <w:tcPr>
            <w:tcW w:w="3192" w:type="dxa"/>
          </w:tcPr>
          <w:p w:rsidR="000C407B" w:rsidRPr="00A91E51" w:rsidRDefault="00A91E51" w:rsidP="00A91E51">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sz w:val="28"/>
                <w:szCs w:val="28"/>
              </w:rPr>
              <w:t xml:space="preserve">R. Kaliski, C. Chou and H. Wei, </w:t>
            </w:r>
          </w:p>
        </w:tc>
        <w:tc>
          <w:tcPr>
            <w:tcW w:w="3192" w:type="dxa"/>
          </w:tcPr>
          <w:p w:rsidR="000C407B" w:rsidRPr="00A91E51" w:rsidRDefault="00A91E51" w:rsidP="00E53AA4">
            <w:pPr>
              <w:tabs>
                <w:tab w:val="left" w:pos="720"/>
              </w:tabs>
              <w:spacing w:after="100" w:line="360" w:lineRule="auto"/>
              <w:jc w:val="both"/>
              <w:rPr>
                <w:rFonts w:ascii="Times New Roman" w:hAnsi="Times New Roman" w:cs="Times New Roman"/>
                <w:sz w:val="28"/>
                <w:szCs w:val="28"/>
              </w:rPr>
            </w:pPr>
            <w:r w:rsidRPr="00A91E51">
              <w:rPr>
                <w:rFonts w:ascii="Times New Roman" w:hAnsi="Times New Roman" w:cs="Times New Roman"/>
                <w:color w:val="333333"/>
                <w:sz w:val="28"/>
                <w:szCs w:val="28"/>
                <w:shd w:val="clear" w:color="auto" w:fill="FFFFFF"/>
              </w:rPr>
              <w:t xml:space="preserve">This article describes the enhancements made to LTE eMBMS related to TV services, MooD, and use cases for each of the </w:t>
            </w:r>
            <w:r w:rsidRPr="00A91E51">
              <w:rPr>
                <w:rFonts w:ascii="Times New Roman" w:hAnsi="Times New Roman" w:cs="Times New Roman"/>
                <w:color w:val="333333"/>
                <w:sz w:val="28"/>
                <w:szCs w:val="28"/>
                <w:shd w:val="clear" w:color="auto" w:fill="FFFFFF"/>
              </w:rPr>
              <w:lastRenderedPageBreak/>
              <w:t>enhancements.</w:t>
            </w:r>
          </w:p>
        </w:tc>
      </w:tr>
    </w:tbl>
    <w:p w:rsidR="00FD5C81" w:rsidRDefault="00FD5C8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FD5C81" w:rsidRDefault="00FD5C81" w:rsidP="00E53AA4">
      <w:pPr>
        <w:spacing w:after="100" w:line="360" w:lineRule="auto"/>
        <w:jc w:val="both"/>
        <w:rPr>
          <w:rFonts w:ascii="Times New Roman" w:hAnsi="Times New Roman" w:cs="Times New Roman"/>
          <w:b/>
          <w:bCs/>
          <w:sz w:val="28"/>
          <w:szCs w:val="28"/>
        </w:rPr>
      </w:pPr>
    </w:p>
    <w:p w:rsidR="00FD5C81" w:rsidRDefault="00FD5C81"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440A5A" w:rsidRDefault="00440A5A" w:rsidP="00F5183A"/>
    <w:p w:rsidR="00FD5C81" w:rsidRPr="00F5183A" w:rsidRDefault="00FD5C81"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D5C81" w:rsidP="00E53AA4">
      <w:pPr>
        <w:spacing w:after="0" w:line="360" w:lineRule="auto"/>
        <w:jc w:val="both"/>
        <w:rPr>
          <w:rFonts w:ascii="Times New Roman" w:hAnsi="Times New Roman" w:cs="Times New Roman"/>
        </w:rPr>
      </w:pPr>
      <w:r w:rsidRPr="00FD5C81">
        <w:rPr>
          <w:rFonts w:ascii="Times New Roman" w:hAnsi="Times New Roman" w:cs="Times New Roman"/>
        </w:rPr>
        <w:drawing>
          <wp:inline distT="0" distB="0" distL="0" distR="0">
            <wp:extent cx="5943600" cy="396240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3962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FD5C81" w:rsidRDefault="00FD5C8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05B65" w:rsidRPr="00205B65" w:rsidRDefault="00205B65" w:rsidP="00205B65">
      <w:pPr>
        <w:pStyle w:val="BodyText"/>
        <w:rPr>
          <w:bCs/>
          <w:iCs/>
          <w:sz w:val="32"/>
          <w:szCs w:val="32"/>
          <w:lang w:val="en-IN"/>
        </w:rPr>
      </w:pPr>
      <w:r w:rsidRPr="00205B65">
        <w:rPr>
          <w:bCs/>
          <w:iCs/>
          <w:sz w:val="32"/>
          <w:szCs w:val="32"/>
          <w:lang w:val="en-IN"/>
        </w:rPr>
        <w:t xml:space="preserve">     Having the 5G NR Rel-15 RAN unicast architecture as a basis for our RAN architecture design, we have proposed architectural and functional enhancements allowing a flexible deployment of 5G-Xcast RAN where the new Radio Access Technology (RAT) supports dynamic adjustment of the Multicast/Broadcast geographical area based on e.g. the user distribution or service requirements. The new 5G-Xcast RAN architecture can cover large geographical areas up to the size of an entire country in SFN mode with content synchronization for SFN transmission. Developed RAN Broadcast/Multicast Area and RAN based synchronization solutions can support local, regional and national multicast/broadcast areas. The support for dynamic geographical areas is enabled with the support of not only Terrestrial Broadcastservice but also a concurrent delivery of both unicast and multicast/broadcast services to the users, as well as support for efficient multiplexing with unicast transmissions via seamless data bearer selection. </w:t>
      </w:r>
    </w:p>
    <w:p w:rsidR="001F1E5A" w:rsidRDefault="001F1E5A" w:rsidP="00E53AA4">
      <w:pPr>
        <w:pStyle w:val="BodyText"/>
        <w:rPr>
          <w:b/>
          <w:iCs/>
          <w:sz w:val="28"/>
          <w:szCs w:val="28"/>
        </w:rPr>
      </w:pPr>
    </w:p>
    <w:p w:rsidR="00205B65" w:rsidRDefault="00205B65" w:rsidP="00E53AA4">
      <w:pPr>
        <w:pStyle w:val="BodyText"/>
        <w:rPr>
          <w:b/>
          <w:iCs/>
          <w:sz w:val="28"/>
          <w:szCs w:val="28"/>
        </w:rPr>
      </w:pPr>
    </w:p>
    <w:p w:rsidR="00205B65" w:rsidRDefault="00205B65" w:rsidP="00E53AA4">
      <w:pPr>
        <w:pStyle w:val="BodyText"/>
        <w:rPr>
          <w:b/>
          <w:iCs/>
          <w:sz w:val="28"/>
          <w:szCs w:val="28"/>
        </w:rPr>
      </w:pPr>
    </w:p>
    <w:p w:rsidR="00205B65" w:rsidRDefault="00205B65" w:rsidP="00E53AA4">
      <w:pPr>
        <w:pStyle w:val="BodyText"/>
        <w:rPr>
          <w:b/>
          <w:iCs/>
          <w:sz w:val="28"/>
          <w:szCs w:val="28"/>
        </w:rPr>
      </w:pPr>
    </w:p>
    <w:p w:rsidR="00205B65" w:rsidRDefault="00205B65" w:rsidP="00E53AA4">
      <w:pPr>
        <w:pStyle w:val="BodyText"/>
        <w:rPr>
          <w:b/>
          <w:iCs/>
          <w:sz w:val="28"/>
          <w:szCs w:val="28"/>
        </w:rPr>
      </w:pPr>
    </w:p>
    <w:p w:rsidR="00205B65" w:rsidRDefault="00205B65"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05B65" w:rsidRDefault="001F262D" w:rsidP="00205B65">
      <w:pPr>
        <w:pStyle w:val="BodyText"/>
        <w:numPr>
          <w:ilvl w:val="0"/>
          <w:numId w:val="42"/>
        </w:numPr>
        <w:rPr>
          <w:sz w:val="32"/>
          <w:szCs w:val="32"/>
          <w:lang w:val="en-IN"/>
        </w:rPr>
      </w:pPr>
      <w:r w:rsidRPr="00205B65">
        <w:rPr>
          <w:sz w:val="32"/>
          <w:szCs w:val="32"/>
          <w:lang w:val="en-IN"/>
        </w:rPr>
        <w:t>[1] 3GPP TS 22.261 v16.7.0, “Service requirements for the 5G system; Stage 1 (Release 16)”, Mar. 2019.</w:t>
      </w:r>
    </w:p>
    <w:p w:rsidR="00000000" w:rsidRPr="00205B65" w:rsidRDefault="001F262D" w:rsidP="00205B65">
      <w:pPr>
        <w:pStyle w:val="BodyText"/>
        <w:numPr>
          <w:ilvl w:val="0"/>
          <w:numId w:val="42"/>
        </w:numPr>
        <w:rPr>
          <w:sz w:val="32"/>
          <w:szCs w:val="32"/>
          <w:lang w:val="en-IN"/>
        </w:rPr>
      </w:pPr>
      <w:r w:rsidRPr="00205B65">
        <w:rPr>
          <w:sz w:val="32"/>
          <w:szCs w:val="32"/>
          <w:lang w:val="en-IN"/>
        </w:rPr>
        <w:t>[2] D. Gomez-Barquero</w:t>
      </w:r>
      <w:r w:rsidRPr="00205B65">
        <w:rPr>
          <w:sz w:val="32"/>
          <w:szCs w:val="32"/>
          <w:lang w:val="en-IN"/>
        </w:rPr>
        <w:t xml:space="preserve"> et al., “5G for Broadband Multimedia Systems and Broadcasting,” IEEE Transactions on Broadcasting, vol. 65, no. 2, pp.351- 355, Jun. 2019. </w:t>
      </w:r>
    </w:p>
    <w:p w:rsidR="00000000" w:rsidRPr="00205B65" w:rsidRDefault="001F262D" w:rsidP="00205B65">
      <w:pPr>
        <w:pStyle w:val="BodyText"/>
        <w:numPr>
          <w:ilvl w:val="0"/>
          <w:numId w:val="42"/>
        </w:numPr>
        <w:rPr>
          <w:sz w:val="32"/>
          <w:szCs w:val="32"/>
          <w:lang w:val="en-IN"/>
        </w:rPr>
      </w:pPr>
      <w:r w:rsidRPr="00205B65">
        <w:rPr>
          <w:sz w:val="32"/>
          <w:szCs w:val="32"/>
          <w:lang w:val="en-IN"/>
        </w:rPr>
        <w:t>[3] M. Fallgren et al., “Multicast and Broadcast Enablers for High-Performing Cellular V2X Systems,” IEEE Transact</w:t>
      </w:r>
      <w:r w:rsidRPr="00205B65">
        <w:rPr>
          <w:sz w:val="32"/>
          <w:szCs w:val="32"/>
          <w:lang w:val="en-IN"/>
        </w:rPr>
        <w:t xml:space="preserve">ions on Broadcasting, vol. 65, no. 2, pp. 454 - 463, Jun. 2019. </w:t>
      </w:r>
    </w:p>
    <w:p w:rsidR="00000000" w:rsidRPr="00205B65" w:rsidRDefault="001F262D" w:rsidP="00205B65">
      <w:pPr>
        <w:pStyle w:val="BodyText"/>
        <w:numPr>
          <w:ilvl w:val="0"/>
          <w:numId w:val="42"/>
        </w:numPr>
        <w:rPr>
          <w:sz w:val="32"/>
          <w:szCs w:val="32"/>
          <w:lang w:val="en-IN"/>
        </w:rPr>
      </w:pPr>
      <w:r w:rsidRPr="00205B65">
        <w:rPr>
          <w:sz w:val="32"/>
          <w:szCs w:val="32"/>
          <w:lang w:val="en-IN"/>
        </w:rPr>
        <w:t>[4] T. Stockhammer, “enTV Rel-14: A Transport System for Next Generation Broadcaster Services,” in IEEE International Symposium on Broadband Multimedia Systems and Broadcasting (BMSB), Valen</w:t>
      </w:r>
      <w:r w:rsidRPr="00205B65">
        <w:rPr>
          <w:sz w:val="32"/>
          <w:szCs w:val="32"/>
          <w:lang w:val="en-IN"/>
        </w:rPr>
        <w:t xml:space="preserve">cia, Spain, 2018. </w:t>
      </w:r>
    </w:p>
    <w:p w:rsidR="00000000" w:rsidRPr="00205B65" w:rsidRDefault="001F262D" w:rsidP="00205B65">
      <w:pPr>
        <w:pStyle w:val="BodyText"/>
        <w:numPr>
          <w:ilvl w:val="0"/>
          <w:numId w:val="42"/>
        </w:numPr>
        <w:rPr>
          <w:sz w:val="32"/>
          <w:szCs w:val="32"/>
          <w:lang w:val="en-IN"/>
        </w:rPr>
      </w:pPr>
      <w:r w:rsidRPr="00205B65">
        <w:rPr>
          <w:sz w:val="32"/>
          <w:szCs w:val="32"/>
          <w:lang w:val="en-IN"/>
        </w:rPr>
        <w:t>[5] 3GPP TR 36.776 v16.0.0, “Evolved Universal Terrestrial Radio Access (EUTRA); Study on LTE-based 5G terrestrial broadcast (Release 16),” Mar. 2019.</w:t>
      </w:r>
      <w:r w:rsidRPr="00205B65">
        <w:rPr>
          <w:sz w:val="32"/>
          <w:szCs w:val="32"/>
        </w:rPr>
        <w:t xml:space="preserve"> </w:t>
      </w:r>
    </w:p>
    <w:p w:rsidR="00000000" w:rsidRPr="00205B65" w:rsidRDefault="001F262D" w:rsidP="00205B65">
      <w:pPr>
        <w:pStyle w:val="BodyText"/>
        <w:numPr>
          <w:ilvl w:val="0"/>
          <w:numId w:val="42"/>
        </w:numPr>
        <w:rPr>
          <w:sz w:val="32"/>
          <w:szCs w:val="32"/>
          <w:lang w:val="en-IN"/>
        </w:rPr>
      </w:pPr>
      <w:r w:rsidRPr="00205B65">
        <w:rPr>
          <w:sz w:val="32"/>
          <w:szCs w:val="32"/>
          <w:lang w:val="en-IN"/>
        </w:rPr>
        <w:t>[6] R. Kaliski, C. Chou and H. Wei, “Further Enhanced Multimedia Broadcast/Multicas</w:t>
      </w:r>
      <w:r w:rsidRPr="00205B65">
        <w:rPr>
          <w:sz w:val="32"/>
          <w:szCs w:val="32"/>
          <w:lang w:val="en-IN"/>
        </w:rPr>
        <w:t xml:space="preserve">t Service in LTE-Advanced Pro,” IEEE Communications Standards Magazine, vol. 3, no. 3, pp. 44-51, Sep. 2019. </w:t>
      </w:r>
    </w:p>
    <w:p w:rsidR="00000000" w:rsidRPr="00205B65" w:rsidRDefault="001F262D" w:rsidP="00205B65">
      <w:pPr>
        <w:pStyle w:val="BodyText"/>
        <w:numPr>
          <w:ilvl w:val="0"/>
          <w:numId w:val="42"/>
        </w:numPr>
        <w:rPr>
          <w:sz w:val="32"/>
          <w:szCs w:val="32"/>
          <w:lang w:val="en-IN"/>
        </w:rPr>
      </w:pPr>
      <w:r w:rsidRPr="00205B65">
        <w:rPr>
          <w:sz w:val="32"/>
          <w:szCs w:val="32"/>
          <w:lang w:val="en-IN"/>
        </w:rPr>
        <w:t xml:space="preserve">[7] 3GPP TR 23.757 v0.3.0, “Study on architectural enhancements for 5G multicast-broadcast services (Release 17)”, Jan. 2020. </w:t>
      </w:r>
    </w:p>
    <w:p w:rsidR="00000000" w:rsidRPr="00205B65" w:rsidRDefault="001F262D" w:rsidP="00205B65">
      <w:pPr>
        <w:pStyle w:val="BodyText"/>
        <w:numPr>
          <w:ilvl w:val="0"/>
          <w:numId w:val="42"/>
        </w:numPr>
        <w:rPr>
          <w:sz w:val="32"/>
          <w:szCs w:val="32"/>
          <w:lang w:val="en-IN"/>
        </w:rPr>
      </w:pPr>
      <w:r w:rsidRPr="00205B65">
        <w:rPr>
          <w:sz w:val="32"/>
          <w:szCs w:val="32"/>
          <w:lang w:val="en-IN"/>
        </w:rPr>
        <w:lastRenderedPageBreak/>
        <w:t>[8] RP-193248, “N</w:t>
      </w:r>
      <w:r w:rsidRPr="00205B65">
        <w:rPr>
          <w:sz w:val="32"/>
          <w:szCs w:val="32"/>
          <w:lang w:val="en-IN"/>
        </w:rPr>
        <w:t xml:space="preserve">ew Work Item on NR support of Multicast and Broadcast Services,” Huawei, 3GPP TSG RAN #86, Sitges, Spain, Dec. 2019. </w:t>
      </w:r>
    </w:p>
    <w:p w:rsidR="00000000" w:rsidRPr="00205B65" w:rsidRDefault="001F262D" w:rsidP="00205B65">
      <w:pPr>
        <w:pStyle w:val="BodyText"/>
        <w:numPr>
          <w:ilvl w:val="0"/>
          <w:numId w:val="42"/>
        </w:numPr>
        <w:rPr>
          <w:sz w:val="32"/>
          <w:szCs w:val="32"/>
          <w:lang w:val="en-IN"/>
        </w:rPr>
      </w:pPr>
      <w:r w:rsidRPr="00205B65">
        <w:rPr>
          <w:sz w:val="32"/>
          <w:szCs w:val="32"/>
          <w:lang w:val="en-IN"/>
        </w:rPr>
        <w:t xml:space="preserve">[9] 3GPP TR 38.913 v15.0.0, “Study on scenarios and requirements for next generation access technologies,” Jul. 2018. </w:t>
      </w:r>
    </w:p>
    <w:p w:rsidR="00000000" w:rsidRPr="00205B65" w:rsidRDefault="001F262D" w:rsidP="00205B65">
      <w:pPr>
        <w:pStyle w:val="BodyText"/>
        <w:numPr>
          <w:ilvl w:val="0"/>
          <w:numId w:val="42"/>
        </w:numPr>
        <w:rPr>
          <w:sz w:val="32"/>
          <w:szCs w:val="32"/>
          <w:lang w:val="en-IN"/>
        </w:rPr>
      </w:pPr>
      <w:r w:rsidRPr="00205B65">
        <w:rPr>
          <w:sz w:val="32"/>
          <w:szCs w:val="32"/>
          <w:lang w:val="en-IN"/>
        </w:rPr>
        <w:t>[10]Next Generati</w:t>
      </w:r>
      <w:r w:rsidRPr="00205B65">
        <w:rPr>
          <w:sz w:val="32"/>
          <w:szCs w:val="32"/>
          <w:lang w:val="en-IN"/>
        </w:rPr>
        <w:t xml:space="preserve">on Mobile Networks (NGMN) Alliance, “NGMN 5G White Paper,” Version 1.0, Feb.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262D" w:rsidRDefault="001F262D" w:rsidP="003654DF">
      <w:pPr>
        <w:spacing w:after="0" w:line="240" w:lineRule="auto"/>
      </w:pPr>
      <w:r>
        <w:separator/>
      </w:r>
    </w:p>
  </w:endnote>
  <w:endnote w:type="continuationSeparator" w:id="1">
    <w:p w:rsidR="001F262D" w:rsidRDefault="001F26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262D" w:rsidRDefault="001F262D" w:rsidP="003654DF">
      <w:pPr>
        <w:spacing w:after="0" w:line="240" w:lineRule="auto"/>
      </w:pPr>
      <w:r>
        <w:separator/>
      </w:r>
    </w:p>
  </w:footnote>
  <w:footnote w:type="continuationSeparator" w:id="1">
    <w:p w:rsidR="001F262D" w:rsidRDefault="001F26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5403B">
        <w:pPr>
          <w:pStyle w:val="Header"/>
          <w:jc w:val="right"/>
        </w:pPr>
        <w:fldSimple w:instr=" PAGE   \* MERGEFORMAT ">
          <w:r w:rsidR="00FD5C81">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476FC1"/>
    <w:multiLevelType w:val="hybridMultilevel"/>
    <w:tmpl w:val="0C50D4F0"/>
    <w:lvl w:ilvl="0" w:tplc="AEA8F388">
      <w:start w:val="1"/>
      <w:numFmt w:val="bullet"/>
      <w:lvlText w:val=""/>
      <w:lvlJc w:val="left"/>
      <w:pPr>
        <w:tabs>
          <w:tab w:val="num" w:pos="720"/>
        </w:tabs>
        <w:ind w:left="720" w:hanging="360"/>
      </w:pPr>
      <w:rPr>
        <w:rFonts w:ascii="Wingdings 2" w:hAnsi="Wingdings 2" w:hint="default"/>
      </w:rPr>
    </w:lvl>
    <w:lvl w:ilvl="1" w:tplc="4A7A9586" w:tentative="1">
      <w:start w:val="1"/>
      <w:numFmt w:val="bullet"/>
      <w:lvlText w:val=""/>
      <w:lvlJc w:val="left"/>
      <w:pPr>
        <w:tabs>
          <w:tab w:val="num" w:pos="1440"/>
        </w:tabs>
        <w:ind w:left="1440" w:hanging="360"/>
      </w:pPr>
      <w:rPr>
        <w:rFonts w:ascii="Wingdings 2" w:hAnsi="Wingdings 2" w:hint="default"/>
      </w:rPr>
    </w:lvl>
    <w:lvl w:ilvl="2" w:tplc="A84614AA" w:tentative="1">
      <w:start w:val="1"/>
      <w:numFmt w:val="bullet"/>
      <w:lvlText w:val=""/>
      <w:lvlJc w:val="left"/>
      <w:pPr>
        <w:tabs>
          <w:tab w:val="num" w:pos="2160"/>
        </w:tabs>
        <w:ind w:left="2160" w:hanging="360"/>
      </w:pPr>
      <w:rPr>
        <w:rFonts w:ascii="Wingdings 2" w:hAnsi="Wingdings 2" w:hint="default"/>
      </w:rPr>
    </w:lvl>
    <w:lvl w:ilvl="3" w:tplc="0ECAAE5C" w:tentative="1">
      <w:start w:val="1"/>
      <w:numFmt w:val="bullet"/>
      <w:lvlText w:val=""/>
      <w:lvlJc w:val="left"/>
      <w:pPr>
        <w:tabs>
          <w:tab w:val="num" w:pos="2880"/>
        </w:tabs>
        <w:ind w:left="2880" w:hanging="360"/>
      </w:pPr>
      <w:rPr>
        <w:rFonts w:ascii="Wingdings 2" w:hAnsi="Wingdings 2" w:hint="default"/>
      </w:rPr>
    </w:lvl>
    <w:lvl w:ilvl="4" w:tplc="9BBC00CA" w:tentative="1">
      <w:start w:val="1"/>
      <w:numFmt w:val="bullet"/>
      <w:lvlText w:val=""/>
      <w:lvlJc w:val="left"/>
      <w:pPr>
        <w:tabs>
          <w:tab w:val="num" w:pos="3600"/>
        </w:tabs>
        <w:ind w:left="3600" w:hanging="360"/>
      </w:pPr>
      <w:rPr>
        <w:rFonts w:ascii="Wingdings 2" w:hAnsi="Wingdings 2" w:hint="default"/>
      </w:rPr>
    </w:lvl>
    <w:lvl w:ilvl="5" w:tplc="8F0EAA60" w:tentative="1">
      <w:start w:val="1"/>
      <w:numFmt w:val="bullet"/>
      <w:lvlText w:val=""/>
      <w:lvlJc w:val="left"/>
      <w:pPr>
        <w:tabs>
          <w:tab w:val="num" w:pos="4320"/>
        </w:tabs>
        <w:ind w:left="4320" w:hanging="360"/>
      </w:pPr>
      <w:rPr>
        <w:rFonts w:ascii="Wingdings 2" w:hAnsi="Wingdings 2" w:hint="default"/>
      </w:rPr>
    </w:lvl>
    <w:lvl w:ilvl="6" w:tplc="A9AA89E0" w:tentative="1">
      <w:start w:val="1"/>
      <w:numFmt w:val="bullet"/>
      <w:lvlText w:val=""/>
      <w:lvlJc w:val="left"/>
      <w:pPr>
        <w:tabs>
          <w:tab w:val="num" w:pos="5040"/>
        </w:tabs>
        <w:ind w:left="5040" w:hanging="360"/>
      </w:pPr>
      <w:rPr>
        <w:rFonts w:ascii="Wingdings 2" w:hAnsi="Wingdings 2" w:hint="default"/>
      </w:rPr>
    </w:lvl>
    <w:lvl w:ilvl="7" w:tplc="D0086348" w:tentative="1">
      <w:start w:val="1"/>
      <w:numFmt w:val="bullet"/>
      <w:lvlText w:val=""/>
      <w:lvlJc w:val="left"/>
      <w:pPr>
        <w:tabs>
          <w:tab w:val="num" w:pos="5760"/>
        </w:tabs>
        <w:ind w:left="5760" w:hanging="360"/>
      </w:pPr>
      <w:rPr>
        <w:rFonts w:ascii="Wingdings 2" w:hAnsi="Wingdings 2" w:hint="default"/>
      </w:rPr>
    </w:lvl>
    <w:lvl w:ilvl="8" w:tplc="172650CE" w:tentative="1">
      <w:start w:val="1"/>
      <w:numFmt w:val="bullet"/>
      <w:lvlText w:val=""/>
      <w:lvlJc w:val="left"/>
      <w:pPr>
        <w:tabs>
          <w:tab w:val="num" w:pos="6480"/>
        </w:tabs>
        <w:ind w:left="6480" w:hanging="360"/>
      </w:pPr>
      <w:rPr>
        <w:rFonts w:ascii="Wingdings 2" w:hAnsi="Wingdings 2"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6E0208"/>
    <w:multiLevelType w:val="hybridMultilevel"/>
    <w:tmpl w:val="37B45620"/>
    <w:lvl w:ilvl="0" w:tplc="5D6C8C60">
      <w:start w:val="1"/>
      <w:numFmt w:val="bullet"/>
      <w:lvlText w:val=""/>
      <w:lvlJc w:val="left"/>
      <w:pPr>
        <w:tabs>
          <w:tab w:val="num" w:pos="720"/>
        </w:tabs>
        <w:ind w:left="720" w:hanging="360"/>
      </w:pPr>
      <w:rPr>
        <w:rFonts w:ascii="Wingdings 2" w:hAnsi="Wingdings 2" w:hint="default"/>
      </w:rPr>
    </w:lvl>
    <w:lvl w:ilvl="1" w:tplc="A41688F8" w:tentative="1">
      <w:start w:val="1"/>
      <w:numFmt w:val="bullet"/>
      <w:lvlText w:val=""/>
      <w:lvlJc w:val="left"/>
      <w:pPr>
        <w:tabs>
          <w:tab w:val="num" w:pos="1440"/>
        </w:tabs>
        <w:ind w:left="1440" w:hanging="360"/>
      </w:pPr>
      <w:rPr>
        <w:rFonts w:ascii="Wingdings 2" w:hAnsi="Wingdings 2" w:hint="default"/>
      </w:rPr>
    </w:lvl>
    <w:lvl w:ilvl="2" w:tplc="FA321C14" w:tentative="1">
      <w:start w:val="1"/>
      <w:numFmt w:val="bullet"/>
      <w:lvlText w:val=""/>
      <w:lvlJc w:val="left"/>
      <w:pPr>
        <w:tabs>
          <w:tab w:val="num" w:pos="2160"/>
        </w:tabs>
        <w:ind w:left="2160" w:hanging="360"/>
      </w:pPr>
      <w:rPr>
        <w:rFonts w:ascii="Wingdings 2" w:hAnsi="Wingdings 2" w:hint="default"/>
      </w:rPr>
    </w:lvl>
    <w:lvl w:ilvl="3" w:tplc="ADE6F64C" w:tentative="1">
      <w:start w:val="1"/>
      <w:numFmt w:val="bullet"/>
      <w:lvlText w:val=""/>
      <w:lvlJc w:val="left"/>
      <w:pPr>
        <w:tabs>
          <w:tab w:val="num" w:pos="2880"/>
        </w:tabs>
        <w:ind w:left="2880" w:hanging="360"/>
      </w:pPr>
      <w:rPr>
        <w:rFonts w:ascii="Wingdings 2" w:hAnsi="Wingdings 2" w:hint="default"/>
      </w:rPr>
    </w:lvl>
    <w:lvl w:ilvl="4" w:tplc="44863B24" w:tentative="1">
      <w:start w:val="1"/>
      <w:numFmt w:val="bullet"/>
      <w:lvlText w:val=""/>
      <w:lvlJc w:val="left"/>
      <w:pPr>
        <w:tabs>
          <w:tab w:val="num" w:pos="3600"/>
        </w:tabs>
        <w:ind w:left="3600" w:hanging="360"/>
      </w:pPr>
      <w:rPr>
        <w:rFonts w:ascii="Wingdings 2" w:hAnsi="Wingdings 2" w:hint="default"/>
      </w:rPr>
    </w:lvl>
    <w:lvl w:ilvl="5" w:tplc="453224CE" w:tentative="1">
      <w:start w:val="1"/>
      <w:numFmt w:val="bullet"/>
      <w:lvlText w:val=""/>
      <w:lvlJc w:val="left"/>
      <w:pPr>
        <w:tabs>
          <w:tab w:val="num" w:pos="4320"/>
        </w:tabs>
        <w:ind w:left="4320" w:hanging="360"/>
      </w:pPr>
      <w:rPr>
        <w:rFonts w:ascii="Wingdings 2" w:hAnsi="Wingdings 2" w:hint="default"/>
      </w:rPr>
    </w:lvl>
    <w:lvl w:ilvl="6" w:tplc="6F847D6C" w:tentative="1">
      <w:start w:val="1"/>
      <w:numFmt w:val="bullet"/>
      <w:lvlText w:val=""/>
      <w:lvlJc w:val="left"/>
      <w:pPr>
        <w:tabs>
          <w:tab w:val="num" w:pos="5040"/>
        </w:tabs>
        <w:ind w:left="5040" w:hanging="360"/>
      </w:pPr>
      <w:rPr>
        <w:rFonts w:ascii="Wingdings 2" w:hAnsi="Wingdings 2" w:hint="default"/>
      </w:rPr>
    </w:lvl>
    <w:lvl w:ilvl="7" w:tplc="35C07EC0" w:tentative="1">
      <w:start w:val="1"/>
      <w:numFmt w:val="bullet"/>
      <w:lvlText w:val=""/>
      <w:lvlJc w:val="left"/>
      <w:pPr>
        <w:tabs>
          <w:tab w:val="num" w:pos="5760"/>
        </w:tabs>
        <w:ind w:left="5760" w:hanging="360"/>
      </w:pPr>
      <w:rPr>
        <w:rFonts w:ascii="Wingdings 2" w:hAnsi="Wingdings 2" w:hint="default"/>
      </w:rPr>
    </w:lvl>
    <w:lvl w:ilvl="8" w:tplc="2228D5A8"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B7716B"/>
    <w:multiLevelType w:val="hybridMultilevel"/>
    <w:tmpl w:val="BDC60E30"/>
    <w:lvl w:ilvl="0" w:tplc="8730C9B6">
      <w:start w:val="1"/>
      <w:numFmt w:val="bullet"/>
      <w:lvlText w:val=""/>
      <w:lvlJc w:val="left"/>
      <w:pPr>
        <w:tabs>
          <w:tab w:val="num" w:pos="720"/>
        </w:tabs>
        <w:ind w:left="720" w:hanging="360"/>
      </w:pPr>
      <w:rPr>
        <w:rFonts w:ascii="Wingdings 2" w:hAnsi="Wingdings 2" w:hint="default"/>
      </w:rPr>
    </w:lvl>
    <w:lvl w:ilvl="1" w:tplc="EE5A75AC" w:tentative="1">
      <w:start w:val="1"/>
      <w:numFmt w:val="bullet"/>
      <w:lvlText w:val=""/>
      <w:lvlJc w:val="left"/>
      <w:pPr>
        <w:tabs>
          <w:tab w:val="num" w:pos="1440"/>
        </w:tabs>
        <w:ind w:left="1440" w:hanging="360"/>
      </w:pPr>
      <w:rPr>
        <w:rFonts w:ascii="Wingdings 2" w:hAnsi="Wingdings 2" w:hint="default"/>
      </w:rPr>
    </w:lvl>
    <w:lvl w:ilvl="2" w:tplc="AA12FC9A" w:tentative="1">
      <w:start w:val="1"/>
      <w:numFmt w:val="bullet"/>
      <w:lvlText w:val=""/>
      <w:lvlJc w:val="left"/>
      <w:pPr>
        <w:tabs>
          <w:tab w:val="num" w:pos="2160"/>
        </w:tabs>
        <w:ind w:left="2160" w:hanging="360"/>
      </w:pPr>
      <w:rPr>
        <w:rFonts w:ascii="Wingdings 2" w:hAnsi="Wingdings 2" w:hint="default"/>
      </w:rPr>
    </w:lvl>
    <w:lvl w:ilvl="3" w:tplc="589825FA" w:tentative="1">
      <w:start w:val="1"/>
      <w:numFmt w:val="bullet"/>
      <w:lvlText w:val=""/>
      <w:lvlJc w:val="left"/>
      <w:pPr>
        <w:tabs>
          <w:tab w:val="num" w:pos="2880"/>
        </w:tabs>
        <w:ind w:left="2880" w:hanging="360"/>
      </w:pPr>
      <w:rPr>
        <w:rFonts w:ascii="Wingdings 2" w:hAnsi="Wingdings 2" w:hint="default"/>
      </w:rPr>
    </w:lvl>
    <w:lvl w:ilvl="4" w:tplc="4EC685E6" w:tentative="1">
      <w:start w:val="1"/>
      <w:numFmt w:val="bullet"/>
      <w:lvlText w:val=""/>
      <w:lvlJc w:val="left"/>
      <w:pPr>
        <w:tabs>
          <w:tab w:val="num" w:pos="3600"/>
        </w:tabs>
        <w:ind w:left="3600" w:hanging="360"/>
      </w:pPr>
      <w:rPr>
        <w:rFonts w:ascii="Wingdings 2" w:hAnsi="Wingdings 2" w:hint="default"/>
      </w:rPr>
    </w:lvl>
    <w:lvl w:ilvl="5" w:tplc="3EE67A6A" w:tentative="1">
      <w:start w:val="1"/>
      <w:numFmt w:val="bullet"/>
      <w:lvlText w:val=""/>
      <w:lvlJc w:val="left"/>
      <w:pPr>
        <w:tabs>
          <w:tab w:val="num" w:pos="4320"/>
        </w:tabs>
        <w:ind w:left="4320" w:hanging="360"/>
      </w:pPr>
      <w:rPr>
        <w:rFonts w:ascii="Wingdings 2" w:hAnsi="Wingdings 2" w:hint="default"/>
      </w:rPr>
    </w:lvl>
    <w:lvl w:ilvl="6" w:tplc="93C68A06" w:tentative="1">
      <w:start w:val="1"/>
      <w:numFmt w:val="bullet"/>
      <w:lvlText w:val=""/>
      <w:lvlJc w:val="left"/>
      <w:pPr>
        <w:tabs>
          <w:tab w:val="num" w:pos="5040"/>
        </w:tabs>
        <w:ind w:left="5040" w:hanging="360"/>
      </w:pPr>
      <w:rPr>
        <w:rFonts w:ascii="Wingdings 2" w:hAnsi="Wingdings 2" w:hint="default"/>
      </w:rPr>
    </w:lvl>
    <w:lvl w:ilvl="7" w:tplc="8B7EC2AA" w:tentative="1">
      <w:start w:val="1"/>
      <w:numFmt w:val="bullet"/>
      <w:lvlText w:val=""/>
      <w:lvlJc w:val="left"/>
      <w:pPr>
        <w:tabs>
          <w:tab w:val="num" w:pos="5760"/>
        </w:tabs>
        <w:ind w:left="5760" w:hanging="360"/>
      </w:pPr>
      <w:rPr>
        <w:rFonts w:ascii="Wingdings 2" w:hAnsi="Wingdings 2" w:hint="default"/>
      </w:rPr>
    </w:lvl>
    <w:lvl w:ilvl="8" w:tplc="9C3E6CC2"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ED26C6"/>
    <w:multiLevelType w:val="hybridMultilevel"/>
    <w:tmpl w:val="6BEA723E"/>
    <w:lvl w:ilvl="0" w:tplc="3B00D38A">
      <w:start w:val="1"/>
      <w:numFmt w:val="bullet"/>
      <w:lvlText w:val=""/>
      <w:lvlJc w:val="left"/>
      <w:pPr>
        <w:tabs>
          <w:tab w:val="num" w:pos="720"/>
        </w:tabs>
        <w:ind w:left="720" w:hanging="360"/>
      </w:pPr>
      <w:rPr>
        <w:rFonts w:ascii="Wingdings 2" w:hAnsi="Wingdings 2" w:hint="default"/>
      </w:rPr>
    </w:lvl>
    <w:lvl w:ilvl="1" w:tplc="ED4C2326" w:tentative="1">
      <w:start w:val="1"/>
      <w:numFmt w:val="bullet"/>
      <w:lvlText w:val=""/>
      <w:lvlJc w:val="left"/>
      <w:pPr>
        <w:tabs>
          <w:tab w:val="num" w:pos="1440"/>
        </w:tabs>
        <w:ind w:left="1440" w:hanging="360"/>
      </w:pPr>
      <w:rPr>
        <w:rFonts w:ascii="Wingdings 2" w:hAnsi="Wingdings 2" w:hint="default"/>
      </w:rPr>
    </w:lvl>
    <w:lvl w:ilvl="2" w:tplc="E332ABF6" w:tentative="1">
      <w:start w:val="1"/>
      <w:numFmt w:val="bullet"/>
      <w:lvlText w:val=""/>
      <w:lvlJc w:val="left"/>
      <w:pPr>
        <w:tabs>
          <w:tab w:val="num" w:pos="2160"/>
        </w:tabs>
        <w:ind w:left="2160" w:hanging="360"/>
      </w:pPr>
      <w:rPr>
        <w:rFonts w:ascii="Wingdings 2" w:hAnsi="Wingdings 2" w:hint="default"/>
      </w:rPr>
    </w:lvl>
    <w:lvl w:ilvl="3" w:tplc="6F487D6A" w:tentative="1">
      <w:start w:val="1"/>
      <w:numFmt w:val="bullet"/>
      <w:lvlText w:val=""/>
      <w:lvlJc w:val="left"/>
      <w:pPr>
        <w:tabs>
          <w:tab w:val="num" w:pos="2880"/>
        </w:tabs>
        <w:ind w:left="2880" w:hanging="360"/>
      </w:pPr>
      <w:rPr>
        <w:rFonts w:ascii="Wingdings 2" w:hAnsi="Wingdings 2" w:hint="default"/>
      </w:rPr>
    </w:lvl>
    <w:lvl w:ilvl="4" w:tplc="CF9E8A82" w:tentative="1">
      <w:start w:val="1"/>
      <w:numFmt w:val="bullet"/>
      <w:lvlText w:val=""/>
      <w:lvlJc w:val="left"/>
      <w:pPr>
        <w:tabs>
          <w:tab w:val="num" w:pos="3600"/>
        </w:tabs>
        <w:ind w:left="3600" w:hanging="360"/>
      </w:pPr>
      <w:rPr>
        <w:rFonts w:ascii="Wingdings 2" w:hAnsi="Wingdings 2" w:hint="default"/>
      </w:rPr>
    </w:lvl>
    <w:lvl w:ilvl="5" w:tplc="2E9CA374" w:tentative="1">
      <w:start w:val="1"/>
      <w:numFmt w:val="bullet"/>
      <w:lvlText w:val=""/>
      <w:lvlJc w:val="left"/>
      <w:pPr>
        <w:tabs>
          <w:tab w:val="num" w:pos="4320"/>
        </w:tabs>
        <w:ind w:left="4320" w:hanging="360"/>
      </w:pPr>
      <w:rPr>
        <w:rFonts w:ascii="Wingdings 2" w:hAnsi="Wingdings 2" w:hint="default"/>
      </w:rPr>
    </w:lvl>
    <w:lvl w:ilvl="6" w:tplc="26363798" w:tentative="1">
      <w:start w:val="1"/>
      <w:numFmt w:val="bullet"/>
      <w:lvlText w:val=""/>
      <w:lvlJc w:val="left"/>
      <w:pPr>
        <w:tabs>
          <w:tab w:val="num" w:pos="5040"/>
        </w:tabs>
        <w:ind w:left="5040" w:hanging="360"/>
      </w:pPr>
      <w:rPr>
        <w:rFonts w:ascii="Wingdings 2" w:hAnsi="Wingdings 2" w:hint="default"/>
      </w:rPr>
    </w:lvl>
    <w:lvl w:ilvl="7" w:tplc="41A6FF1E" w:tentative="1">
      <w:start w:val="1"/>
      <w:numFmt w:val="bullet"/>
      <w:lvlText w:val=""/>
      <w:lvlJc w:val="left"/>
      <w:pPr>
        <w:tabs>
          <w:tab w:val="num" w:pos="5760"/>
        </w:tabs>
        <w:ind w:left="5760" w:hanging="360"/>
      </w:pPr>
      <w:rPr>
        <w:rFonts w:ascii="Wingdings 2" w:hAnsi="Wingdings 2" w:hint="default"/>
      </w:rPr>
    </w:lvl>
    <w:lvl w:ilvl="8" w:tplc="B568DAD2"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FF6FAD"/>
    <w:multiLevelType w:val="hybridMultilevel"/>
    <w:tmpl w:val="059A4F1A"/>
    <w:lvl w:ilvl="0" w:tplc="ED3A55C6">
      <w:start w:val="1"/>
      <w:numFmt w:val="bullet"/>
      <w:lvlText w:val=""/>
      <w:lvlJc w:val="left"/>
      <w:pPr>
        <w:tabs>
          <w:tab w:val="num" w:pos="720"/>
        </w:tabs>
        <w:ind w:left="720" w:hanging="360"/>
      </w:pPr>
      <w:rPr>
        <w:rFonts w:ascii="Wingdings 2" w:hAnsi="Wingdings 2" w:hint="default"/>
      </w:rPr>
    </w:lvl>
    <w:lvl w:ilvl="1" w:tplc="097E6A14" w:tentative="1">
      <w:start w:val="1"/>
      <w:numFmt w:val="bullet"/>
      <w:lvlText w:val=""/>
      <w:lvlJc w:val="left"/>
      <w:pPr>
        <w:tabs>
          <w:tab w:val="num" w:pos="1440"/>
        </w:tabs>
        <w:ind w:left="1440" w:hanging="360"/>
      </w:pPr>
      <w:rPr>
        <w:rFonts w:ascii="Wingdings 2" w:hAnsi="Wingdings 2" w:hint="default"/>
      </w:rPr>
    </w:lvl>
    <w:lvl w:ilvl="2" w:tplc="E2A2FD2A" w:tentative="1">
      <w:start w:val="1"/>
      <w:numFmt w:val="bullet"/>
      <w:lvlText w:val=""/>
      <w:lvlJc w:val="left"/>
      <w:pPr>
        <w:tabs>
          <w:tab w:val="num" w:pos="2160"/>
        </w:tabs>
        <w:ind w:left="2160" w:hanging="360"/>
      </w:pPr>
      <w:rPr>
        <w:rFonts w:ascii="Wingdings 2" w:hAnsi="Wingdings 2" w:hint="default"/>
      </w:rPr>
    </w:lvl>
    <w:lvl w:ilvl="3" w:tplc="DD8A894C" w:tentative="1">
      <w:start w:val="1"/>
      <w:numFmt w:val="bullet"/>
      <w:lvlText w:val=""/>
      <w:lvlJc w:val="left"/>
      <w:pPr>
        <w:tabs>
          <w:tab w:val="num" w:pos="2880"/>
        </w:tabs>
        <w:ind w:left="2880" w:hanging="360"/>
      </w:pPr>
      <w:rPr>
        <w:rFonts w:ascii="Wingdings 2" w:hAnsi="Wingdings 2" w:hint="default"/>
      </w:rPr>
    </w:lvl>
    <w:lvl w:ilvl="4" w:tplc="93E2DE04" w:tentative="1">
      <w:start w:val="1"/>
      <w:numFmt w:val="bullet"/>
      <w:lvlText w:val=""/>
      <w:lvlJc w:val="left"/>
      <w:pPr>
        <w:tabs>
          <w:tab w:val="num" w:pos="3600"/>
        </w:tabs>
        <w:ind w:left="3600" w:hanging="360"/>
      </w:pPr>
      <w:rPr>
        <w:rFonts w:ascii="Wingdings 2" w:hAnsi="Wingdings 2" w:hint="default"/>
      </w:rPr>
    </w:lvl>
    <w:lvl w:ilvl="5" w:tplc="FD041C6C" w:tentative="1">
      <w:start w:val="1"/>
      <w:numFmt w:val="bullet"/>
      <w:lvlText w:val=""/>
      <w:lvlJc w:val="left"/>
      <w:pPr>
        <w:tabs>
          <w:tab w:val="num" w:pos="4320"/>
        </w:tabs>
        <w:ind w:left="4320" w:hanging="360"/>
      </w:pPr>
      <w:rPr>
        <w:rFonts w:ascii="Wingdings 2" w:hAnsi="Wingdings 2" w:hint="default"/>
      </w:rPr>
    </w:lvl>
    <w:lvl w:ilvl="6" w:tplc="BE1E0476" w:tentative="1">
      <w:start w:val="1"/>
      <w:numFmt w:val="bullet"/>
      <w:lvlText w:val=""/>
      <w:lvlJc w:val="left"/>
      <w:pPr>
        <w:tabs>
          <w:tab w:val="num" w:pos="5040"/>
        </w:tabs>
        <w:ind w:left="5040" w:hanging="360"/>
      </w:pPr>
      <w:rPr>
        <w:rFonts w:ascii="Wingdings 2" w:hAnsi="Wingdings 2" w:hint="default"/>
      </w:rPr>
    </w:lvl>
    <w:lvl w:ilvl="7" w:tplc="96BA0BB2" w:tentative="1">
      <w:start w:val="1"/>
      <w:numFmt w:val="bullet"/>
      <w:lvlText w:val=""/>
      <w:lvlJc w:val="left"/>
      <w:pPr>
        <w:tabs>
          <w:tab w:val="num" w:pos="5760"/>
        </w:tabs>
        <w:ind w:left="5760" w:hanging="360"/>
      </w:pPr>
      <w:rPr>
        <w:rFonts w:ascii="Wingdings 2" w:hAnsi="Wingdings 2" w:hint="default"/>
      </w:rPr>
    </w:lvl>
    <w:lvl w:ilvl="8" w:tplc="2856B65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4F6DA0"/>
    <w:multiLevelType w:val="hybridMultilevel"/>
    <w:tmpl w:val="DCFADF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6"/>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0"/>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3"/>
  </w:num>
  <w:num w:numId="42">
    <w:abstractNumId w:val="39"/>
  </w:num>
  <w:num w:numId="43">
    <w:abstractNumId w:val="31"/>
  </w:num>
  <w:num w:numId="44">
    <w:abstractNumId w:val="41"/>
  </w:num>
  <w:num w:numId="45">
    <w:abstractNumId w:val="19"/>
  </w:num>
  <w:num w:numId="46">
    <w:abstractNumId w:val="44"/>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59C7"/>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62D"/>
    <w:rsid w:val="001F2870"/>
    <w:rsid w:val="001F39CD"/>
    <w:rsid w:val="00200043"/>
    <w:rsid w:val="00202524"/>
    <w:rsid w:val="00204079"/>
    <w:rsid w:val="00205B65"/>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2A9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041"/>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403B"/>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E51"/>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494"/>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C81"/>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9130363">
      <w:bodyDiv w:val="1"/>
      <w:marLeft w:val="0"/>
      <w:marRight w:val="0"/>
      <w:marTop w:val="0"/>
      <w:marBottom w:val="0"/>
      <w:divBdr>
        <w:top w:val="none" w:sz="0" w:space="0" w:color="auto"/>
        <w:left w:val="none" w:sz="0" w:space="0" w:color="auto"/>
        <w:bottom w:val="none" w:sz="0" w:space="0" w:color="auto"/>
        <w:right w:val="none" w:sz="0" w:space="0" w:color="auto"/>
      </w:divBdr>
      <w:divsChild>
        <w:div w:id="1432429645">
          <w:marLeft w:val="576"/>
          <w:marRight w:val="0"/>
          <w:marTop w:val="120"/>
          <w:marBottom w:val="0"/>
          <w:divBdr>
            <w:top w:val="none" w:sz="0" w:space="0" w:color="auto"/>
            <w:left w:val="none" w:sz="0" w:space="0" w:color="auto"/>
            <w:bottom w:val="none" w:sz="0" w:space="0" w:color="auto"/>
            <w:right w:val="none" w:sz="0" w:space="0" w:color="auto"/>
          </w:divBdr>
        </w:div>
        <w:div w:id="733702054">
          <w:marLeft w:val="576"/>
          <w:marRight w:val="0"/>
          <w:marTop w:val="120"/>
          <w:marBottom w:val="0"/>
          <w:divBdr>
            <w:top w:val="none" w:sz="0" w:space="0" w:color="auto"/>
            <w:left w:val="none" w:sz="0" w:space="0" w:color="auto"/>
            <w:bottom w:val="none" w:sz="0" w:space="0" w:color="auto"/>
            <w:right w:val="none" w:sz="0" w:space="0" w:color="auto"/>
          </w:divBdr>
        </w:div>
        <w:div w:id="2048868608">
          <w:marLeft w:val="576"/>
          <w:marRight w:val="0"/>
          <w:marTop w:val="120"/>
          <w:marBottom w:val="0"/>
          <w:divBdr>
            <w:top w:val="none" w:sz="0" w:space="0" w:color="auto"/>
            <w:left w:val="none" w:sz="0" w:space="0" w:color="auto"/>
            <w:bottom w:val="none" w:sz="0" w:space="0" w:color="auto"/>
            <w:right w:val="none" w:sz="0" w:space="0" w:color="auto"/>
          </w:divBdr>
        </w:div>
        <w:div w:id="844514814">
          <w:marLeft w:val="576"/>
          <w:marRight w:val="0"/>
          <w:marTop w:val="120"/>
          <w:marBottom w:val="0"/>
          <w:divBdr>
            <w:top w:val="none" w:sz="0" w:space="0" w:color="auto"/>
            <w:left w:val="none" w:sz="0" w:space="0" w:color="auto"/>
            <w:bottom w:val="none" w:sz="0" w:space="0" w:color="auto"/>
            <w:right w:val="none" w:sz="0" w:space="0" w:color="auto"/>
          </w:divBdr>
        </w:div>
        <w:div w:id="95271279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5386393">
      <w:bodyDiv w:val="1"/>
      <w:marLeft w:val="0"/>
      <w:marRight w:val="0"/>
      <w:marTop w:val="0"/>
      <w:marBottom w:val="0"/>
      <w:divBdr>
        <w:top w:val="none" w:sz="0" w:space="0" w:color="auto"/>
        <w:left w:val="none" w:sz="0" w:space="0" w:color="auto"/>
        <w:bottom w:val="none" w:sz="0" w:space="0" w:color="auto"/>
        <w:right w:val="none" w:sz="0" w:space="0" w:color="auto"/>
      </w:divBdr>
      <w:divsChild>
        <w:div w:id="492572885">
          <w:marLeft w:val="576"/>
          <w:marRight w:val="0"/>
          <w:marTop w:val="120"/>
          <w:marBottom w:val="0"/>
          <w:divBdr>
            <w:top w:val="none" w:sz="0" w:space="0" w:color="auto"/>
            <w:left w:val="none" w:sz="0" w:space="0" w:color="auto"/>
            <w:bottom w:val="none" w:sz="0" w:space="0" w:color="auto"/>
            <w:right w:val="none" w:sz="0" w:space="0" w:color="auto"/>
          </w:divBdr>
        </w:div>
        <w:div w:id="1298604676">
          <w:marLeft w:val="576"/>
          <w:marRight w:val="0"/>
          <w:marTop w:val="120"/>
          <w:marBottom w:val="0"/>
          <w:divBdr>
            <w:top w:val="none" w:sz="0" w:space="0" w:color="auto"/>
            <w:left w:val="none" w:sz="0" w:space="0" w:color="auto"/>
            <w:bottom w:val="none" w:sz="0" w:space="0" w:color="auto"/>
            <w:right w:val="none" w:sz="0" w:space="0" w:color="auto"/>
          </w:divBdr>
        </w:div>
        <w:div w:id="1098217533">
          <w:marLeft w:val="576"/>
          <w:marRight w:val="0"/>
          <w:marTop w:val="120"/>
          <w:marBottom w:val="0"/>
          <w:divBdr>
            <w:top w:val="none" w:sz="0" w:space="0" w:color="auto"/>
            <w:left w:val="none" w:sz="0" w:space="0" w:color="auto"/>
            <w:bottom w:val="none" w:sz="0" w:space="0" w:color="auto"/>
            <w:right w:val="none" w:sz="0" w:space="0" w:color="auto"/>
          </w:divBdr>
        </w:div>
        <w:div w:id="168705102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1616904">
      <w:bodyDiv w:val="1"/>
      <w:marLeft w:val="0"/>
      <w:marRight w:val="0"/>
      <w:marTop w:val="0"/>
      <w:marBottom w:val="0"/>
      <w:divBdr>
        <w:top w:val="none" w:sz="0" w:space="0" w:color="auto"/>
        <w:left w:val="none" w:sz="0" w:space="0" w:color="auto"/>
        <w:bottom w:val="none" w:sz="0" w:space="0" w:color="auto"/>
        <w:right w:val="none" w:sz="0" w:space="0" w:color="auto"/>
      </w:divBdr>
      <w:divsChild>
        <w:div w:id="229000682">
          <w:marLeft w:val="0"/>
          <w:marRight w:val="0"/>
          <w:marTop w:val="0"/>
          <w:marBottom w:val="0"/>
          <w:divBdr>
            <w:top w:val="none" w:sz="0" w:space="0" w:color="auto"/>
            <w:left w:val="none" w:sz="0" w:space="0" w:color="auto"/>
            <w:bottom w:val="none" w:sz="0" w:space="0" w:color="auto"/>
            <w:right w:val="none" w:sz="0" w:space="0" w:color="auto"/>
          </w:divBdr>
          <w:divsChild>
            <w:div w:id="1598899442">
              <w:marLeft w:val="0"/>
              <w:marRight w:val="0"/>
              <w:marTop w:val="0"/>
              <w:marBottom w:val="0"/>
              <w:divBdr>
                <w:top w:val="none" w:sz="0" w:space="0" w:color="auto"/>
                <w:left w:val="none" w:sz="0" w:space="0" w:color="auto"/>
                <w:bottom w:val="none" w:sz="0" w:space="0" w:color="auto"/>
                <w:right w:val="none" w:sz="0" w:space="0" w:color="auto"/>
              </w:divBdr>
              <w:divsChild>
                <w:div w:id="895357455">
                  <w:marLeft w:val="0"/>
                  <w:marRight w:val="0"/>
                  <w:marTop w:val="0"/>
                  <w:marBottom w:val="0"/>
                  <w:divBdr>
                    <w:top w:val="none" w:sz="0" w:space="0" w:color="auto"/>
                    <w:left w:val="none" w:sz="0" w:space="0" w:color="auto"/>
                    <w:bottom w:val="none" w:sz="0" w:space="0" w:color="auto"/>
                    <w:right w:val="none" w:sz="0" w:space="0" w:color="auto"/>
                  </w:divBdr>
                  <w:divsChild>
                    <w:div w:id="209971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7177467">
      <w:bodyDiv w:val="1"/>
      <w:marLeft w:val="0"/>
      <w:marRight w:val="0"/>
      <w:marTop w:val="0"/>
      <w:marBottom w:val="0"/>
      <w:divBdr>
        <w:top w:val="none" w:sz="0" w:space="0" w:color="auto"/>
        <w:left w:val="none" w:sz="0" w:space="0" w:color="auto"/>
        <w:bottom w:val="none" w:sz="0" w:space="0" w:color="auto"/>
        <w:right w:val="none" w:sz="0" w:space="0" w:color="auto"/>
      </w:divBdr>
      <w:divsChild>
        <w:div w:id="449056635">
          <w:marLeft w:val="576"/>
          <w:marRight w:val="0"/>
          <w:marTop w:val="120"/>
          <w:marBottom w:val="0"/>
          <w:divBdr>
            <w:top w:val="none" w:sz="0" w:space="0" w:color="auto"/>
            <w:left w:val="none" w:sz="0" w:space="0" w:color="auto"/>
            <w:bottom w:val="none" w:sz="0" w:space="0" w:color="auto"/>
            <w:right w:val="none" w:sz="0" w:space="0" w:color="auto"/>
          </w:divBdr>
        </w:div>
        <w:div w:id="1774781213">
          <w:marLeft w:val="576"/>
          <w:marRight w:val="0"/>
          <w:marTop w:val="120"/>
          <w:marBottom w:val="0"/>
          <w:divBdr>
            <w:top w:val="none" w:sz="0" w:space="0" w:color="auto"/>
            <w:left w:val="none" w:sz="0" w:space="0" w:color="auto"/>
            <w:bottom w:val="none" w:sz="0" w:space="0" w:color="auto"/>
            <w:right w:val="none" w:sz="0" w:space="0" w:color="auto"/>
          </w:divBdr>
        </w:div>
        <w:div w:id="125853150">
          <w:marLeft w:val="576"/>
          <w:marRight w:val="0"/>
          <w:marTop w:val="120"/>
          <w:marBottom w:val="0"/>
          <w:divBdr>
            <w:top w:val="none" w:sz="0" w:space="0" w:color="auto"/>
            <w:left w:val="none" w:sz="0" w:space="0" w:color="auto"/>
            <w:bottom w:val="none" w:sz="0" w:space="0" w:color="auto"/>
            <w:right w:val="none" w:sz="0" w:space="0" w:color="auto"/>
          </w:divBdr>
        </w:div>
        <w:div w:id="1072121974">
          <w:marLeft w:val="576"/>
          <w:marRight w:val="0"/>
          <w:marTop w:val="120"/>
          <w:marBottom w:val="0"/>
          <w:divBdr>
            <w:top w:val="none" w:sz="0" w:space="0" w:color="auto"/>
            <w:left w:val="none" w:sz="0" w:space="0" w:color="auto"/>
            <w:bottom w:val="none" w:sz="0" w:space="0" w:color="auto"/>
            <w:right w:val="none" w:sz="0" w:space="0" w:color="auto"/>
          </w:divBdr>
        </w:div>
        <w:div w:id="1968705289">
          <w:marLeft w:val="576"/>
          <w:marRight w:val="0"/>
          <w:marTop w:val="120"/>
          <w:marBottom w:val="0"/>
          <w:divBdr>
            <w:top w:val="none" w:sz="0" w:space="0" w:color="auto"/>
            <w:left w:val="none" w:sz="0" w:space="0" w:color="auto"/>
            <w:bottom w:val="none" w:sz="0" w:space="0" w:color="auto"/>
            <w:right w:val="none" w:sz="0" w:space="0" w:color="auto"/>
          </w:divBdr>
        </w:div>
      </w:divsChild>
    </w:div>
    <w:div w:id="136394436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5570529">
      <w:bodyDiv w:val="1"/>
      <w:marLeft w:val="0"/>
      <w:marRight w:val="0"/>
      <w:marTop w:val="0"/>
      <w:marBottom w:val="0"/>
      <w:divBdr>
        <w:top w:val="none" w:sz="0" w:space="0" w:color="auto"/>
        <w:left w:val="none" w:sz="0" w:space="0" w:color="auto"/>
        <w:bottom w:val="none" w:sz="0" w:space="0" w:color="auto"/>
        <w:right w:val="none" w:sz="0" w:space="0" w:color="auto"/>
      </w:divBdr>
      <w:divsChild>
        <w:div w:id="1920365855">
          <w:marLeft w:val="576"/>
          <w:marRight w:val="0"/>
          <w:marTop w:val="120"/>
          <w:marBottom w:val="0"/>
          <w:divBdr>
            <w:top w:val="none" w:sz="0" w:space="0" w:color="auto"/>
            <w:left w:val="none" w:sz="0" w:space="0" w:color="auto"/>
            <w:bottom w:val="none" w:sz="0" w:space="0" w:color="auto"/>
            <w:right w:val="none" w:sz="0" w:space="0" w:color="auto"/>
          </w:divBdr>
        </w:div>
        <w:div w:id="1241062654">
          <w:marLeft w:val="576"/>
          <w:marRight w:val="0"/>
          <w:marTop w:val="120"/>
          <w:marBottom w:val="0"/>
          <w:divBdr>
            <w:top w:val="none" w:sz="0" w:space="0" w:color="auto"/>
            <w:left w:val="none" w:sz="0" w:space="0" w:color="auto"/>
            <w:bottom w:val="none" w:sz="0" w:space="0" w:color="auto"/>
            <w:right w:val="none" w:sz="0" w:space="0" w:color="auto"/>
          </w:divBdr>
        </w:div>
        <w:div w:id="135569516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6809990">
      <w:bodyDiv w:val="1"/>
      <w:marLeft w:val="0"/>
      <w:marRight w:val="0"/>
      <w:marTop w:val="0"/>
      <w:marBottom w:val="0"/>
      <w:divBdr>
        <w:top w:val="none" w:sz="0" w:space="0" w:color="auto"/>
        <w:left w:val="none" w:sz="0" w:space="0" w:color="auto"/>
        <w:bottom w:val="none" w:sz="0" w:space="0" w:color="auto"/>
        <w:right w:val="none" w:sz="0" w:space="0" w:color="auto"/>
      </w:divBdr>
      <w:divsChild>
        <w:div w:id="575170975">
          <w:marLeft w:val="576"/>
          <w:marRight w:val="0"/>
          <w:marTop w:val="120"/>
          <w:marBottom w:val="0"/>
          <w:divBdr>
            <w:top w:val="none" w:sz="0" w:space="0" w:color="auto"/>
            <w:left w:val="none" w:sz="0" w:space="0" w:color="auto"/>
            <w:bottom w:val="none" w:sz="0" w:space="0" w:color="auto"/>
            <w:right w:val="none" w:sz="0" w:space="0" w:color="auto"/>
          </w:divBdr>
        </w:div>
        <w:div w:id="493646558">
          <w:marLeft w:val="576"/>
          <w:marRight w:val="0"/>
          <w:marTop w:val="120"/>
          <w:marBottom w:val="0"/>
          <w:divBdr>
            <w:top w:val="none" w:sz="0" w:space="0" w:color="auto"/>
            <w:left w:val="none" w:sz="0" w:space="0" w:color="auto"/>
            <w:bottom w:val="none" w:sz="0" w:space="0" w:color="auto"/>
            <w:right w:val="none" w:sz="0" w:space="0" w:color="auto"/>
          </w:divBdr>
        </w:div>
        <w:div w:id="1473525431">
          <w:marLeft w:val="576"/>
          <w:marRight w:val="0"/>
          <w:marTop w:val="120"/>
          <w:marBottom w:val="0"/>
          <w:divBdr>
            <w:top w:val="none" w:sz="0" w:space="0" w:color="auto"/>
            <w:left w:val="none" w:sz="0" w:space="0" w:color="auto"/>
            <w:bottom w:val="none" w:sz="0" w:space="0" w:color="auto"/>
            <w:right w:val="none" w:sz="0" w:space="0" w:color="auto"/>
          </w:divBdr>
        </w:div>
        <w:div w:id="55189036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2852497">
      <w:bodyDiv w:val="1"/>
      <w:marLeft w:val="0"/>
      <w:marRight w:val="0"/>
      <w:marTop w:val="0"/>
      <w:marBottom w:val="0"/>
      <w:divBdr>
        <w:top w:val="none" w:sz="0" w:space="0" w:color="auto"/>
        <w:left w:val="none" w:sz="0" w:space="0" w:color="auto"/>
        <w:bottom w:val="none" w:sz="0" w:space="0" w:color="auto"/>
        <w:right w:val="none" w:sz="0" w:space="0" w:color="auto"/>
      </w:divBdr>
      <w:divsChild>
        <w:div w:id="1824542136">
          <w:marLeft w:val="576"/>
          <w:marRight w:val="0"/>
          <w:marTop w:val="120"/>
          <w:marBottom w:val="0"/>
          <w:divBdr>
            <w:top w:val="none" w:sz="0" w:space="0" w:color="auto"/>
            <w:left w:val="none" w:sz="0" w:space="0" w:color="auto"/>
            <w:bottom w:val="none" w:sz="0" w:space="0" w:color="auto"/>
            <w:right w:val="none" w:sz="0" w:space="0" w:color="auto"/>
          </w:divBdr>
        </w:div>
        <w:div w:id="546724913">
          <w:marLeft w:val="576"/>
          <w:marRight w:val="0"/>
          <w:marTop w:val="120"/>
          <w:marBottom w:val="0"/>
          <w:divBdr>
            <w:top w:val="none" w:sz="0" w:space="0" w:color="auto"/>
            <w:left w:val="none" w:sz="0" w:space="0" w:color="auto"/>
            <w:bottom w:val="none" w:sz="0" w:space="0" w:color="auto"/>
            <w:right w:val="none" w:sz="0" w:space="0" w:color="auto"/>
          </w:divBdr>
        </w:div>
        <w:div w:id="1981571738">
          <w:marLeft w:val="576"/>
          <w:marRight w:val="0"/>
          <w:marTop w:val="120"/>
          <w:marBottom w:val="0"/>
          <w:divBdr>
            <w:top w:val="none" w:sz="0" w:space="0" w:color="auto"/>
            <w:left w:val="none" w:sz="0" w:space="0" w:color="auto"/>
            <w:bottom w:val="none" w:sz="0" w:space="0" w:color="auto"/>
            <w:right w:val="none" w:sz="0" w:space="0" w:color="auto"/>
          </w:divBdr>
        </w:div>
        <w:div w:id="157550423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15</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2021-08-13T12:22:00Z</dcterms:modified>
</cp:coreProperties>
</file>