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63CBB" w:rsidRDefault="00C63CBB" w:rsidP="00C63CBB">
      <w:pPr>
        <w:spacing w:line="360" w:lineRule="auto"/>
        <w:jc w:val="center"/>
        <w:rPr>
          <w:rFonts w:ascii="Times New Roman" w:hAnsi="Times New Roman" w:cs="Times New Roman"/>
          <w:b/>
          <w:sz w:val="52"/>
          <w:szCs w:val="52"/>
        </w:rPr>
      </w:pPr>
      <w:r w:rsidRPr="00C63CBB">
        <w:rPr>
          <w:rFonts w:ascii="Times New Roman" w:hAnsi="Times New Roman" w:cs="Times New Roman"/>
          <w:b/>
          <w:sz w:val="52"/>
          <w:szCs w:val="52"/>
        </w:rPr>
        <w:t>Time Scheduling and Energy Trading for Heterogeneous Wireless-Powered and Backscattering-based IoT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63CBB" w:rsidRDefault="00C63CB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E170E" w:rsidRPr="000E170E" w:rsidRDefault="000E170E" w:rsidP="000E170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E170E">
        <w:rPr>
          <w:rFonts w:ascii="Times New Roman" w:eastAsia="Times New Roman" w:hAnsi="Times New Roman" w:cs="Times New Roman"/>
          <w:color w:val="333333"/>
          <w:sz w:val="32"/>
          <w:szCs w:val="32"/>
          <w:lang w:val="en-IN" w:eastAsia="en-IN" w:bidi="ta-IN"/>
        </w:rPr>
        <w:t>This article studies the strategic interactions between an IoT service provider (IoTSP) which consists of heterogeneous IoT devices and its energy service provider (ESP). To that end, we propose an economic framework using the Stackelberg game to maximize the network throughput and energy efficiency of both the IoTSP and ESP. To obtain the Stackelberg equilibrium (SE), we apply a backward induction technique which first derives a closed-form solution for the ESP (follower). Then, to tackle the non-convex optimization problem for the IoTSP (leader), we leverage the block coordinate descent and convex-concave procedure techniques to design two partitioning schemes (i.e., partial adjustment (PA) and joint adjustment (JA)) to find the optimal energy price and service time that constitute local SEs. Numerical results reveal that by jointly optimizing the energy trading and time allocation for IoT devices, one can achieve significant improvements in terms of the IoTSP’s profit compared with those of conventional transmission methods (up to 38.7 folds). Different tradeoffs between the ESP’s and IoTSP’s profits and complexities of the PA/JA schemes can also be numerically tuned. Simulations also show that the obtained local SEs approach the optimal social welfare when the benefit per transmitted bit exceeds a given threshold.</w:t>
      </w:r>
    </w:p>
    <w:p w:rsidR="00F5183A" w:rsidRDefault="00F5183A" w:rsidP="000E170E">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758E2" w:rsidRDefault="00EB2447" w:rsidP="00A758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58E2">
        <w:rPr>
          <w:rFonts w:ascii="Times New Roman" w:hAnsi="Times New Roman" w:cs="Times New Roman"/>
          <w:sz w:val="32"/>
          <w:szCs w:val="32"/>
          <w:lang w:val="en-IN"/>
        </w:rPr>
        <w:t>Most existing work on the WPBC optimizes time allocation for devices to perform energy harvesting, active and passive transmissions under the time-division multiplexing (TDM) framework with the assumption of homogene</w:t>
      </w:r>
      <w:r w:rsidRPr="00A758E2">
        <w:rPr>
          <w:rFonts w:ascii="Times New Roman" w:hAnsi="Times New Roman" w:cs="Times New Roman"/>
          <w:sz w:val="32"/>
          <w:szCs w:val="32"/>
          <w:lang w:val="en-IN"/>
        </w:rPr>
        <w:t>ous IoT devices.</w:t>
      </w:r>
    </w:p>
    <w:p w:rsidR="00000000" w:rsidRPr="00A758E2" w:rsidRDefault="00EB2447" w:rsidP="00A758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58E2">
        <w:rPr>
          <w:rFonts w:ascii="Times New Roman" w:hAnsi="Times New Roman" w:cs="Times New Roman"/>
          <w:sz w:val="32"/>
          <w:szCs w:val="32"/>
          <w:lang w:val="en-IN"/>
        </w:rPr>
        <w:t>In practice, various types of WPDs with different hardware capabilities and configurations, e.g., performing backscattering or HTT or both can co-exist.</w:t>
      </w:r>
    </w:p>
    <w:p w:rsidR="00000000" w:rsidRPr="00A758E2" w:rsidRDefault="00EB2447" w:rsidP="00A758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758E2">
        <w:rPr>
          <w:rFonts w:ascii="Times New Roman" w:hAnsi="Times New Roman" w:cs="Times New Roman"/>
          <w:sz w:val="32"/>
          <w:szCs w:val="32"/>
          <w:lang w:val="en-IN"/>
        </w:rPr>
        <w:t xml:space="preserve">Moreover, a large number of IoT devices can belong to an IoT service </w:t>
      </w:r>
      <w:r w:rsidRPr="00A758E2">
        <w:rPr>
          <w:rFonts w:ascii="Times New Roman" w:hAnsi="Times New Roman" w:cs="Times New Roman"/>
          <w:sz w:val="32"/>
          <w:szCs w:val="32"/>
          <w:lang w:val="en-IN"/>
        </w:rPr>
        <w:t>provider (ISP) who is required to pay for energy to operate its service (e.g., a contractor that provides data collecting/monitoring services for smart cities).</w:t>
      </w:r>
      <w:r w:rsidRPr="00A758E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758E2" w:rsidRDefault="00EB2447" w:rsidP="00A758E2">
      <w:pPr>
        <w:numPr>
          <w:ilvl w:val="0"/>
          <w:numId w:val="45"/>
        </w:numPr>
        <w:spacing w:line="360" w:lineRule="auto"/>
        <w:jc w:val="both"/>
        <w:rPr>
          <w:rFonts w:ascii="Times New Roman" w:hAnsi="Times New Roman" w:cs="Times New Roman"/>
          <w:bCs/>
          <w:sz w:val="32"/>
          <w:szCs w:val="32"/>
          <w:lang w:val="en-IN"/>
        </w:rPr>
      </w:pPr>
      <w:r w:rsidRPr="00A758E2">
        <w:rPr>
          <w:rFonts w:ascii="Times New Roman" w:hAnsi="Times New Roman" w:cs="Times New Roman"/>
          <w:bCs/>
          <w:sz w:val="32"/>
          <w:szCs w:val="32"/>
          <w:lang w:val="en-IN"/>
        </w:rPr>
        <w:t>In particular, two schemes (i.e., the PA and JA schemes) performing iterative algorithms base</w:t>
      </w:r>
      <w:r w:rsidRPr="00A758E2">
        <w:rPr>
          <w:rFonts w:ascii="Times New Roman" w:hAnsi="Times New Roman" w:cs="Times New Roman"/>
          <w:bCs/>
          <w:sz w:val="32"/>
          <w:szCs w:val="32"/>
          <w:lang w:val="en-IN"/>
        </w:rPr>
        <w:t>d on the BCD and CCCP techniques are proposed to address the non-concave optimization problem of the ISP.</w:t>
      </w:r>
    </w:p>
    <w:p w:rsidR="00000000" w:rsidRPr="00A758E2" w:rsidRDefault="00EB2447" w:rsidP="00A758E2">
      <w:pPr>
        <w:numPr>
          <w:ilvl w:val="0"/>
          <w:numId w:val="45"/>
        </w:numPr>
        <w:spacing w:line="360" w:lineRule="auto"/>
        <w:jc w:val="both"/>
        <w:rPr>
          <w:rFonts w:ascii="Times New Roman" w:hAnsi="Times New Roman" w:cs="Times New Roman"/>
          <w:bCs/>
          <w:sz w:val="32"/>
          <w:szCs w:val="32"/>
          <w:lang w:val="en-IN"/>
        </w:rPr>
      </w:pPr>
      <w:r w:rsidRPr="00A758E2">
        <w:rPr>
          <w:rFonts w:ascii="Times New Roman" w:hAnsi="Times New Roman" w:cs="Times New Roman"/>
          <w:bCs/>
          <w:sz w:val="32"/>
          <w:szCs w:val="32"/>
          <w:lang w:val="en-IN"/>
        </w:rPr>
        <w:t>To tackle the profit maximization problem of the ISP, we propose two partitioning schemes, called partial adjustment (PA) and joint adjustment (JA) s</w:t>
      </w:r>
      <w:r w:rsidRPr="00A758E2">
        <w:rPr>
          <w:rFonts w:ascii="Times New Roman" w:hAnsi="Times New Roman" w:cs="Times New Roman"/>
          <w:bCs/>
          <w:sz w:val="32"/>
          <w:szCs w:val="32"/>
          <w:lang w:val="en-IN"/>
        </w:rPr>
        <w:t>chemes.</w:t>
      </w:r>
    </w:p>
    <w:p w:rsidR="00000000" w:rsidRPr="00A758E2" w:rsidRDefault="00EB2447" w:rsidP="00A758E2">
      <w:pPr>
        <w:numPr>
          <w:ilvl w:val="0"/>
          <w:numId w:val="45"/>
        </w:numPr>
        <w:spacing w:line="360" w:lineRule="auto"/>
        <w:jc w:val="both"/>
        <w:rPr>
          <w:rFonts w:ascii="Times New Roman" w:hAnsi="Times New Roman" w:cs="Times New Roman"/>
          <w:bCs/>
          <w:sz w:val="32"/>
          <w:szCs w:val="32"/>
          <w:lang w:val="en-IN"/>
        </w:rPr>
      </w:pPr>
      <w:r w:rsidRPr="00A758E2">
        <w:rPr>
          <w:rFonts w:ascii="Times New Roman" w:hAnsi="Times New Roman" w:cs="Times New Roman"/>
          <w:bCs/>
          <w:sz w:val="32"/>
          <w:szCs w:val="32"/>
          <w:lang w:val="en-IN"/>
        </w:rPr>
        <w:lastRenderedPageBreak/>
        <w:t xml:space="preserve">However, the profit maximization of the ISP is a nonconcave problem with respect to the requested energy price and operation times of the PB and IoT devices. </w:t>
      </w:r>
    </w:p>
    <w:p w:rsidR="00F94960" w:rsidRPr="00A758E2" w:rsidRDefault="00EB2447" w:rsidP="00E53AA4">
      <w:pPr>
        <w:numPr>
          <w:ilvl w:val="0"/>
          <w:numId w:val="45"/>
        </w:numPr>
        <w:spacing w:line="360" w:lineRule="auto"/>
        <w:jc w:val="both"/>
        <w:rPr>
          <w:rFonts w:ascii="Times New Roman" w:hAnsi="Times New Roman" w:cs="Times New Roman"/>
          <w:bCs/>
          <w:sz w:val="32"/>
          <w:szCs w:val="32"/>
          <w:lang w:val="en-IN"/>
        </w:rPr>
      </w:pPr>
      <w:r w:rsidRPr="00A758E2">
        <w:rPr>
          <w:rFonts w:ascii="Times New Roman" w:hAnsi="Times New Roman" w:cs="Times New Roman"/>
          <w:bCs/>
          <w:sz w:val="32"/>
          <w:szCs w:val="32"/>
          <w:lang w:val="en-IN"/>
        </w:rPr>
        <w:t>Moreover, these variables are strongly coupled, making the non-concave optimization pro</w:t>
      </w:r>
      <w:r w:rsidRPr="00A758E2">
        <w:rPr>
          <w:rFonts w:ascii="Times New Roman" w:hAnsi="Times New Roman" w:cs="Times New Roman"/>
          <w:bCs/>
          <w:sz w:val="32"/>
          <w:szCs w:val="32"/>
          <w:lang w:val="en-IN"/>
        </w:rPr>
        <w:t xml:space="preserve">blem of the ISP more challenging.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758E2" w:rsidRPr="00A758E2" w:rsidRDefault="00A758E2" w:rsidP="00A758E2">
      <w:pPr>
        <w:pStyle w:val="NormalWeb"/>
        <w:numPr>
          <w:ilvl w:val="0"/>
          <w:numId w:val="46"/>
        </w:numPr>
        <w:spacing w:before="0" w:beforeAutospacing="0" w:after="0" w:afterAutospacing="0" w:line="360" w:lineRule="auto"/>
        <w:ind w:left="284" w:hanging="284"/>
        <w:jc w:val="both"/>
        <w:rPr>
          <w:sz w:val="32"/>
          <w:szCs w:val="32"/>
        </w:rPr>
      </w:pPr>
      <w:r w:rsidRPr="00A758E2">
        <w:rPr>
          <w:sz w:val="32"/>
          <w:szCs w:val="32"/>
        </w:rPr>
        <w:t xml:space="preserve">In this paper, an economic model is proposed to jointly optimize profits for participants in a heterogeneous IoT wireless-powered backscatter communication network. </w:t>
      </w:r>
    </w:p>
    <w:p w:rsidR="00A758E2" w:rsidRPr="00A758E2" w:rsidRDefault="00A758E2" w:rsidP="00A758E2">
      <w:pPr>
        <w:pStyle w:val="NormalWeb"/>
        <w:numPr>
          <w:ilvl w:val="0"/>
          <w:numId w:val="46"/>
        </w:numPr>
        <w:spacing w:before="0" w:beforeAutospacing="0" w:after="0" w:afterAutospacing="0" w:line="360" w:lineRule="auto"/>
        <w:ind w:left="284" w:hanging="284"/>
        <w:jc w:val="both"/>
        <w:rPr>
          <w:sz w:val="32"/>
          <w:szCs w:val="32"/>
        </w:rPr>
      </w:pPr>
      <w:r w:rsidRPr="00A758E2">
        <w:rPr>
          <w:sz w:val="32"/>
          <w:szCs w:val="32"/>
        </w:rPr>
        <w:t xml:space="preserve">To study the Stackelberg equilibrium, we first obtain a closed-form solution for the ESP and propose a low-complexity iterative method based on block coordinate descent (BCD) to address the non-convex optimization problem for the ISP. </w:t>
      </w:r>
    </w:p>
    <w:p w:rsidR="00A758E2" w:rsidRPr="00A758E2" w:rsidRDefault="00A758E2" w:rsidP="00A758E2">
      <w:pPr>
        <w:pStyle w:val="NormalWeb"/>
        <w:numPr>
          <w:ilvl w:val="0"/>
          <w:numId w:val="46"/>
        </w:numPr>
        <w:spacing w:before="0" w:beforeAutospacing="0" w:after="0" w:afterAutospacing="0" w:line="360" w:lineRule="auto"/>
        <w:ind w:left="284" w:hanging="284"/>
        <w:jc w:val="both"/>
        <w:rPr>
          <w:sz w:val="32"/>
          <w:szCs w:val="32"/>
        </w:rPr>
      </w:pPr>
      <w:r w:rsidRPr="00A758E2">
        <w:rPr>
          <w:sz w:val="32"/>
          <w:szCs w:val="32"/>
        </w:rPr>
        <w:t>we propose an iterative algorithm developed based on the block coordinate descent (BCD) method.</w:t>
      </w:r>
    </w:p>
    <w:p w:rsidR="00BB3207" w:rsidRDefault="00A758E2" w:rsidP="00A758E2">
      <w:pPr>
        <w:pStyle w:val="NormalWeb"/>
        <w:numPr>
          <w:ilvl w:val="0"/>
          <w:numId w:val="46"/>
        </w:numPr>
        <w:spacing w:before="0" w:beforeAutospacing="0" w:after="0" w:afterAutospacing="0" w:line="360" w:lineRule="auto"/>
        <w:ind w:left="284" w:hanging="284"/>
        <w:jc w:val="both"/>
        <w:rPr>
          <w:sz w:val="32"/>
          <w:szCs w:val="32"/>
        </w:rPr>
      </w:pPr>
      <w:r w:rsidRPr="00A758E2">
        <w:rPr>
          <w:sz w:val="32"/>
          <w:szCs w:val="32"/>
        </w:rPr>
        <w:t>In general, the utilities of the leader obtained by the proposed scheme, BBCM, and TDMA increase as the backscatter rate increases.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758E2" w:rsidRDefault="00EB2447" w:rsidP="00A758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58E2">
        <w:rPr>
          <w:rFonts w:ascii="Times New Roman" w:eastAsia="AdvGulliv-R" w:hAnsi="Times New Roman" w:cs="Times New Roman"/>
          <w:bCs/>
          <w:sz w:val="32"/>
          <w:szCs w:val="32"/>
          <w:lang w:val="en-IN"/>
        </w:rPr>
        <w:t>The performance of the WPBC system not only depends on the scheduling or time allocated for energy harvesting, passive, and active transmission operations of IoT devi</w:t>
      </w:r>
      <w:r w:rsidRPr="00A758E2">
        <w:rPr>
          <w:rFonts w:ascii="Times New Roman" w:eastAsia="AdvGulliv-R" w:hAnsi="Times New Roman" w:cs="Times New Roman"/>
          <w:bCs/>
          <w:sz w:val="32"/>
          <w:szCs w:val="32"/>
          <w:lang w:val="en-IN"/>
        </w:rPr>
        <w:t xml:space="preserve">ces but also the energy contract with the ESP. </w:t>
      </w:r>
    </w:p>
    <w:p w:rsidR="00000000" w:rsidRPr="00A758E2" w:rsidRDefault="00EB2447" w:rsidP="00A758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58E2">
        <w:rPr>
          <w:rFonts w:ascii="Times New Roman" w:eastAsia="AdvGulliv-R" w:hAnsi="Times New Roman" w:cs="Times New Roman"/>
          <w:bCs/>
          <w:sz w:val="32"/>
          <w:szCs w:val="32"/>
          <w:lang w:val="en-IN"/>
        </w:rPr>
        <w:lastRenderedPageBreak/>
        <w:t>We conduct intensive simulations to numerically study the performance and complexity tradeoff for various practical setups.</w:t>
      </w:r>
    </w:p>
    <w:p w:rsidR="00000000" w:rsidRPr="00A758E2" w:rsidRDefault="00EB2447" w:rsidP="00A758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58E2">
        <w:rPr>
          <w:rFonts w:ascii="Times New Roman" w:eastAsia="AdvGulliv-R" w:hAnsi="Times New Roman" w:cs="Times New Roman"/>
          <w:bCs/>
          <w:sz w:val="32"/>
          <w:szCs w:val="32"/>
          <w:lang w:val="en-IN"/>
        </w:rPr>
        <w:t>These strategies hence may lead to the performance loss in terms of the total prof</w:t>
      </w:r>
      <w:r w:rsidRPr="00A758E2">
        <w:rPr>
          <w:rFonts w:ascii="Times New Roman" w:eastAsia="AdvGulliv-R" w:hAnsi="Times New Roman" w:cs="Times New Roman"/>
          <w:bCs/>
          <w:sz w:val="32"/>
          <w:szCs w:val="32"/>
          <w:lang w:val="en-IN"/>
        </w:rPr>
        <w:t>it achieved by both the ISP and ESP (often referred to as the social welfare.</w:t>
      </w:r>
    </w:p>
    <w:p w:rsidR="00000000" w:rsidRPr="00A758E2" w:rsidRDefault="00EB2447" w:rsidP="00A758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758E2">
        <w:rPr>
          <w:rFonts w:ascii="Times New Roman" w:eastAsia="AdvGulliv-R" w:hAnsi="Times New Roman" w:cs="Times New Roman"/>
          <w:bCs/>
          <w:sz w:val="32"/>
          <w:szCs w:val="32"/>
          <w:lang w:val="en-IN"/>
        </w:rPr>
        <w:t xml:space="preserve">We propose an economic framework based on the Stackelberg game to jointly maximize the network throughput and energy efficiency of both the ISP and the ESP.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t>The Era of Wireless Information and Power Transfer</w:t>
            </w:r>
          </w:p>
        </w:tc>
        <w:tc>
          <w:tcPr>
            <w:tcW w:w="3192" w:type="dxa"/>
          </w:tcPr>
          <w:p w:rsidR="000C407B" w:rsidRPr="00A758E2" w:rsidRDefault="00A758E2" w:rsidP="00A758E2">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t xml:space="preserve">D. W. K. Ng et al., </w:t>
            </w:r>
          </w:p>
        </w:tc>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color w:val="333333"/>
                <w:sz w:val="28"/>
                <w:szCs w:val="28"/>
                <w:shd w:val="clear" w:color="auto" w:fill="FFFFFF"/>
              </w:rPr>
              <w:t>Wireless power transfer (WPT) offers a viable solution for facilitating efficient and sustainable communication networks serving energy</w:t>
            </w:r>
            <w:r w:rsidRPr="00A758E2">
              <w:rPr>
                <w:rFonts w:ascii="Cambria Math" w:hAnsi="Cambria Math" w:cs="Times New Roman"/>
                <w:color w:val="333333"/>
                <w:sz w:val="28"/>
                <w:szCs w:val="28"/>
                <w:shd w:val="clear" w:color="auto" w:fill="FFFFFF"/>
              </w:rPr>
              <w:t>‐</w:t>
            </w:r>
            <w:r w:rsidRPr="00A758E2">
              <w:rPr>
                <w:rFonts w:ascii="Times New Roman" w:hAnsi="Times New Roman" w:cs="Times New Roman"/>
                <w:color w:val="333333"/>
                <w:sz w:val="28"/>
                <w:szCs w:val="28"/>
                <w:shd w:val="clear" w:color="auto" w:fill="FFFFFF"/>
              </w:rPr>
              <w:t>limited communication devices.</w:t>
            </w:r>
          </w:p>
        </w:tc>
      </w:tr>
      <w:tr w:rsidR="000C407B" w:rsidTr="000C407B">
        <w:trPr>
          <w:trHeight w:val="2942"/>
        </w:trPr>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t>Throughput Maximization in Wireless Powered Communication Networks</w:t>
            </w:r>
          </w:p>
        </w:tc>
        <w:tc>
          <w:tcPr>
            <w:tcW w:w="3192" w:type="dxa"/>
          </w:tcPr>
          <w:p w:rsidR="000C407B" w:rsidRPr="00A758E2" w:rsidRDefault="00A758E2" w:rsidP="00A758E2">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t xml:space="preserve">H. Ju and R. Zhang, </w:t>
            </w:r>
          </w:p>
        </w:tc>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color w:val="333333"/>
                <w:sz w:val="28"/>
                <w:szCs w:val="28"/>
                <w:shd w:val="clear" w:color="auto" w:fill="FFFFFF"/>
              </w:rPr>
              <w:t> By applying convex optimization techniques, we obtain the closed-form expressions for the optimal time allocations to maximize the sum-throughput. </w:t>
            </w:r>
          </w:p>
        </w:tc>
      </w:tr>
      <w:tr w:rsidR="000C407B" w:rsidTr="000C407B">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t xml:space="preserve">On Multiuser Resource Allocation in Relay-Based </w:t>
            </w:r>
            <w:r w:rsidRPr="00A758E2">
              <w:rPr>
                <w:rFonts w:ascii="Times New Roman" w:hAnsi="Times New Roman" w:cs="Times New Roman"/>
                <w:sz w:val="28"/>
                <w:szCs w:val="28"/>
              </w:rPr>
              <w:lastRenderedPageBreak/>
              <w:t>Wireless-Powered Uplink Cellular Networks</w:t>
            </w:r>
          </w:p>
        </w:tc>
        <w:tc>
          <w:tcPr>
            <w:tcW w:w="3192" w:type="dxa"/>
          </w:tcPr>
          <w:p w:rsidR="000C407B" w:rsidRPr="00A758E2" w:rsidRDefault="00A758E2" w:rsidP="00A758E2">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lastRenderedPageBreak/>
              <w:t xml:space="preserve">S. Lohani, R. A. Loodaricheh, E. Hossain, </w:t>
            </w:r>
            <w:r w:rsidRPr="00A758E2">
              <w:rPr>
                <w:rFonts w:ascii="Times New Roman" w:hAnsi="Times New Roman" w:cs="Times New Roman"/>
                <w:sz w:val="28"/>
                <w:szCs w:val="28"/>
              </w:rPr>
              <w:lastRenderedPageBreak/>
              <w:t xml:space="preserve">and V. K. Bhargava, </w:t>
            </w:r>
          </w:p>
        </w:tc>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color w:val="333333"/>
                <w:sz w:val="28"/>
                <w:szCs w:val="28"/>
                <w:shd w:val="clear" w:color="auto" w:fill="FFFFFF"/>
              </w:rPr>
              <w:lastRenderedPageBreak/>
              <w:t xml:space="preserve">We propose relay-based wireless-powered uplink </w:t>
            </w:r>
            <w:r w:rsidRPr="00A758E2">
              <w:rPr>
                <w:rFonts w:ascii="Times New Roman" w:hAnsi="Times New Roman" w:cs="Times New Roman"/>
                <w:color w:val="333333"/>
                <w:sz w:val="28"/>
                <w:szCs w:val="28"/>
                <w:shd w:val="clear" w:color="auto" w:fill="FFFFFF"/>
              </w:rPr>
              <w:lastRenderedPageBreak/>
              <w:t>cellular networks in which users first harvest energy from RF transmissions of base station/relay nodes and then use that energy for uplink transmission.</w:t>
            </w:r>
          </w:p>
        </w:tc>
      </w:tr>
      <w:tr w:rsidR="000C407B" w:rsidTr="000C407B">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lastRenderedPageBreak/>
              <w:t>Wireless Power Transfer in Multi-Pair Two-Way AF Relaying Networks</w:t>
            </w:r>
          </w:p>
        </w:tc>
        <w:tc>
          <w:tcPr>
            <w:tcW w:w="3192" w:type="dxa"/>
          </w:tcPr>
          <w:p w:rsidR="000C407B" w:rsidRPr="00A758E2" w:rsidRDefault="00A758E2" w:rsidP="00A758E2">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sz w:val="28"/>
                <w:szCs w:val="28"/>
              </w:rPr>
              <w:t xml:space="preserve">A. Salem and K. A. Hamdi, </w:t>
            </w:r>
          </w:p>
        </w:tc>
        <w:tc>
          <w:tcPr>
            <w:tcW w:w="3192" w:type="dxa"/>
          </w:tcPr>
          <w:p w:rsidR="000C407B" w:rsidRPr="00A758E2" w:rsidRDefault="00A758E2" w:rsidP="00E53AA4">
            <w:pPr>
              <w:tabs>
                <w:tab w:val="left" w:pos="720"/>
              </w:tabs>
              <w:spacing w:after="100" w:line="360" w:lineRule="auto"/>
              <w:jc w:val="both"/>
              <w:rPr>
                <w:rFonts w:ascii="Times New Roman" w:hAnsi="Times New Roman" w:cs="Times New Roman"/>
                <w:sz w:val="28"/>
                <w:szCs w:val="28"/>
              </w:rPr>
            </w:pPr>
            <w:r w:rsidRPr="00A758E2">
              <w:rPr>
                <w:rFonts w:ascii="Times New Roman" w:hAnsi="Times New Roman" w:cs="Times New Roman"/>
                <w:color w:val="333333"/>
                <w:sz w:val="28"/>
                <w:szCs w:val="28"/>
                <w:shd w:val="clear" w:color="auto" w:fill="FFFFFF"/>
              </w:rPr>
              <w:t>In this paper, we consider a wireless-powered communication network (WPCN) in which a multiple-antenna two-way AF relay transfers power to multi-pair of single antenna users.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EA7331" w:rsidRDefault="00EA7331"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A7331" w:rsidP="00E53AA4">
      <w:pPr>
        <w:spacing w:after="0" w:line="360" w:lineRule="auto"/>
        <w:jc w:val="both"/>
        <w:rPr>
          <w:rFonts w:ascii="Times New Roman" w:hAnsi="Times New Roman" w:cs="Times New Roman"/>
        </w:rPr>
      </w:pPr>
      <w:r w:rsidRPr="00EA7331">
        <w:rPr>
          <w:rFonts w:ascii="Times New Roman" w:hAnsi="Times New Roman" w:cs="Times New Roman"/>
        </w:rPr>
        <w:drawing>
          <wp:inline distT="0" distB="0" distL="0" distR="0">
            <wp:extent cx="5943600" cy="400685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0068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A7331" w:rsidRDefault="00EA7331" w:rsidP="00E53AA4">
      <w:pPr>
        <w:spacing w:before="100" w:after="100" w:line="360" w:lineRule="auto"/>
        <w:jc w:val="both"/>
        <w:rPr>
          <w:rFonts w:ascii="Times New Roman" w:hAnsi="Times New Roman" w:cs="Times New Roman"/>
          <w:b/>
          <w:sz w:val="28"/>
          <w:szCs w:val="28"/>
        </w:rPr>
      </w:pPr>
    </w:p>
    <w:p w:rsidR="00EA7331" w:rsidRDefault="00EA733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741A7" w:rsidRPr="006741A7" w:rsidRDefault="006741A7" w:rsidP="006741A7">
      <w:pPr>
        <w:pStyle w:val="BodyText"/>
        <w:rPr>
          <w:bCs/>
          <w:iCs/>
          <w:sz w:val="32"/>
          <w:szCs w:val="32"/>
          <w:lang w:val="en-IN"/>
        </w:rPr>
      </w:pPr>
      <w:r w:rsidRPr="006741A7">
        <w:rPr>
          <w:b/>
          <w:iCs/>
          <w:sz w:val="28"/>
          <w:szCs w:val="28"/>
          <w:lang w:val="en-IN"/>
        </w:rPr>
        <w:t xml:space="preserve">    </w:t>
      </w:r>
      <w:r w:rsidRPr="006741A7">
        <w:rPr>
          <w:bCs/>
          <w:iCs/>
          <w:sz w:val="32"/>
          <w:szCs w:val="32"/>
          <w:lang w:val="en-IN"/>
        </w:rPr>
        <w:t>In this paper, we have jointly optimized the time scheduling and and energy trading to maximize the profits of both the ISP and ESP in heterogeneous IoT wireless-powered communication networks. We have proved the existence and found the local Stackelberg equilibrium (SE) that captures the optimal offered price, energy service time, and allocated times for the IoT devices. Simulation results have shown that the proposed Stackelberg game approach solved by the proposed PA/JAschemes always outperform other conventional methods in terms of the ISP’s profit. It has also revealed that the JA scheme is superior to the PA scheme in all ISP’s performance evaluations. However, the PA scheme yields more profit for the ESP and has better computational efficiency than the JA scheme. Simulations also showed that the obtained local SEs approach the socially optimal welfare when the benefit per transmitted bit is higher than a given threshold.</w:t>
      </w:r>
      <w:r w:rsidRPr="006741A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741A7" w:rsidRDefault="006741A7" w:rsidP="00E53AA4">
      <w:pPr>
        <w:pStyle w:val="BodyText"/>
        <w:rPr>
          <w:b/>
          <w:iCs/>
          <w:sz w:val="28"/>
          <w:szCs w:val="28"/>
        </w:rPr>
      </w:pPr>
    </w:p>
    <w:p w:rsidR="006741A7" w:rsidRDefault="006741A7" w:rsidP="00E53AA4">
      <w:pPr>
        <w:pStyle w:val="BodyText"/>
        <w:rPr>
          <w:b/>
          <w:iCs/>
          <w:sz w:val="28"/>
          <w:szCs w:val="28"/>
        </w:rPr>
      </w:pPr>
    </w:p>
    <w:p w:rsidR="006741A7" w:rsidRDefault="006741A7" w:rsidP="00E53AA4">
      <w:pPr>
        <w:pStyle w:val="BodyText"/>
        <w:rPr>
          <w:b/>
          <w:iCs/>
          <w:sz w:val="28"/>
          <w:szCs w:val="28"/>
        </w:rPr>
      </w:pPr>
    </w:p>
    <w:p w:rsidR="006741A7" w:rsidRDefault="006741A7" w:rsidP="00E53AA4">
      <w:pPr>
        <w:pStyle w:val="BodyText"/>
        <w:rPr>
          <w:b/>
          <w:iCs/>
          <w:sz w:val="28"/>
          <w:szCs w:val="28"/>
        </w:rPr>
      </w:pPr>
    </w:p>
    <w:p w:rsidR="006741A7" w:rsidRDefault="006741A7" w:rsidP="00E53AA4">
      <w:pPr>
        <w:pStyle w:val="BodyText"/>
        <w:rPr>
          <w:b/>
          <w:iCs/>
          <w:sz w:val="28"/>
          <w:szCs w:val="28"/>
        </w:rPr>
      </w:pPr>
    </w:p>
    <w:p w:rsidR="006741A7" w:rsidRDefault="006741A7" w:rsidP="00E53AA4">
      <w:pPr>
        <w:pStyle w:val="BodyText"/>
        <w:rPr>
          <w:b/>
          <w:iCs/>
          <w:sz w:val="28"/>
          <w:szCs w:val="28"/>
        </w:rPr>
      </w:pPr>
    </w:p>
    <w:p w:rsidR="006741A7" w:rsidRDefault="006741A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741A7" w:rsidRDefault="00EB2447" w:rsidP="006741A7">
      <w:pPr>
        <w:pStyle w:val="BodyText"/>
        <w:numPr>
          <w:ilvl w:val="0"/>
          <w:numId w:val="42"/>
        </w:numPr>
        <w:rPr>
          <w:sz w:val="32"/>
          <w:szCs w:val="32"/>
          <w:lang w:val="en-IN"/>
        </w:rPr>
      </w:pPr>
      <w:r w:rsidRPr="006741A7">
        <w:rPr>
          <w:sz w:val="32"/>
          <w:szCs w:val="32"/>
          <w:lang w:val="en-IN"/>
        </w:rPr>
        <w:t>[1] N. T. Nguyen, D. N. Nguyen, D. T. Hoang, N. V. Huynh, N. H. Nguyen, Q. T. Nguyen, and E. Dutkiewicz, “Energy Management and Time Scheduling for Heterogeneous IoT Wireless-Powered Backscatter Networks,” to be presented in IEEE GLO</w:t>
      </w:r>
      <w:r w:rsidRPr="006741A7">
        <w:rPr>
          <w:sz w:val="32"/>
          <w:szCs w:val="32"/>
          <w:lang w:val="en-IN"/>
        </w:rPr>
        <w:t xml:space="preserve">BECOM, Taipei, Taiwan, 7-11 Dec. 2020. </w:t>
      </w:r>
    </w:p>
    <w:p w:rsidR="00000000" w:rsidRPr="006741A7" w:rsidRDefault="00EB2447" w:rsidP="006741A7">
      <w:pPr>
        <w:pStyle w:val="BodyText"/>
        <w:numPr>
          <w:ilvl w:val="0"/>
          <w:numId w:val="42"/>
        </w:numPr>
        <w:rPr>
          <w:sz w:val="32"/>
          <w:szCs w:val="32"/>
          <w:lang w:val="en-IN"/>
        </w:rPr>
      </w:pPr>
      <w:r w:rsidRPr="006741A7">
        <w:rPr>
          <w:sz w:val="32"/>
          <w:szCs w:val="32"/>
          <w:lang w:val="en-IN"/>
        </w:rPr>
        <w:t xml:space="preserve">[2] D. W. K. Ng et al., “The Era of Wireless Information and Power Transfer,” in Wireless Information and Power Transfer: Theory and Practice, Wiley, pp.1-16, 2019. </w:t>
      </w:r>
    </w:p>
    <w:p w:rsidR="00000000" w:rsidRPr="006741A7" w:rsidRDefault="00EB2447" w:rsidP="006741A7">
      <w:pPr>
        <w:pStyle w:val="BodyText"/>
        <w:numPr>
          <w:ilvl w:val="0"/>
          <w:numId w:val="42"/>
        </w:numPr>
        <w:rPr>
          <w:sz w:val="32"/>
          <w:szCs w:val="32"/>
          <w:lang w:val="en-IN"/>
        </w:rPr>
      </w:pPr>
      <w:r w:rsidRPr="006741A7">
        <w:rPr>
          <w:sz w:val="32"/>
          <w:szCs w:val="32"/>
          <w:lang w:val="en-IN"/>
        </w:rPr>
        <w:t>[3] H. Ju and R. Zhang, “Throughput Maximization</w:t>
      </w:r>
      <w:r w:rsidRPr="006741A7">
        <w:rPr>
          <w:sz w:val="32"/>
          <w:szCs w:val="32"/>
          <w:lang w:val="en-IN"/>
        </w:rPr>
        <w:t xml:space="preserve"> in Wireless Powered Communication Networks,” IEEE Trans. Wireless Commun., vol. 13, no. 1, pp. 418-428, Jan. 2014. </w:t>
      </w:r>
    </w:p>
    <w:p w:rsidR="00000000" w:rsidRPr="006741A7" w:rsidRDefault="00EB2447" w:rsidP="006741A7">
      <w:pPr>
        <w:pStyle w:val="BodyText"/>
        <w:numPr>
          <w:ilvl w:val="0"/>
          <w:numId w:val="42"/>
        </w:numPr>
        <w:rPr>
          <w:sz w:val="32"/>
          <w:szCs w:val="32"/>
          <w:lang w:val="en-IN"/>
        </w:rPr>
      </w:pPr>
      <w:r w:rsidRPr="006741A7">
        <w:rPr>
          <w:sz w:val="32"/>
          <w:szCs w:val="32"/>
          <w:lang w:val="en-IN"/>
        </w:rPr>
        <w:t>[4] S. Lohani, R. A. Loodaricheh, E. Hossain, and V. K. Bhargava, “On Multiuser Resource Allocation in Relay-Based Wireless-Powered Uplink</w:t>
      </w:r>
      <w:r w:rsidRPr="006741A7">
        <w:rPr>
          <w:sz w:val="32"/>
          <w:szCs w:val="32"/>
          <w:lang w:val="en-IN"/>
        </w:rPr>
        <w:t xml:space="preserve"> Cellular Networks,” IEEE Trans. Wireless Commun., vol. 15, no. 3, pp. 1851-1865, Mar. 2016. </w:t>
      </w:r>
    </w:p>
    <w:p w:rsidR="00000000" w:rsidRPr="006741A7" w:rsidRDefault="00EB2447" w:rsidP="006741A7">
      <w:pPr>
        <w:pStyle w:val="BodyText"/>
        <w:numPr>
          <w:ilvl w:val="0"/>
          <w:numId w:val="42"/>
        </w:numPr>
        <w:rPr>
          <w:sz w:val="32"/>
          <w:szCs w:val="32"/>
          <w:lang w:val="en-IN"/>
        </w:rPr>
      </w:pPr>
      <w:r w:rsidRPr="006741A7">
        <w:rPr>
          <w:sz w:val="32"/>
          <w:szCs w:val="32"/>
          <w:lang w:val="en-IN"/>
        </w:rPr>
        <w:t>[5] A. Salem and K. A. Hamdi, “Wireless Power Transfer in Multi-Pair Two-Way AF Relaying Networks,” IEEE Trans. Commun., vol. 64, no. 11, pp. 4578-4591, Nov. 201</w:t>
      </w:r>
      <w:r w:rsidRPr="006741A7">
        <w:rPr>
          <w:sz w:val="32"/>
          <w:szCs w:val="32"/>
          <w:lang w:val="en-IN"/>
        </w:rPr>
        <w:t>6</w:t>
      </w:r>
      <w:r w:rsidRPr="006741A7">
        <w:rPr>
          <w:sz w:val="32"/>
          <w:szCs w:val="32"/>
        </w:rPr>
        <w:t xml:space="preserve"> </w:t>
      </w:r>
    </w:p>
    <w:p w:rsidR="00000000" w:rsidRPr="006741A7" w:rsidRDefault="00EB2447" w:rsidP="006741A7">
      <w:pPr>
        <w:pStyle w:val="BodyText"/>
        <w:numPr>
          <w:ilvl w:val="0"/>
          <w:numId w:val="42"/>
        </w:numPr>
        <w:rPr>
          <w:sz w:val="32"/>
          <w:szCs w:val="32"/>
          <w:lang w:val="en-IN"/>
        </w:rPr>
      </w:pPr>
      <w:r w:rsidRPr="006741A7">
        <w:rPr>
          <w:sz w:val="32"/>
          <w:szCs w:val="32"/>
          <w:lang w:val="en-IN"/>
        </w:rPr>
        <w:t xml:space="preserve">[6] N. Van Huynh et al., “Ambient Backscatter Communications: A Contemporary Survey,” IEEE Commun. Surveys Tuts., vol. 20, no. 4, pp. 2889-2922, May 2018. </w:t>
      </w:r>
    </w:p>
    <w:p w:rsidR="00000000" w:rsidRPr="006741A7" w:rsidRDefault="00EB2447" w:rsidP="006741A7">
      <w:pPr>
        <w:pStyle w:val="BodyText"/>
        <w:numPr>
          <w:ilvl w:val="0"/>
          <w:numId w:val="42"/>
        </w:numPr>
        <w:rPr>
          <w:sz w:val="32"/>
          <w:szCs w:val="32"/>
          <w:lang w:val="en-IN"/>
        </w:rPr>
      </w:pPr>
      <w:r w:rsidRPr="006741A7">
        <w:rPr>
          <w:sz w:val="32"/>
          <w:szCs w:val="32"/>
          <w:lang w:val="en-IN"/>
        </w:rPr>
        <w:lastRenderedPageBreak/>
        <w:t xml:space="preserve">[7] A. Bletsas, S. Siachalou, and J. N. Sahalos, “Anti-Collision Backscatter Sensor Networks,” </w:t>
      </w:r>
      <w:r w:rsidRPr="006741A7">
        <w:rPr>
          <w:sz w:val="32"/>
          <w:szCs w:val="32"/>
          <w:lang w:val="en-IN"/>
        </w:rPr>
        <w:t xml:space="preserve">IEEE Trans. Wireless Commun., vol. 8, no. 10, pp. 5018-5029, Oct. 2009. </w:t>
      </w:r>
    </w:p>
    <w:p w:rsidR="00000000" w:rsidRPr="006741A7" w:rsidRDefault="00EB2447" w:rsidP="006741A7">
      <w:pPr>
        <w:pStyle w:val="BodyText"/>
        <w:numPr>
          <w:ilvl w:val="0"/>
          <w:numId w:val="42"/>
        </w:numPr>
        <w:rPr>
          <w:sz w:val="32"/>
          <w:szCs w:val="32"/>
          <w:lang w:val="en-IN"/>
        </w:rPr>
      </w:pPr>
      <w:r w:rsidRPr="006741A7">
        <w:rPr>
          <w:sz w:val="32"/>
          <w:szCs w:val="32"/>
          <w:lang w:val="en-IN"/>
        </w:rPr>
        <w:t xml:space="preserve">[8] J. Kimionis, A. Bletsas, and J. N. Sahalos, “Increased Range Bistatic Scatter Radio,” IEEE Trans. Commun., vol. 62, no. 3, pp. 1091-1104, Mar. 2014. </w:t>
      </w:r>
    </w:p>
    <w:p w:rsidR="00000000" w:rsidRPr="006741A7" w:rsidRDefault="00EB2447" w:rsidP="006741A7">
      <w:pPr>
        <w:pStyle w:val="BodyText"/>
        <w:numPr>
          <w:ilvl w:val="0"/>
          <w:numId w:val="42"/>
        </w:numPr>
        <w:rPr>
          <w:sz w:val="32"/>
          <w:szCs w:val="32"/>
          <w:lang w:val="en-IN"/>
        </w:rPr>
      </w:pPr>
      <w:r w:rsidRPr="006741A7">
        <w:rPr>
          <w:sz w:val="32"/>
          <w:szCs w:val="32"/>
          <w:lang w:val="en-IN"/>
        </w:rPr>
        <w:t>[9] V. Liu et al., “Ambient</w:t>
      </w:r>
      <w:r w:rsidRPr="006741A7">
        <w:rPr>
          <w:sz w:val="32"/>
          <w:szCs w:val="32"/>
          <w:lang w:val="en-IN"/>
        </w:rPr>
        <w:t xml:space="preserve"> Backscatter: Wireless Communication Out of Thin Air,” in Proc. ACM SIGGOMM, Hong Kong, Aug. 2013, pp. 39–50. </w:t>
      </w:r>
    </w:p>
    <w:p w:rsidR="00000000" w:rsidRPr="006741A7" w:rsidRDefault="00EB2447" w:rsidP="006741A7">
      <w:pPr>
        <w:pStyle w:val="BodyText"/>
        <w:numPr>
          <w:ilvl w:val="0"/>
          <w:numId w:val="42"/>
        </w:numPr>
        <w:rPr>
          <w:sz w:val="32"/>
          <w:szCs w:val="32"/>
          <w:lang w:val="en-IN"/>
        </w:rPr>
      </w:pPr>
      <w:r w:rsidRPr="006741A7">
        <w:rPr>
          <w:sz w:val="32"/>
          <w:szCs w:val="32"/>
          <w:lang w:val="en-IN"/>
        </w:rPr>
        <w:t>[10] P. Wang et al.,“Optimal Resource Allocation for Secure Multi-User Wireless Powered Backscatter Communication with Artificial Noise,” in IEE</w:t>
      </w:r>
      <w:r w:rsidRPr="006741A7">
        <w:rPr>
          <w:sz w:val="32"/>
          <w:szCs w:val="32"/>
          <w:lang w:val="en-IN"/>
        </w:rPr>
        <w:t xml:space="preserve">E INFOCOM, France, 2019, pp. 460-468.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2447" w:rsidRDefault="00EB2447" w:rsidP="003654DF">
      <w:pPr>
        <w:spacing w:after="0" w:line="240" w:lineRule="auto"/>
      </w:pPr>
      <w:r>
        <w:separator/>
      </w:r>
    </w:p>
  </w:endnote>
  <w:endnote w:type="continuationSeparator" w:id="1">
    <w:p w:rsidR="00EB2447" w:rsidRDefault="00EB244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2447" w:rsidRDefault="00EB2447" w:rsidP="003654DF">
      <w:pPr>
        <w:spacing w:after="0" w:line="240" w:lineRule="auto"/>
      </w:pPr>
      <w:r>
        <w:separator/>
      </w:r>
    </w:p>
  </w:footnote>
  <w:footnote w:type="continuationSeparator" w:id="1">
    <w:p w:rsidR="00EB2447" w:rsidRDefault="00EB244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511E1">
        <w:pPr>
          <w:pStyle w:val="Header"/>
          <w:jc w:val="right"/>
        </w:pPr>
        <w:fldSimple w:instr=" PAGE   \* MERGEFORMAT ">
          <w:r w:rsidR="00EA733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65BD8"/>
    <w:multiLevelType w:val="hybridMultilevel"/>
    <w:tmpl w:val="81DA31B6"/>
    <w:lvl w:ilvl="0" w:tplc="8DD0D942">
      <w:start w:val="1"/>
      <w:numFmt w:val="bullet"/>
      <w:lvlText w:val=""/>
      <w:lvlJc w:val="left"/>
      <w:pPr>
        <w:tabs>
          <w:tab w:val="num" w:pos="720"/>
        </w:tabs>
        <w:ind w:left="720" w:hanging="360"/>
      </w:pPr>
      <w:rPr>
        <w:rFonts w:ascii="Wingdings 2" w:hAnsi="Wingdings 2" w:hint="default"/>
      </w:rPr>
    </w:lvl>
    <w:lvl w:ilvl="1" w:tplc="392CC7DC" w:tentative="1">
      <w:start w:val="1"/>
      <w:numFmt w:val="bullet"/>
      <w:lvlText w:val=""/>
      <w:lvlJc w:val="left"/>
      <w:pPr>
        <w:tabs>
          <w:tab w:val="num" w:pos="1440"/>
        </w:tabs>
        <w:ind w:left="1440" w:hanging="360"/>
      </w:pPr>
      <w:rPr>
        <w:rFonts w:ascii="Wingdings 2" w:hAnsi="Wingdings 2" w:hint="default"/>
      </w:rPr>
    </w:lvl>
    <w:lvl w:ilvl="2" w:tplc="EA486BFC" w:tentative="1">
      <w:start w:val="1"/>
      <w:numFmt w:val="bullet"/>
      <w:lvlText w:val=""/>
      <w:lvlJc w:val="left"/>
      <w:pPr>
        <w:tabs>
          <w:tab w:val="num" w:pos="2160"/>
        </w:tabs>
        <w:ind w:left="2160" w:hanging="360"/>
      </w:pPr>
      <w:rPr>
        <w:rFonts w:ascii="Wingdings 2" w:hAnsi="Wingdings 2" w:hint="default"/>
      </w:rPr>
    </w:lvl>
    <w:lvl w:ilvl="3" w:tplc="40A08D56" w:tentative="1">
      <w:start w:val="1"/>
      <w:numFmt w:val="bullet"/>
      <w:lvlText w:val=""/>
      <w:lvlJc w:val="left"/>
      <w:pPr>
        <w:tabs>
          <w:tab w:val="num" w:pos="2880"/>
        </w:tabs>
        <w:ind w:left="2880" w:hanging="360"/>
      </w:pPr>
      <w:rPr>
        <w:rFonts w:ascii="Wingdings 2" w:hAnsi="Wingdings 2" w:hint="default"/>
      </w:rPr>
    </w:lvl>
    <w:lvl w:ilvl="4" w:tplc="AD58BC46" w:tentative="1">
      <w:start w:val="1"/>
      <w:numFmt w:val="bullet"/>
      <w:lvlText w:val=""/>
      <w:lvlJc w:val="left"/>
      <w:pPr>
        <w:tabs>
          <w:tab w:val="num" w:pos="3600"/>
        </w:tabs>
        <w:ind w:left="3600" w:hanging="360"/>
      </w:pPr>
      <w:rPr>
        <w:rFonts w:ascii="Wingdings 2" w:hAnsi="Wingdings 2" w:hint="default"/>
      </w:rPr>
    </w:lvl>
    <w:lvl w:ilvl="5" w:tplc="7E54D2A2" w:tentative="1">
      <w:start w:val="1"/>
      <w:numFmt w:val="bullet"/>
      <w:lvlText w:val=""/>
      <w:lvlJc w:val="left"/>
      <w:pPr>
        <w:tabs>
          <w:tab w:val="num" w:pos="4320"/>
        </w:tabs>
        <w:ind w:left="4320" w:hanging="360"/>
      </w:pPr>
      <w:rPr>
        <w:rFonts w:ascii="Wingdings 2" w:hAnsi="Wingdings 2" w:hint="default"/>
      </w:rPr>
    </w:lvl>
    <w:lvl w:ilvl="6" w:tplc="284AE796" w:tentative="1">
      <w:start w:val="1"/>
      <w:numFmt w:val="bullet"/>
      <w:lvlText w:val=""/>
      <w:lvlJc w:val="left"/>
      <w:pPr>
        <w:tabs>
          <w:tab w:val="num" w:pos="5040"/>
        </w:tabs>
        <w:ind w:left="5040" w:hanging="360"/>
      </w:pPr>
      <w:rPr>
        <w:rFonts w:ascii="Wingdings 2" w:hAnsi="Wingdings 2" w:hint="default"/>
      </w:rPr>
    </w:lvl>
    <w:lvl w:ilvl="7" w:tplc="2348D162" w:tentative="1">
      <w:start w:val="1"/>
      <w:numFmt w:val="bullet"/>
      <w:lvlText w:val=""/>
      <w:lvlJc w:val="left"/>
      <w:pPr>
        <w:tabs>
          <w:tab w:val="num" w:pos="5760"/>
        </w:tabs>
        <w:ind w:left="5760" w:hanging="360"/>
      </w:pPr>
      <w:rPr>
        <w:rFonts w:ascii="Wingdings 2" w:hAnsi="Wingdings 2" w:hint="default"/>
      </w:rPr>
    </w:lvl>
    <w:lvl w:ilvl="8" w:tplc="4114F12A"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6AE"/>
    <w:multiLevelType w:val="hybridMultilevel"/>
    <w:tmpl w:val="56242A2C"/>
    <w:lvl w:ilvl="0" w:tplc="31C47C22">
      <w:start w:val="1"/>
      <w:numFmt w:val="bullet"/>
      <w:lvlText w:val=""/>
      <w:lvlJc w:val="left"/>
      <w:pPr>
        <w:tabs>
          <w:tab w:val="num" w:pos="720"/>
        </w:tabs>
        <w:ind w:left="720" w:hanging="360"/>
      </w:pPr>
      <w:rPr>
        <w:rFonts w:ascii="Wingdings 2" w:hAnsi="Wingdings 2" w:hint="default"/>
      </w:rPr>
    </w:lvl>
    <w:lvl w:ilvl="1" w:tplc="BB924C26" w:tentative="1">
      <w:start w:val="1"/>
      <w:numFmt w:val="bullet"/>
      <w:lvlText w:val=""/>
      <w:lvlJc w:val="left"/>
      <w:pPr>
        <w:tabs>
          <w:tab w:val="num" w:pos="1440"/>
        </w:tabs>
        <w:ind w:left="1440" w:hanging="360"/>
      </w:pPr>
      <w:rPr>
        <w:rFonts w:ascii="Wingdings 2" w:hAnsi="Wingdings 2" w:hint="default"/>
      </w:rPr>
    </w:lvl>
    <w:lvl w:ilvl="2" w:tplc="CC06BC56" w:tentative="1">
      <w:start w:val="1"/>
      <w:numFmt w:val="bullet"/>
      <w:lvlText w:val=""/>
      <w:lvlJc w:val="left"/>
      <w:pPr>
        <w:tabs>
          <w:tab w:val="num" w:pos="2160"/>
        </w:tabs>
        <w:ind w:left="2160" w:hanging="360"/>
      </w:pPr>
      <w:rPr>
        <w:rFonts w:ascii="Wingdings 2" w:hAnsi="Wingdings 2" w:hint="default"/>
      </w:rPr>
    </w:lvl>
    <w:lvl w:ilvl="3" w:tplc="D6D43A76" w:tentative="1">
      <w:start w:val="1"/>
      <w:numFmt w:val="bullet"/>
      <w:lvlText w:val=""/>
      <w:lvlJc w:val="left"/>
      <w:pPr>
        <w:tabs>
          <w:tab w:val="num" w:pos="2880"/>
        </w:tabs>
        <w:ind w:left="2880" w:hanging="360"/>
      </w:pPr>
      <w:rPr>
        <w:rFonts w:ascii="Wingdings 2" w:hAnsi="Wingdings 2" w:hint="default"/>
      </w:rPr>
    </w:lvl>
    <w:lvl w:ilvl="4" w:tplc="4ED24BF8" w:tentative="1">
      <w:start w:val="1"/>
      <w:numFmt w:val="bullet"/>
      <w:lvlText w:val=""/>
      <w:lvlJc w:val="left"/>
      <w:pPr>
        <w:tabs>
          <w:tab w:val="num" w:pos="3600"/>
        </w:tabs>
        <w:ind w:left="3600" w:hanging="360"/>
      </w:pPr>
      <w:rPr>
        <w:rFonts w:ascii="Wingdings 2" w:hAnsi="Wingdings 2" w:hint="default"/>
      </w:rPr>
    </w:lvl>
    <w:lvl w:ilvl="5" w:tplc="FA1E038A" w:tentative="1">
      <w:start w:val="1"/>
      <w:numFmt w:val="bullet"/>
      <w:lvlText w:val=""/>
      <w:lvlJc w:val="left"/>
      <w:pPr>
        <w:tabs>
          <w:tab w:val="num" w:pos="4320"/>
        </w:tabs>
        <w:ind w:left="4320" w:hanging="360"/>
      </w:pPr>
      <w:rPr>
        <w:rFonts w:ascii="Wingdings 2" w:hAnsi="Wingdings 2" w:hint="default"/>
      </w:rPr>
    </w:lvl>
    <w:lvl w:ilvl="6" w:tplc="1C0E8752" w:tentative="1">
      <w:start w:val="1"/>
      <w:numFmt w:val="bullet"/>
      <w:lvlText w:val=""/>
      <w:lvlJc w:val="left"/>
      <w:pPr>
        <w:tabs>
          <w:tab w:val="num" w:pos="5040"/>
        </w:tabs>
        <w:ind w:left="5040" w:hanging="360"/>
      </w:pPr>
      <w:rPr>
        <w:rFonts w:ascii="Wingdings 2" w:hAnsi="Wingdings 2" w:hint="default"/>
      </w:rPr>
    </w:lvl>
    <w:lvl w:ilvl="7" w:tplc="D280348C" w:tentative="1">
      <w:start w:val="1"/>
      <w:numFmt w:val="bullet"/>
      <w:lvlText w:val=""/>
      <w:lvlJc w:val="left"/>
      <w:pPr>
        <w:tabs>
          <w:tab w:val="num" w:pos="5760"/>
        </w:tabs>
        <w:ind w:left="5760" w:hanging="360"/>
      </w:pPr>
      <w:rPr>
        <w:rFonts w:ascii="Wingdings 2" w:hAnsi="Wingdings 2" w:hint="default"/>
      </w:rPr>
    </w:lvl>
    <w:lvl w:ilvl="8" w:tplc="61CC3A80"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B26F77"/>
    <w:multiLevelType w:val="hybridMultilevel"/>
    <w:tmpl w:val="CC4E5606"/>
    <w:lvl w:ilvl="0" w:tplc="9F2A7568">
      <w:start w:val="1"/>
      <w:numFmt w:val="bullet"/>
      <w:lvlText w:val=""/>
      <w:lvlJc w:val="left"/>
      <w:pPr>
        <w:tabs>
          <w:tab w:val="num" w:pos="720"/>
        </w:tabs>
        <w:ind w:left="720" w:hanging="360"/>
      </w:pPr>
      <w:rPr>
        <w:rFonts w:ascii="Wingdings 2" w:hAnsi="Wingdings 2" w:hint="default"/>
      </w:rPr>
    </w:lvl>
    <w:lvl w:ilvl="1" w:tplc="9C304F64" w:tentative="1">
      <w:start w:val="1"/>
      <w:numFmt w:val="bullet"/>
      <w:lvlText w:val=""/>
      <w:lvlJc w:val="left"/>
      <w:pPr>
        <w:tabs>
          <w:tab w:val="num" w:pos="1440"/>
        </w:tabs>
        <w:ind w:left="1440" w:hanging="360"/>
      </w:pPr>
      <w:rPr>
        <w:rFonts w:ascii="Wingdings 2" w:hAnsi="Wingdings 2" w:hint="default"/>
      </w:rPr>
    </w:lvl>
    <w:lvl w:ilvl="2" w:tplc="36FA6BC6" w:tentative="1">
      <w:start w:val="1"/>
      <w:numFmt w:val="bullet"/>
      <w:lvlText w:val=""/>
      <w:lvlJc w:val="left"/>
      <w:pPr>
        <w:tabs>
          <w:tab w:val="num" w:pos="2160"/>
        </w:tabs>
        <w:ind w:left="2160" w:hanging="360"/>
      </w:pPr>
      <w:rPr>
        <w:rFonts w:ascii="Wingdings 2" w:hAnsi="Wingdings 2" w:hint="default"/>
      </w:rPr>
    </w:lvl>
    <w:lvl w:ilvl="3" w:tplc="125467C6" w:tentative="1">
      <w:start w:val="1"/>
      <w:numFmt w:val="bullet"/>
      <w:lvlText w:val=""/>
      <w:lvlJc w:val="left"/>
      <w:pPr>
        <w:tabs>
          <w:tab w:val="num" w:pos="2880"/>
        </w:tabs>
        <w:ind w:left="2880" w:hanging="360"/>
      </w:pPr>
      <w:rPr>
        <w:rFonts w:ascii="Wingdings 2" w:hAnsi="Wingdings 2" w:hint="default"/>
      </w:rPr>
    </w:lvl>
    <w:lvl w:ilvl="4" w:tplc="B804EE28" w:tentative="1">
      <w:start w:val="1"/>
      <w:numFmt w:val="bullet"/>
      <w:lvlText w:val=""/>
      <w:lvlJc w:val="left"/>
      <w:pPr>
        <w:tabs>
          <w:tab w:val="num" w:pos="3600"/>
        </w:tabs>
        <w:ind w:left="3600" w:hanging="360"/>
      </w:pPr>
      <w:rPr>
        <w:rFonts w:ascii="Wingdings 2" w:hAnsi="Wingdings 2" w:hint="default"/>
      </w:rPr>
    </w:lvl>
    <w:lvl w:ilvl="5" w:tplc="3A1212EC" w:tentative="1">
      <w:start w:val="1"/>
      <w:numFmt w:val="bullet"/>
      <w:lvlText w:val=""/>
      <w:lvlJc w:val="left"/>
      <w:pPr>
        <w:tabs>
          <w:tab w:val="num" w:pos="4320"/>
        </w:tabs>
        <w:ind w:left="4320" w:hanging="360"/>
      </w:pPr>
      <w:rPr>
        <w:rFonts w:ascii="Wingdings 2" w:hAnsi="Wingdings 2" w:hint="default"/>
      </w:rPr>
    </w:lvl>
    <w:lvl w:ilvl="6" w:tplc="2AB245C2" w:tentative="1">
      <w:start w:val="1"/>
      <w:numFmt w:val="bullet"/>
      <w:lvlText w:val=""/>
      <w:lvlJc w:val="left"/>
      <w:pPr>
        <w:tabs>
          <w:tab w:val="num" w:pos="5040"/>
        </w:tabs>
        <w:ind w:left="5040" w:hanging="360"/>
      </w:pPr>
      <w:rPr>
        <w:rFonts w:ascii="Wingdings 2" w:hAnsi="Wingdings 2" w:hint="default"/>
      </w:rPr>
    </w:lvl>
    <w:lvl w:ilvl="7" w:tplc="A6DA8EE6" w:tentative="1">
      <w:start w:val="1"/>
      <w:numFmt w:val="bullet"/>
      <w:lvlText w:val=""/>
      <w:lvlJc w:val="left"/>
      <w:pPr>
        <w:tabs>
          <w:tab w:val="num" w:pos="5760"/>
        </w:tabs>
        <w:ind w:left="5760" w:hanging="360"/>
      </w:pPr>
      <w:rPr>
        <w:rFonts w:ascii="Wingdings 2" w:hAnsi="Wingdings 2" w:hint="default"/>
      </w:rPr>
    </w:lvl>
    <w:lvl w:ilvl="8" w:tplc="B8120C8A"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DB0253"/>
    <w:multiLevelType w:val="hybridMultilevel"/>
    <w:tmpl w:val="D81C46C0"/>
    <w:lvl w:ilvl="0" w:tplc="BB06614E">
      <w:start w:val="1"/>
      <w:numFmt w:val="bullet"/>
      <w:lvlText w:val=""/>
      <w:lvlJc w:val="left"/>
      <w:pPr>
        <w:tabs>
          <w:tab w:val="num" w:pos="720"/>
        </w:tabs>
        <w:ind w:left="720" w:hanging="360"/>
      </w:pPr>
      <w:rPr>
        <w:rFonts w:ascii="Wingdings 2" w:hAnsi="Wingdings 2" w:hint="default"/>
      </w:rPr>
    </w:lvl>
    <w:lvl w:ilvl="1" w:tplc="89F4C510" w:tentative="1">
      <w:start w:val="1"/>
      <w:numFmt w:val="bullet"/>
      <w:lvlText w:val=""/>
      <w:lvlJc w:val="left"/>
      <w:pPr>
        <w:tabs>
          <w:tab w:val="num" w:pos="1440"/>
        </w:tabs>
        <w:ind w:left="1440" w:hanging="360"/>
      </w:pPr>
      <w:rPr>
        <w:rFonts w:ascii="Wingdings 2" w:hAnsi="Wingdings 2" w:hint="default"/>
      </w:rPr>
    </w:lvl>
    <w:lvl w:ilvl="2" w:tplc="91A01E06" w:tentative="1">
      <w:start w:val="1"/>
      <w:numFmt w:val="bullet"/>
      <w:lvlText w:val=""/>
      <w:lvlJc w:val="left"/>
      <w:pPr>
        <w:tabs>
          <w:tab w:val="num" w:pos="2160"/>
        </w:tabs>
        <w:ind w:left="2160" w:hanging="360"/>
      </w:pPr>
      <w:rPr>
        <w:rFonts w:ascii="Wingdings 2" w:hAnsi="Wingdings 2" w:hint="default"/>
      </w:rPr>
    </w:lvl>
    <w:lvl w:ilvl="3" w:tplc="304673EE" w:tentative="1">
      <w:start w:val="1"/>
      <w:numFmt w:val="bullet"/>
      <w:lvlText w:val=""/>
      <w:lvlJc w:val="left"/>
      <w:pPr>
        <w:tabs>
          <w:tab w:val="num" w:pos="2880"/>
        </w:tabs>
        <w:ind w:left="2880" w:hanging="360"/>
      </w:pPr>
      <w:rPr>
        <w:rFonts w:ascii="Wingdings 2" w:hAnsi="Wingdings 2" w:hint="default"/>
      </w:rPr>
    </w:lvl>
    <w:lvl w:ilvl="4" w:tplc="EA4876CC" w:tentative="1">
      <w:start w:val="1"/>
      <w:numFmt w:val="bullet"/>
      <w:lvlText w:val=""/>
      <w:lvlJc w:val="left"/>
      <w:pPr>
        <w:tabs>
          <w:tab w:val="num" w:pos="3600"/>
        </w:tabs>
        <w:ind w:left="3600" w:hanging="360"/>
      </w:pPr>
      <w:rPr>
        <w:rFonts w:ascii="Wingdings 2" w:hAnsi="Wingdings 2" w:hint="default"/>
      </w:rPr>
    </w:lvl>
    <w:lvl w:ilvl="5" w:tplc="DF123B2A" w:tentative="1">
      <w:start w:val="1"/>
      <w:numFmt w:val="bullet"/>
      <w:lvlText w:val=""/>
      <w:lvlJc w:val="left"/>
      <w:pPr>
        <w:tabs>
          <w:tab w:val="num" w:pos="4320"/>
        </w:tabs>
        <w:ind w:left="4320" w:hanging="360"/>
      </w:pPr>
      <w:rPr>
        <w:rFonts w:ascii="Wingdings 2" w:hAnsi="Wingdings 2" w:hint="default"/>
      </w:rPr>
    </w:lvl>
    <w:lvl w:ilvl="6" w:tplc="19042AF0" w:tentative="1">
      <w:start w:val="1"/>
      <w:numFmt w:val="bullet"/>
      <w:lvlText w:val=""/>
      <w:lvlJc w:val="left"/>
      <w:pPr>
        <w:tabs>
          <w:tab w:val="num" w:pos="5040"/>
        </w:tabs>
        <w:ind w:left="5040" w:hanging="360"/>
      </w:pPr>
      <w:rPr>
        <w:rFonts w:ascii="Wingdings 2" w:hAnsi="Wingdings 2" w:hint="default"/>
      </w:rPr>
    </w:lvl>
    <w:lvl w:ilvl="7" w:tplc="B828618A" w:tentative="1">
      <w:start w:val="1"/>
      <w:numFmt w:val="bullet"/>
      <w:lvlText w:val=""/>
      <w:lvlJc w:val="left"/>
      <w:pPr>
        <w:tabs>
          <w:tab w:val="num" w:pos="5760"/>
        </w:tabs>
        <w:ind w:left="5760" w:hanging="360"/>
      </w:pPr>
      <w:rPr>
        <w:rFonts w:ascii="Wingdings 2" w:hAnsi="Wingdings 2" w:hint="default"/>
      </w:rPr>
    </w:lvl>
    <w:lvl w:ilvl="8" w:tplc="75328098"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67277B"/>
    <w:multiLevelType w:val="hybridMultilevel"/>
    <w:tmpl w:val="BDD4135E"/>
    <w:lvl w:ilvl="0" w:tplc="5E6CCC08">
      <w:start w:val="1"/>
      <w:numFmt w:val="bullet"/>
      <w:lvlText w:val=""/>
      <w:lvlJc w:val="left"/>
      <w:pPr>
        <w:tabs>
          <w:tab w:val="num" w:pos="720"/>
        </w:tabs>
        <w:ind w:left="720" w:hanging="360"/>
      </w:pPr>
      <w:rPr>
        <w:rFonts w:ascii="Wingdings 2" w:hAnsi="Wingdings 2" w:hint="default"/>
      </w:rPr>
    </w:lvl>
    <w:lvl w:ilvl="1" w:tplc="C2F010F6" w:tentative="1">
      <w:start w:val="1"/>
      <w:numFmt w:val="bullet"/>
      <w:lvlText w:val=""/>
      <w:lvlJc w:val="left"/>
      <w:pPr>
        <w:tabs>
          <w:tab w:val="num" w:pos="1440"/>
        </w:tabs>
        <w:ind w:left="1440" w:hanging="360"/>
      </w:pPr>
      <w:rPr>
        <w:rFonts w:ascii="Wingdings 2" w:hAnsi="Wingdings 2" w:hint="default"/>
      </w:rPr>
    </w:lvl>
    <w:lvl w:ilvl="2" w:tplc="0B6C9FE4" w:tentative="1">
      <w:start w:val="1"/>
      <w:numFmt w:val="bullet"/>
      <w:lvlText w:val=""/>
      <w:lvlJc w:val="left"/>
      <w:pPr>
        <w:tabs>
          <w:tab w:val="num" w:pos="2160"/>
        </w:tabs>
        <w:ind w:left="2160" w:hanging="360"/>
      </w:pPr>
      <w:rPr>
        <w:rFonts w:ascii="Wingdings 2" w:hAnsi="Wingdings 2" w:hint="default"/>
      </w:rPr>
    </w:lvl>
    <w:lvl w:ilvl="3" w:tplc="9988928A" w:tentative="1">
      <w:start w:val="1"/>
      <w:numFmt w:val="bullet"/>
      <w:lvlText w:val=""/>
      <w:lvlJc w:val="left"/>
      <w:pPr>
        <w:tabs>
          <w:tab w:val="num" w:pos="2880"/>
        </w:tabs>
        <w:ind w:left="2880" w:hanging="360"/>
      </w:pPr>
      <w:rPr>
        <w:rFonts w:ascii="Wingdings 2" w:hAnsi="Wingdings 2" w:hint="default"/>
      </w:rPr>
    </w:lvl>
    <w:lvl w:ilvl="4" w:tplc="20E08250" w:tentative="1">
      <w:start w:val="1"/>
      <w:numFmt w:val="bullet"/>
      <w:lvlText w:val=""/>
      <w:lvlJc w:val="left"/>
      <w:pPr>
        <w:tabs>
          <w:tab w:val="num" w:pos="3600"/>
        </w:tabs>
        <w:ind w:left="3600" w:hanging="360"/>
      </w:pPr>
      <w:rPr>
        <w:rFonts w:ascii="Wingdings 2" w:hAnsi="Wingdings 2" w:hint="default"/>
      </w:rPr>
    </w:lvl>
    <w:lvl w:ilvl="5" w:tplc="9BC42902" w:tentative="1">
      <w:start w:val="1"/>
      <w:numFmt w:val="bullet"/>
      <w:lvlText w:val=""/>
      <w:lvlJc w:val="left"/>
      <w:pPr>
        <w:tabs>
          <w:tab w:val="num" w:pos="4320"/>
        </w:tabs>
        <w:ind w:left="4320" w:hanging="360"/>
      </w:pPr>
      <w:rPr>
        <w:rFonts w:ascii="Wingdings 2" w:hAnsi="Wingdings 2" w:hint="default"/>
      </w:rPr>
    </w:lvl>
    <w:lvl w:ilvl="6" w:tplc="A1C44E44" w:tentative="1">
      <w:start w:val="1"/>
      <w:numFmt w:val="bullet"/>
      <w:lvlText w:val=""/>
      <w:lvlJc w:val="left"/>
      <w:pPr>
        <w:tabs>
          <w:tab w:val="num" w:pos="5040"/>
        </w:tabs>
        <w:ind w:left="5040" w:hanging="360"/>
      </w:pPr>
      <w:rPr>
        <w:rFonts w:ascii="Wingdings 2" w:hAnsi="Wingdings 2" w:hint="default"/>
      </w:rPr>
    </w:lvl>
    <w:lvl w:ilvl="7" w:tplc="1F34917E" w:tentative="1">
      <w:start w:val="1"/>
      <w:numFmt w:val="bullet"/>
      <w:lvlText w:val=""/>
      <w:lvlJc w:val="left"/>
      <w:pPr>
        <w:tabs>
          <w:tab w:val="num" w:pos="5760"/>
        </w:tabs>
        <w:ind w:left="5760" w:hanging="360"/>
      </w:pPr>
      <w:rPr>
        <w:rFonts w:ascii="Wingdings 2" w:hAnsi="Wingdings 2" w:hint="default"/>
      </w:rPr>
    </w:lvl>
    <w:lvl w:ilvl="8" w:tplc="FB360DD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4B51DF"/>
    <w:multiLevelType w:val="hybridMultilevel"/>
    <w:tmpl w:val="4E2E9B4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9"/>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8"/>
  </w:num>
  <w:num w:numId="43">
    <w:abstractNumId w:val="35"/>
  </w:num>
  <w:num w:numId="44">
    <w:abstractNumId w:val="1"/>
  </w:num>
  <w:num w:numId="45">
    <w:abstractNumId w:val="41"/>
  </w:num>
  <w:num w:numId="46">
    <w:abstractNumId w:val="43"/>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1E1"/>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70E"/>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41A7"/>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58E2"/>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3CBB"/>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23F"/>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331"/>
    <w:rsid w:val="00EA7E53"/>
    <w:rsid w:val="00EB15D8"/>
    <w:rsid w:val="00EB18C4"/>
    <w:rsid w:val="00EB1D61"/>
    <w:rsid w:val="00EB2447"/>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2757304">
      <w:bodyDiv w:val="1"/>
      <w:marLeft w:val="0"/>
      <w:marRight w:val="0"/>
      <w:marTop w:val="0"/>
      <w:marBottom w:val="0"/>
      <w:divBdr>
        <w:top w:val="none" w:sz="0" w:space="0" w:color="auto"/>
        <w:left w:val="none" w:sz="0" w:space="0" w:color="auto"/>
        <w:bottom w:val="none" w:sz="0" w:space="0" w:color="auto"/>
        <w:right w:val="none" w:sz="0" w:space="0" w:color="auto"/>
      </w:divBdr>
      <w:divsChild>
        <w:div w:id="1558080478">
          <w:marLeft w:val="576"/>
          <w:marRight w:val="0"/>
          <w:marTop w:val="120"/>
          <w:marBottom w:val="0"/>
          <w:divBdr>
            <w:top w:val="none" w:sz="0" w:space="0" w:color="auto"/>
            <w:left w:val="none" w:sz="0" w:space="0" w:color="auto"/>
            <w:bottom w:val="none" w:sz="0" w:space="0" w:color="auto"/>
            <w:right w:val="none" w:sz="0" w:space="0" w:color="auto"/>
          </w:divBdr>
        </w:div>
        <w:div w:id="1092319957">
          <w:marLeft w:val="576"/>
          <w:marRight w:val="0"/>
          <w:marTop w:val="120"/>
          <w:marBottom w:val="0"/>
          <w:divBdr>
            <w:top w:val="none" w:sz="0" w:space="0" w:color="auto"/>
            <w:left w:val="none" w:sz="0" w:space="0" w:color="auto"/>
            <w:bottom w:val="none" w:sz="0" w:space="0" w:color="auto"/>
            <w:right w:val="none" w:sz="0" w:space="0" w:color="auto"/>
          </w:divBdr>
        </w:div>
        <w:div w:id="1517042001">
          <w:marLeft w:val="576"/>
          <w:marRight w:val="0"/>
          <w:marTop w:val="120"/>
          <w:marBottom w:val="0"/>
          <w:divBdr>
            <w:top w:val="none" w:sz="0" w:space="0" w:color="auto"/>
            <w:left w:val="none" w:sz="0" w:space="0" w:color="auto"/>
            <w:bottom w:val="none" w:sz="0" w:space="0" w:color="auto"/>
            <w:right w:val="none" w:sz="0" w:space="0" w:color="auto"/>
          </w:divBdr>
        </w:div>
        <w:div w:id="2088533883">
          <w:marLeft w:val="576"/>
          <w:marRight w:val="0"/>
          <w:marTop w:val="120"/>
          <w:marBottom w:val="0"/>
          <w:divBdr>
            <w:top w:val="none" w:sz="0" w:space="0" w:color="auto"/>
            <w:left w:val="none" w:sz="0" w:space="0" w:color="auto"/>
            <w:bottom w:val="none" w:sz="0" w:space="0" w:color="auto"/>
            <w:right w:val="none" w:sz="0" w:space="0" w:color="auto"/>
          </w:divBdr>
        </w:div>
        <w:div w:id="1111516394">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7480856">
      <w:bodyDiv w:val="1"/>
      <w:marLeft w:val="0"/>
      <w:marRight w:val="0"/>
      <w:marTop w:val="0"/>
      <w:marBottom w:val="0"/>
      <w:divBdr>
        <w:top w:val="none" w:sz="0" w:space="0" w:color="auto"/>
        <w:left w:val="none" w:sz="0" w:space="0" w:color="auto"/>
        <w:bottom w:val="none" w:sz="0" w:space="0" w:color="auto"/>
        <w:right w:val="none" w:sz="0" w:space="0" w:color="auto"/>
      </w:divBdr>
      <w:divsChild>
        <w:div w:id="844050157">
          <w:marLeft w:val="576"/>
          <w:marRight w:val="0"/>
          <w:marTop w:val="120"/>
          <w:marBottom w:val="0"/>
          <w:divBdr>
            <w:top w:val="none" w:sz="0" w:space="0" w:color="auto"/>
            <w:left w:val="none" w:sz="0" w:space="0" w:color="auto"/>
            <w:bottom w:val="none" w:sz="0" w:space="0" w:color="auto"/>
            <w:right w:val="none" w:sz="0" w:space="0" w:color="auto"/>
          </w:divBdr>
        </w:div>
        <w:div w:id="1534684977">
          <w:marLeft w:val="576"/>
          <w:marRight w:val="0"/>
          <w:marTop w:val="120"/>
          <w:marBottom w:val="0"/>
          <w:divBdr>
            <w:top w:val="none" w:sz="0" w:space="0" w:color="auto"/>
            <w:left w:val="none" w:sz="0" w:space="0" w:color="auto"/>
            <w:bottom w:val="none" w:sz="0" w:space="0" w:color="auto"/>
            <w:right w:val="none" w:sz="0" w:space="0" w:color="auto"/>
          </w:divBdr>
        </w:div>
        <w:div w:id="1666399136">
          <w:marLeft w:val="576"/>
          <w:marRight w:val="0"/>
          <w:marTop w:val="120"/>
          <w:marBottom w:val="0"/>
          <w:divBdr>
            <w:top w:val="none" w:sz="0" w:space="0" w:color="auto"/>
            <w:left w:val="none" w:sz="0" w:space="0" w:color="auto"/>
            <w:bottom w:val="none" w:sz="0" w:space="0" w:color="auto"/>
            <w:right w:val="none" w:sz="0" w:space="0" w:color="auto"/>
          </w:divBdr>
        </w:div>
        <w:div w:id="24361532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224641">
      <w:bodyDiv w:val="1"/>
      <w:marLeft w:val="0"/>
      <w:marRight w:val="0"/>
      <w:marTop w:val="0"/>
      <w:marBottom w:val="0"/>
      <w:divBdr>
        <w:top w:val="none" w:sz="0" w:space="0" w:color="auto"/>
        <w:left w:val="none" w:sz="0" w:space="0" w:color="auto"/>
        <w:bottom w:val="none" w:sz="0" w:space="0" w:color="auto"/>
        <w:right w:val="none" w:sz="0" w:space="0" w:color="auto"/>
      </w:divBdr>
      <w:divsChild>
        <w:div w:id="1203664255">
          <w:marLeft w:val="576"/>
          <w:marRight w:val="0"/>
          <w:marTop w:val="120"/>
          <w:marBottom w:val="0"/>
          <w:divBdr>
            <w:top w:val="none" w:sz="0" w:space="0" w:color="auto"/>
            <w:left w:val="none" w:sz="0" w:space="0" w:color="auto"/>
            <w:bottom w:val="none" w:sz="0" w:space="0" w:color="auto"/>
            <w:right w:val="none" w:sz="0" w:space="0" w:color="auto"/>
          </w:divBdr>
        </w:div>
        <w:div w:id="1075930544">
          <w:marLeft w:val="576"/>
          <w:marRight w:val="0"/>
          <w:marTop w:val="120"/>
          <w:marBottom w:val="0"/>
          <w:divBdr>
            <w:top w:val="none" w:sz="0" w:space="0" w:color="auto"/>
            <w:left w:val="none" w:sz="0" w:space="0" w:color="auto"/>
            <w:bottom w:val="none" w:sz="0" w:space="0" w:color="auto"/>
            <w:right w:val="none" w:sz="0" w:space="0" w:color="auto"/>
          </w:divBdr>
        </w:div>
        <w:div w:id="111443984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533464">
      <w:bodyDiv w:val="1"/>
      <w:marLeft w:val="0"/>
      <w:marRight w:val="0"/>
      <w:marTop w:val="0"/>
      <w:marBottom w:val="0"/>
      <w:divBdr>
        <w:top w:val="none" w:sz="0" w:space="0" w:color="auto"/>
        <w:left w:val="none" w:sz="0" w:space="0" w:color="auto"/>
        <w:bottom w:val="none" w:sz="0" w:space="0" w:color="auto"/>
        <w:right w:val="none" w:sz="0" w:space="0" w:color="auto"/>
      </w:divBdr>
      <w:divsChild>
        <w:div w:id="906108044">
          <w:marLeft w:val="0"/>
          <w:marRight w:val="0"/>
          <w:marTop w:val="0"/>
          <w:marBottom w:val="0"/>
          <w:divBdr>
            <w:top w:val="none" w:sz="0" w:space="0" w:color="auto"/>
            <w:left w:val="none" w:sz="0" w:space="0" w:color="auto"/>
            <w:bottom w:val="none" w:sz="0" w:space="0" w:color="auto"/>
            <w:right w:val="none" w:sz="0" w:space="0" w:color="auto"/>
          </w:divBdr>
          <w:divsChild>
            <w:div w:id="565458032">
              <w:marLeft w:val="0"/>
              <w:marRight w:val="0"/>
              <w:marTop w:val="0"/>
              <w:marBottom w:val="0"/>
              <w:divBdr>
                <w:top w:val="none" w:sz="0" w:space="0" w:color="auto"/>
                <w:left w:val="none" w:sz="0" w:space="0" w:color="auto"/>
                <w:bottom w:val="none" w:sz="0" w:space="0" w:color="auto"/>
                <w:right w:val="none" w:sz="0" w:space="0" w:color="auto"/>
              </w:divBdr>
              <w:divsChild>
                <w:div w:id="214852352">
                  <w:marLeft w:val="0"/>
                  <w:marRight w:val="0"/>
                  <w:marTop w:val="0"/>
                  <w:marBottom w:val="0"/>
                  <w:divBdr>
                    <w:top w:val="none" w:sz="0" w:space="0" w:color="auto"/>
                    <w:left w:val="none" w:sz="0" w:space="0" w:color="auto"/>
                    <w:bottom w:val="none" w:sz="0" w:space="0" w:color="auto"/>
                    <w:right w:val="none" w:sz="0" w:space="0" w:color="auto"/>
                  </w:divBdr>
                  <w:divsChild>
                    <w:div w:id="57914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035503">
      <w:bodyDiv w:val="1"/>
      <w:marLeft w:val="0"/>
      <w:marRight w:val="0"/>
      <w:marTop w:val="0"/>
      <w:marBottom w:val="0"/>
      <w:divBdr>
        <w:top w:val="none" w:sz="0" w:space="0" w:color="auto"/>
        <w:left w:val="none" w:sz="0" w:space="0" w:color="auto"/>
        <w:bottom w:val="none" w:sz="0" w:space="0" w:color="auto"/>
        <w:right w:val="none" w:sz="0" w:space="0" w:color="auto"/>
      </w:divBdr>
      <w:divsChild>
        <w:div w:id="523636854">
          <w:marLeft w:val="576"/>
          <w:marRight w:val="0"/>
          <w:marTop w:val="120"/>
          <w:marBottom w:val="0"/>
          <w:divBdr>
            <w:top w:val="none" w:sz="0" w:space="0" w:color="auto"/>
            <w:left w:val="none" w:sz="0" w:space="0" w:color="auto"/>
            <w:bottom w:val="none" w:sz="0" w:space="0" w:color="auto"/>
            <w:right w:val="none" w:sz="0" w:space="0" w:color="auto"/>
          </w:divBdr>
        </w:div>
        <w:div w:id="173306799">
          <w:marLeft w:val="576"/>
          <w:marRight w:val="0"/>
          <w:marTop w:val="120"/>
          <w:marBottom w:val="0"/>
          <w:divBdr>
            <w:top w:val="none" w:sz="0" w:space="0" w:color="auto"/>
            <w:left w:val="none" w:sz="0" w:space="0" w:color="auto"/>
            <w:bottom w:val="none" w:sz="0" w:space="0" w:color="auto"/>
            <w:right w:val="none" w:sz="0" w:space="0" w:color="auto"/>
          </w:divBdr>
        </w:div>
        <w:div w:id="1020202315">
          <w:marLeft w:val="576"/>
          <w:marRight w:val="0"/>
          <w:marTop w:val="120"/>
          <w:marBottom w:val="0"/>
          <w:divBdr>
            <w:top w:val="none" w:sz="0" w:space="0" w:color="auto"/>
            <w:left w:val="none" w:sz="0" w:space="0" w:color="auto"/>
            <w:bottom w:val="none" w:sz="0" w:space="0" w:color="auto"/>
            <w:right w:val="none" w:sz="0" w:space="0" w:color="auto"/>
          </w:divBdr>
        </w:div>
        <w:div w:id="159154036">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1451759">
      <w:bodyDiv w:val="1"/>
      <w:marLeft w:val="0"/>
      <w:marRight w:val="0"/>
      <w:marTop w:val="0"/>
      <w:marBottom w:val="0"/>
      <w:divBdr>
        <w:top w:val="none" w:sz="0" w:space="0" w:color="auto"/>
        <w:left w:val="none" w:sz="0" w:space="0" w:color="auto"/>
        <w:bottom w:val="none" w:sz="0" w:space="0" w:color="auto"/>
        <w:right w:val="none" w:sz="0" w:space="0" w:color="auto"/>
      </w:divBdr>
      <w:divsChild>
        <w:div w:id="144705197">
          <w:marLeft w:val="576"/>
          <w:marRight w:val="0"/>
          <w:marTop w:val="120"/>
          <w:marBottom w:val="0"/>
          <w:divBdr>
            <w:top w:val="none" w:sz="0" w:space="0" w:color="auto"/>
            <w:left w:val="none" w:sz="0" w:space="0" w:color="auto"/>
            <w:bottom w:val="none" w:sz="0" w:space="0" w:color="auto"/>
            <w:right w:val="none" w:sz="0" w:space="0" w:color="auto"/>
          </w:divBdr>
        </w:div>
        <w:div w:id="377053839">
          <w:marLeft w:val="576"/>
          <w:marRight w:val="0"/>
          <w:marTop w:val="120"/>
          <w:marBottom w:val="0"/>
          <w:divBdr>
            <w:top w:val="none" w:sz="0" w:space="0" w:color="auto"/>
            <w:left w:val="none" w:sz="0" w:space="0" w:color="auto"/>
            <w:bottom w:val="none" w:sz="0" w:space="0" w:color="auto"/>
            <w:right w:val="none" w:sz="0" w:space="0" w:color="auto"/>
          </w:divBdr>
        </w:div>
        <w:div w:id="726030977">
          <w:marLeft w:val="576"/>
          <w:marRight w:val="0"/>
          <w:marTop w:val="120"/>
          <w:marBottom w:val="0"/>
          <w:divBdr>
            <w:top w:val="none" w:sz="0" w:space="0" w:color="auto"/>
            <w:left w:val="none" w:sz="0" w:space="0" w:color="auto"/>
            <w:bottom w:val="none" w:sz="0" w:space="0" w:color="auto"/>
            <w:right w:val="none" w:sz="0" w:space="0" w:color="auto"/>
          </w:divBdr>
        </w:div>
        <w:div w:id="49114196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2147881">
      <w:bodyDiv w:val="1"/>
      <w:marLeft w:val="0"/>
      <w:marRight w:val="0"/>
      <w:marTop w:val="0"/>
      <w:marBottom w:val="0"/>
      <w:divBdr>
        <w:top w:val="none" w:sz="0" w:space="0" w:color="auto"/>
        <w:left w:val="none" w:sz="0" w:space="0" w:color="auto"/>
        <w:bottom w:val="none" w:sz="0" w:space="0" w:color="auto"/>
        <w:right w:val="none" w:sz="0" w:space="0" w:color="auto"/>
      </w:divBdr>
      <w:divsChild>
        <w:div w:id="1789086708">
          <w:marLeft w:val="576"/>
          <w:marRight w:val="0"/>
          <w:marTop w:val="120"/>
          <w:marBottom w:val="0"/>
          <w:divBdr>
            <w:top w:val="none" w:sz="0" w:space="0" w:color="auto"/>
            <w:left w:val="none" w:sz="0" w:space="0" w:color="auto"/>
            <w:bottom w:val="none" w:sz="0" w:space="0" w:color="auto"/>
            <w:right w:val="none" w:sz="0" w:space="0" w:color="auto"/>
          </w:divBdr>
        </w:div>
        <w:div w:id="1566211467">
          <w:marLeft w:val="576"/>
          <w:marRight w:val="0"/>
          <w:marTop w:val="120"/>
          <w:marBottom w:val="0"/>
          <w:divBdr>
            <w:top w:val="none" w:sz="0" w:space="0" w:color="auto"/>
            <w:left w:val="none" w:sz="0" w:space="0" w:color="auto"/>
            <w:bottom w:val="none" w:sz="0" w:space="0" w:color="auto"/>
            <w:right w:val="none" w:sz="0" w:space="0" w:color="auto"/>
          </w:divBdr>
        </w:div>
        <w:div w:id="1866016263">
          <w:marLeft w:val="576"/>
          <w:marRight w:val="0"/>
          <w:marTop w:val="120"/>
          <w:marBottom w:val="0"/>
          <w:divBdr>
            <w:top w:val="none" w:sz="0" w:space="0" w:color="auto"/>
            <w:left w:val="none" w:sz="0" w:space="0" w:color="auto"/>
            <w:bottom w:val="none" w:sz="0" w:space="0" w:color="auto"/>
            <w:right w:val="none" w:sz="0" w:space="0" w:color="auto"/>
          </w:divBdr>
        </w:div>
        <w:div w:id="1923682177">
          <w:marLeft w:val="576"/>
          <w:marRight w:val="0"/>
          <w:marTop w:val="120"/>
          <w:marBottom w:val="0"/>
          <w:divBdr>
            <w:top w:val="none" w:sz="0" w:space="0" w:color="auto"/>
            <w:left w:val="none" w:sz="0" w:space="0" w:color="auto"/>
            <w:bottom w:val="none" w:sz="0" w:space="0" w:color="auto"/>
            <w:right w:val="none" w:sz="0" w:space="0" w:color="auto"/>
          </w:divBdr>
        </w:div>
        <w:div w:id="172910548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6067706">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14</Pages>
  <Words>1832</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2021-08-27T12:10:00Z</dcterms:modified>
</cp:coreProperties>
</file>