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94459" w:rsidRDefault="00845895" w:rsidP="00594459">
      <w:pPr>
        <w:spacing w:line="360" w:lineRule="auto"/>
        <w:jc w:val="center"/>
        <w:rPr>
          <w:rFonts w:ascii="Times New Roman" w:hAnsi="Times New Roman" w:cs="Times New Roman"/>
          <w:b/>
          <w:sz w:val="48"/>
          <w:szCs w:val="48"/>
        </w:rPr>
      </w:pPr>
    </w:p>
    <w:p w:rsidR="00CF3C1B" w:rsidRPr="00594459" w:rsidRDefault="00594459" w:rsidP="00594459">
      <w:pPr>
        <w:spacing w:line="360" w:lineRule="auto"/>
        <w:jc w:val="center"/>
        <w:rPr>
          <w:rFonts w:ascii="Times New Roman" w:hAnsi="Times New Roman" w:cs="Times New Roman"/>
          <w:b/>
          <w:sz w:val="48"/>
          <w:szCs w:val="48"/>
        </w:rPr>
      </w:pPr>
      <w:r w:rsidRPr="00594459">
        <w:rPr>
          <w:rFonts w:ascii="Times New Roman" w:hAnsi="Times New Roman" w:cs="Times New Roman"/>
          <w:b/>
          <w:sz w:val="48"/>
          <w:szCs w:val="48"/>
        </w:rPr>
        <w:t>Energy-Efficient and Reliable IoT Access without Radio Resource Reservation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94459" w:rsidRDefault="00594459" w:rsidP="00E53AA4">
      <w:pPr>
        <w:spacing w:line="360" w:lineRule="auto"/>
        <w:jc w:val="both"/>
        <w:rPr>
          <w:rFonts w:ascii="Times New Roman" w:hAnsi="Times New Roman" w:cs="Times New Roman"/>
          <w:b/>
          <w:sz w:val="44"/>
          <w:szCs w:val="44"/>
        </w:rPr>
      </w:pPr>
    </w:p>
    <w:p w:rsidR="00594459" w:rsidRDefault="0059445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B1D41" w:rsidRPr="000B1D41" w:rsidRDefault="000B1D41" w:rsidP="000B1D4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B1D41">
        <w:rPr>
          <w:rFonts w:ascii="Times New Roman" w:eastAsia="Times New Roman" w:hAnsi="Times New Roman" w:cs="Times New Roman"/>
          <w:color w:val="333333"/>
          <w:sz w:val="32"/>
          <w:szCs w:val="32"/>
          <w:lang w:val="en-IN" w:eastAsia="en-IN" w:bidi="ta-IN"/>
        </w:rPr>
        <w:t>One of the major challenges for Internet-of-Things applications is that the existing cellular technologies do not support the uplink IoT traffic in an energy-efficient manner. There are two principal ways for serving the uplink IoT traffic: grant-based (i.e., scheduled) and grant-free (i.e., random access). Grant-based access provides fine-grained control of reliability and latency at the cost of energy consumption required for signaling. Grant-free access removes the signaling overhead at the cost of looser control of performance in terms of reliability and latency. However, a precise analysis of reliability, latency and energy performance of grant-free access (GFA) is largely missing. This article focuses on a GFA-type protocol, in which a device transmits several packet replicas, asynchronously with respect to the other devices. Using stochastic geometry, we derive closed-form expressions for reliability, delay, and energy consumption, which can be used to identify the tradeoffs among these performance parameters. In order to improve the performance of the protocol, we develop a receiver that leverages the random timing and frequency offsets among the devices in order to facilitate resolution of collisions. This is complemented by a per-device adaptive scheme that controls the number of transmitted replicas. The evaluation confirms the validity of the analysis and the potential of the proposed solution, identifying operating regions in which GFA outperforms the grant-based access.</w:t>
      </w:r>
    </w:p>
    <w:p w:rsidR="00491919" w:rsidRDefault="001C4FD2" w:rsidP="000B1D4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86001" w:rsidRDefault="00890B5D" w:rsidP="003860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6001">
        <w:rPr>
          <w:rFonts w:ascii="Times New Roman" w:hAnsi="Times New Roman" w:cs="Times New Roman"/>
          <w:sz w:val="32"/>
          <w:szCs w:val="32"/>
          <w:lang w:val="en-IN"/>
        </w:rPr>
        <w:t>The ultimate goal of IoT is to enhance existing services and applications or deliver new ones to users, with little to no human intervention.</w:t>
      </w:r>
    </w:p>
    <w:p w:rsidR="00000000" w:rsidRPr="00386001" w:rsidRDefault="00890B5D" w:rsidP="003860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6001">
        <w:rPr>
          <w:rFonts w:ascii="Times New Roman" w:hAnsi="Times New Roman" w:cs="Times New Roman"/>
          <w:sz w:val="32"/>
          <w:szCs w:val="32"/>
          <w:lang w:val="en-IN"/>
        </w:rPr>
        <w:t>Cellular LPWANs extend the existing cellular sy</w:t>
      </w:r>
      <w:r w:rsidRPr="00386001">
        <w:rPr>
          <w:rFonts w:ascii="Times New Roman" w:hAnsi="Times New Roman" w:cs="Times New Roman"/>
          <w:sz w:val="32"/>
          <w:szCs w:val="32"/>
          <w:lang w:val="en-IN"/>
        </w:rPr>
        <w:t>stems, allowing the reuse of the same architecture for long-range IoT scenarios and applications, and in particular mMTC.</w:t>
      </w:r>
    </w:p>
    <w:p w:rsidR="00000000" w:rsidRPr="00386001" w:rsidRDefault="00890B5D" w:rsidP="003860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6001">
        <w:rPr>
          <w:rFonts w:ascii="Times New Roman" w:hAnsi="Times New Roman" w:cs="Times New Roman"/>
          <w:sz w:val="32"/>
          <w:szCs w:val="32"/>
          <w:lang w:val="en-IN"/>
        </w:rPr>
        <w:t>It is built upon GSM networks and existing cellular base stations with a simple software update.</w:t>
      </w:r>
    </w:p>
    <w:p w:rsidR="00000000" w:rsidRPr="00386001" w:rsidRDefault="00890B5D" w:rsidP="003860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86001">
        <w:rPr>
          <w:rFonts w:ascii="Times New Roman" w:hAnsi="Times New Roman" w:cs="Times New Roman"/>
          <w:sz w:val="32"/>
          <w:szCs w:val="32"/>
          <w:lang w:val="en-IN"/>
        </w:rPr>
        <w:t xml:space="preserve">Any new </w:t>
      </w:r>
      <w:r w:rsidRPr="00386001">
        <w:rPr>
          <w:rFonts w:ascii="Times New Roman" w:hAnsi="Times New Roman" w:cs="Times New Roman"/>
          <w:sz w:val="32"/>
          <w:szCs w:val="32"/>
          <w:lang w:val="en-IN"/>
        </w:rPr>
        <w:t>device that has performed an INQUIRY procedure to enter the existing scatternet is absorbed in the scatternet.</w:t>
      </w:r>
    </w:p>
    <w:p w:rsidR="00386001" w:rsidRDefault="006A300A" w:rsidP="00386001">
      <w:pPr>
        <w:pStyle w:val="ListParagraph"/>
        <w:numPr>
          <w:ilvl w:val="2"/>
          <w:numId w:val="41"/>
        </w:numPr>
        <w:spacing w:line="360" w:lineRule="auto"/>
        <w:jc w:val="both"/>
        <w:rPr>
          <w:rFonts w:ascii="Times New Roman" w:hAnsi="Times New Roman" w:cs="Times New Roman"/>
          <w:b/>
          <w:sz w:val="36"/>
          <w:szCs w:val="36"/>
        </w:rPr>
      </w:pPr>
      <w:r w:rsidRPr="00386001">
        <w:rPr>
          <w:rFonts w:ascii="Times New Roman" w:hAnsi="Times New Roman" w:cs="Times New Roman"/>
          <w:b/>
          <w:sz w:val="36"/>
          <w:szCs w:val="36"/>
        </w:rPr>
        <w:t xml:space="preserve">DRAWBACKS OF EXISTING SYSTEM </w:t>
      </w:r>
      <w:r w:rsidR="00BB3207" w:rsidRPr="00386001">
        <w:rPr>
          <w:rFonts w:ascii="Times New Roman" w:hAnsi="Times New Roman" w:cs="Times New Roman"/>
          <w:b/>
          <w:sz w:val="36"/>
          <w:szCs w:val="36"/>
        </w:rPr>
        <w:t xml:space="preserve"> : </w:t>
      </w:r>
    </w:p>
    <w:p w:rsidR="00000000" w:rsidRPr="00386001" w:rsidRDefault="00890B5D" w:rsidP="00386001">
      <w:pPr>
        <w:pStyle w:val="ListParagraph"/>
        <w:numPr>
          <w:ilvl w:val="0"/>
          <w:numId w:val="47"/>
        </w:numPr>
        <w:spacing w:line="360" w:lineRule="auto"/>
        <w:jc w:val="both"/>
        <w:rPr>
          <w:rFonts w:ascii="Times New Roman" w:hAnsi="Times New Roman" w:cs="Times New Roman"/>
          <w:b/>
          <w:sz w:val="36"/>
          <w:szCs w:val="36"/>
        </w:rPr>
      </w:pPr>
      <w:r w:rsidRPr="00386001">
        <w:rPr>
          <w:rFonts w:ascii="Times New Roman" w:hAnsi="Times New Roman" w:cs="Times New Roman"/>
          <w:bCs/>
          <w:sz w:val="32"/>
          <w:szCs w:val="32"/>
          <w:lang w:val="en-IN"/>
        </w:rPr>
        <w:t xml:space="preserve">Capacity of wireless channels shared by many users with finite block-lengths and without scheduling, was partially investigated in; however, it </w:t>
      </w:r>
      <w:r w:rsidRPr="00386001">
        <w:rPr>
          <w:rFonts w:ascii="Times New Roman" w:hAnsi="Times New Roman" w:cs="Times New Roman"/>
          <w:bCs/>
          <w:sz w:val="32"/>
          <w:szCs w:val="32"/>
          <w:lang w:val="en-IN"/>
        </w:rPr>
        <w:t xml:space="preserve">is still an open problem, especially when it comes to time-frequency overlapping packet transmissions. </w:t>
      </w:r>
    </w:p>
    <w:p w:rsidR="00000000" w:rsidRPr="00386001" w:rsidRDefault="00890B5D" w:rsidP="00386001">
      <w:pPr>
        <w:numPr>
          <w:ilvl w:val="0"/>
          <w:numId w:val="45"/>
        </w:numPr>
        <w:spacing w:line="360" w:lineRule="auto"/>
        <w:jc w:val="both"/>
        <w:rPr>
          <w:rFonts w:ascii="Times New Roman" w:hAnsi="Times New Roman" w:cs="Times New Roman"/>
          <w:bCs/>
          <w:sz w:val="32"/>
          <w:szCs w:val="32"/>
          <w:lang w:val="en-IN"/>
        </w:rPr>
      </w:pPr>
      <w:r w:rsidRPr="00386001">
        <w:rPr>
          <w:rFonts w:ascii="Times New Roman" w:hAnsi="Times New Roman" w:cs="Times New Roman"/>
          <w:bCs/>
          <w:sz w:val="32"/>
          <w:szCs w:val="32"/>
          <w:lang w:val="en-IN"/>
        </w:rPr>
        <w:t>In the context of the 3GPP standardization, the set of radio resources that should be allocated to GFA communications, the choice of modulation and cod</w:t>
      </w:r>
      <w:r w:rsidRPr="00386001">
        <w:rPr>
          <w:rFonts w:ascii="Times New Roman" w:hAnsi="Times New Roman" w:cs="Times New Roman"/>
          <w:bCs/>
          <w:sz w:val="32"/>
          <w:szCs w:val="32"/>
          <w:lang w:val="en-IN"/>
        </w:rPr>
        <w:t>ing scheme, and the impact on grantbased communications were investigated in.</w:t>
      </w:r>
    </w:p>
    <w:p w:rsidR="00000000" w:rsidRPr="00386001" w:rsidRDefault="00890B5D" w:rsidP="00386001">
      <w:pPr>
        <w:numPr>
          <w:ilvl w:val="0"/>
          <w:numId w:val="45"/>
        </w:numPr>
        <w:spacing w:line="360" w:lineRule="auto"/>
        <w:jc w:val="both"/>
        <w:rPr>
          <w:rFonts w:ascii="Times New Roman" w:hAnsi="Times New Roman" w:cs="Times New Roman"/>
          <w:bCs/>
          <w:sz w:val="32"/>
          <w:szCs w:val="32"/>
          <w:lang w:val="en-IN"/>
        </w:rPr>
      </w:pPr>
      <w:r w:rsidRPr="00386001">
        <w:rPr>
          <w:rFonts w:ascii="Times New Roman" w:hAnsi="Times New Roman" w:cs="Times New Roman"/>
          <w:bCs/>
          <w:sz w:val="32"/>
          <w:szCs w:val="32"/>
          <w:lang w:val="en-IN"/>
        </w:rPr>
        <w:lastRenderedPageBreak/>
        <w:t xml:space="preserve">The reliability and scalability analysis of GFA are also active study items in the 3GPP standardization; the main focus is on assessing the impact of the number of devices that </w:t>
      </w:r>
      <w:r w:rsidRPr="00386001">
        <w:rPr>
          <w:rFonts w:ascii="Times New Roman" w:hAnsi="Times New Roman" w:cs="Times New Roman"/>
          <w:bCs/>
          <w:sz w:val="32"/>
          <w:szCs w:val="32"/>
          <w:lang w:val="en-IN"/>
        </w:rPr>
        <w:t>share radio resources dedicated to grant-free communications on reliability.</w:t>
      </w:r>
    </w:p>
    <w:p w:rsidR="000B33B0" w:rsidRPr="00386001" w:rsidRDefault="006A300A" w:rsidP="00386001">
      <w:pPr>
        <w:spacing w:line="360" w:lineRule="auto"/>
        <w:jc w:val="both"/>
        <w:rPr>
          <w:rFonts w:ascii="Times New Roman" w:eastAsia="Times New Roman" w:hAnsi="Times New Roman" w:cs="Times New Roman"/>
          <w:sz w:val="32"/>
          <w:szCs w:val="32"/>
        </w:rPr>
      </w:pPr>
      <w:r w:rsidRPr="00386001">
        <w:rPr>
          <w:rFonts w:ascii="Times New Roman" w:hAnsi="Times New Roman" w:cs="Times New Roman"/>
          <w:b/>
          <w:sz w:val="36"/>
          <w:szCs w:val="36"/>
        </w:rPr>
        <w:t xml:space="preserve">2.2. PROPOSED </w:t>
      </w:r>
      <w:r w:rsidR="000B33B0" w:rsidRPr="00386001">
        <w:rPr>
          <w:rFonts w:ascii="Times New Roman" w:hAnsi="Times New Roman" w:cs="Times New Roman"/>
          <w:b/>
          <w:sz w:val="36"/>
          <w:szCs w:val="36"/>
        </w:rPr>
        <w:t xml:space="preserve">SYSTEM </w:t>
      </w:r>
    </w:p>
    <w:p w:rsidR="00386001" w:rsidRPr="00386001" w:rsidRDefault="00386001" w:rsidP="00386001">
      <w:pPr>
        <w:pStyle w:val="NormalWeb"/>
        <w:numPr>
          <w:ilvl w:val="0"/>
          <w:numId w:val="47"/>
        </w:numPr>
        <w:spacing w:before="0" w:beforeAutospacing="0" w:after="0" w:afterAutospacing="0" w:line="360" w:lineRule="auto"/>
        <w:ind w:left="284" w:hanging="284"/>
        <w:jc w:val="both"/>
        <w:rPr>
          <w:sz w:val="32"/>
          <w:szCs w:val="32"/>
        </w:rPr>
      </w:pPr>
      <w:r w:rsidRPr="00386001">
        <w:rPr>
          <w:sz w:val="32"/>
          <w:szCs w:val="32"/>
        </w:rPr>
        <w:t xml:space="preserve">This paper presents an extensive literature survey on the methodologies and approaches used and proposed to increase the energy efficiency and thus lower the power consumption of the most widespread IoT technologies. </w:t>
      </w:r>
    </w:p>
    <w:p w:rsidR="00386001" w:rsidRPr="00386001" w:rsidRDefault="00386001" w:rsidP="00386001">
      <w:pPr>
        <w:pStyle w:val="NormalWeb"/>
        <w:numPr>
          <w:ilvl w:val="0"/>
          <w:numId w:val="47"/>
        </w:numPr>
        <w:spacing w:before="0" w:beforeAutospacing="0" w:after="0" w:afterAutospacing="0" w:line="360" w:lineRule="auto"/>
        <w:ind w:left="284" w:hanging="284"/>
        <w:jc w:val="both"/>
        <w:rPr>
          <w:sz w:val="32"/>
          <w:szCs w:val="32"/>
        </w:rPr>
      </w:pPr>
      <w:r w:rsidRPr="00386001">
        <w:rPr>
          <w:sz w:val="32"/>
          <w:szCs w:val="32"/>
        </w:rPr>
        <w:t>Moreover, the paper also provides a deep analysis of proposed energy and power consumption models for the same technologies, and attempts to create a classification of said methods.</w:t>
      </w:r>
    </w:p>
    <w:p w:rsidR="00386001" w:rsidRPr="00386001" w:rsidRDefault="00386001" w:rsidP="00386001">
      <w:pPr>
        <w:pStyle w:val="NormalWeb"/>
        <w:numPr>
          <w:ilvl w:val="0"/>
          <w:numId w:val="47"/>
        </w:numPr>
        <w:spacing w:before="0" w:beforeAutospacing="0" w:after="0" w:afterAutospacing="0" w:line="360" w:lineRule="auto"/>
        <w:ind w:left="284" w:hanging="284"/>
        <w:jc w:val="both"/>
        <w:rPr>
          <w:sz w:val="32"/>
          <w:szCs w:val="32"/>
        </w:rPr>
      </w:pPr>
      <w:r w:rsidRPr="00386001">
        <w:rPr>
          <w:sz w:val="32"/>
          <w:szCs w:val="32"/>
        </w:rPr>
        <w:t>The proposed model was tested by introducing the PSM in the NS3-based NB-IoT simulator provided in, which is an adaptation of the LTE physical layer to NB-IoT.</w:t>
      </w:r>
    </w:p>
    <w:p w:rsidR="00BB3207" w:rsidRDefault="00386001" w:rsidP="00386001">
      <w:pPr>
        <w:pStyle w:val="NormalWeb"/>
        <w:numPr>
          <w:ilvl w:val="0"/>
          <w:numId w:val="47"/>
        </w:numPr>
        <w:spacing w:before="0" w:beforeAutospacing="0" w:after="0" w:afterAutospacing="0" w:line="360" w:lineRule="auto"/>
        <w:ind w:left="284" w:hanging="284"/>
        <w:jc w:val="both"/>
        <w:rPr>
          <w:sz w:val="32"/>
          <w:szCs w:val="32"/>
        </w:rPr>
      </w:pPr>
      <w:r w:rsidRPr="00386001">
        <w:rPr>
          <w:sz w:val="32"/>
          <w:szCs w:val="32"/>
        </w:rPr>
        <w:t>A NB-IoT power consumption model was also proposed in, aiming at estimating device battery lifetime.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86001" w:rsidRDefault="00890B5D" w:rsidP="0038600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6001">
        <w:rPr>
          <w:rFonts w:ascii="Times New Roman" w:eastAsia="AdvGulliv-R" w:hAnsi="Times New Roman" w:cs="Times New Roman"/>
          <w:bCs/>
          <w:sz w:val="32"/>
          <w:szCs w:val="32"/>
          <w:lang w:val="en-IN"/>
        </w:rPr>
        <w:t>We develop an analytical approach to assess the reliability, delay and energy efficiency performance o</w:t>
      </w:r>
      <w:r w:rsidRPr="00386001">
        <w:rPr>
          <w:rFonts w:ascii="Times New Roman" w:eastAsia="AdvGulliv-R" w:hAnsi="Times New Roman" w:cs="Times New Roman"/>
          <w:bCs/>
          <w:sz w:val="32"/>
          <w:szCs w:val="32"/>
          <w:lang w:val="en-IN"/>
        </w:rPr>
        <w:t>f GFA in such scenarios, assuming that devices are able to send multiple replicas of their data packets.</w:t>
      </w:r>
    </w:p>
    <w:p w:rsidR="00000000" w:rsidRPr="00386001" w:rsidRDefault="00890B5D" w:rsidP="0038600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6001">
        <w:rPr>
          <w:rFonts w:ascii="Times New Roman" w:eastAsia="AdvGulliv-R" w:hAnsi="Times New Roman" w:cs="Times New Roman"/>
          <w:bCs/>
          <w:sz w:val="32"/>
          <w:szCs w:val="32"/>
          <w:lang w:val="en-IN"/>
        </w:rPr>
        <w:lastRenderedPageBreak/>
        <w:t xml:space="preserve">In, performance of a massive grant-free network was investigated and approximate expressions for outage probability and throughput were derived. </w:t>
      </w:r>
    </w:p>
    <w:p w:rsidR="00000000" w:rsidRPr="00386001" w:rsidRDefault="00890B5D" w:rsidP="0038600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6001">
        <w:rPr>
          <w:rFonts w:ascii="Times New Roman" w:eastAsia="AdvGulliv-R" w:hAnsi="Times New Roman" w:cs="Times New Roman"/>
          <w:bCs/>
          <w:sz w:val="32"/>
          <w:szCs w:val="32"/>
          <w:lang w:val="en-IN"/>
        </w:rPr>
        <w:t>In,</w:t>
      </w:r>
      <w:r w:rsidRPr="00386001">
        <w:rPr>
          <w:rFonts w:ascii="Times New Roman" w:eastAsia="AdvGulliv-R" w:hAnsi="Times New Roman" w:cs="Times New Roman"/>
          <w:bCs/>
          <w:sz w:val="32"/>
          <w:szCs w:val="32"/>
          <w:lang w:val="en-IN"/>
        </w:rPr>
        <w:t xml:space="preserve"> an advanced compressed sensing technique for massive GFA connectivity was proposed, and its performance in reliable detection of simultaneously active devices investigated.</w:t>
      </w:r>
    </w:p>
    <w:p w:rsidR="00000000" w:rsidRPr="00386001" w:rsidRDefault="00890B5D" w:rsidP="0038600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86001">
        <w:rPr>
          <w:rFonts w:ascii="Times New Roman" w:eastAsia="AdvGulliv-R" w:hAnsi="Times New Roman" w:cs="Times New Roman"/>
          <w:bCs/>
          <w:sz w:val="32"/>
          <w:szCs w:val="32"/>
          <w:lang w:val="en-IN"/>
        </w:rPr>
        <w:t>In order to optimize the performance of such hybrid access solutions in future ne</w:t>
      </w:r>
      <w:r w:rsidRPr="00386001">
        <w:rPr>
          <w:rFonts w:ascii="Times New Roman" w:eastAsia="AdvGulliv-R" w:hAnsi="Times New Roman" w:cs="Times New Roman"/>
          <w:bCs/>
          <w:sz w:val="32"/>
          <w:szCs w:val="32"/>
          <w:lang w:val="en-IN"/>
        </w:rPr>
        <w:t>tworks, the load regions where one access mode outperforms the other should be known.</w:t>
      </w:r>
      <w:r w:rsidRPr="0038600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54667" w:rsidRDefault="00386001"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Narrowband internet of things: Evolutions, technologies, and open issues</w:t>
            </w:r>
          </w:p>
        </w:tc>
        <w:tc>
          <w:tcPr>
            <w:tcW w:w="3192" w:type="dxa"/>
          </w:tcPr>
          <w:p w:rsidR="000C407B" w:rsidRPr="00454667" w:rsidRDefault="00386001" w:rsidP="00386001">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 xml:space="preserve">J. Xu, J. Yao, L. Wang, Z. Ming, K. Wu, and L. Chen, </w:t>
            </w:r>
          </w:p>
        </w:tc>
        <w:tc>
          <w:tcPr>
            <w:tcW w:w="3192" w:type="dxa"/>
          </w:tcPr>
          <w:p w:rsidR="000C407B" w:rsidRPr="00454667" w:rsidRDefault="00386001"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color w:val="333333"/>
                <w:sz w:val="28"/>
                <w:szCs w:val="28"/>
                <w:shd w:val="clear" w:color="auto" w:fill="FFFFFF"/>
              </w:rPr>
              <w:t>In this backdrop, it has been extensively regarded as one of the most promising technologies towards the IoT landscape.</w:t>
            </w:r>
          </w:p>
        </w:tc>
      </w:tr>
      <w:tr w:rsidR="000C407B" w:rsidTr="000C407B">
        <w:trPr>
          <w:trHeight w:val="2942"/>
        </w:trPr>
        <w:tc>
          <w:tcPr>
            <w:tcW w:w="3192" w:type="dxa"/>
          </w:tcPr>
          <w:p w:rsidR="000C407B" w:rsidRPr="00454667" w:rsidRDefault="00386001"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Deliverable d2. 1: Scenarios, KPIs, use cases and baseline system evaluation</w:t>
            </w:r>
          </w:p>
        </w:tc>
        <w:tc>
          <w:tcPr>
            <w:tcW w:w="3192" w:type="dxa"/>
          </w:tcPr>
          <w:p w:rsidR="000C407B" w:rsidRPr="00454667" w:rsidRDefault="00386001" w:rsidP="00386001">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 xml:space="preserve">J. Lorca, B. Solana, R. Barco et al., </w:t>
            </w:r>
          </w:p>
        </w:tc>
        <w:tc>
          <w:tcPr>
            <w:tcW w:w="3192" w:type="dxa"/>
          </w:tcPr>
          <w:p w:rsidR="000C407B" w:rsidRPr="00454667" w:rsidRDefault="00386001"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A significant number of use cases involve very stringent requirements, particularly in terms of high reliability and low latency.</w:t>
            </w:r>
          </w:p>
        </w:tc>
      </w:tr>
      <w:tr w:rsidR="000C407B" w:rsidTr="000C407B">
        <w:tc>
          <w:tcPr>
            <w:tcW w:w="3192" w:type="dxa"/>
          </w:tcPr>
          <w:p w:rsidR="000C407B" w:rsidRPr="00454667" w:rsidRDefault="00386001"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 xml:space="preserve">QoS-guarantee resource allocation for multibeam satellite industrial internet </w:t>
            </w:r>
            <w:r w:rsidRPr="00454667">
              <w:rPr>
                <w:rFonts w:ascii="Times New Roman" w:hAnsi="Times New Roman" w:cs="Times New Roman"/>
                <w:sz w:val="28"/>
                <w:szCs w:val="28"/>
              </w:rPr>
              <w:lastRenderedPageBreak/>
              <w:t>of things with NOMA</w:t>
            </w:r>
          </w:p>
        </w:tc>
        <w:tc>
          <w:tcPr>
            <w:tcW w:w="3192" w:type="dxa"/>
          </w:tcPr>
          <w:p w:rsidR="000C407B" w:rsidRPr="00454667" w:rsidRDefault="00386001" w:rsidP="00386001">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lastRenderedPageBreak/>
              <w:t xml:space="preserve">X. Liu, X. Zhai, W. Lu, and C. Wu, </w:t>
            </w:r>
          </w:p>
        </w:tc>
        <w:tc>
          <w:tcPr>
            <w:tcW w:w="3192" w:type="dxa"/>
          </w:tcPr>
          <w:p w:rsidR="000C407B" w:rsidRPr="00454667" w:rsidRDefault="00386001"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color w:val="333333"/>
                <w:sz w:val="28"/>
                <w:szCs w:val="28"/>
                <w:shd w:val="clear" w:color="auto" w:fill="FFFFFF"/>
              </w:rPr>
              <w:t xml:space="preserve">The traditional ground industrial internet of things (IIoT) cannot </w:t>
            </w:r>
            <w:r w:rsidRPr="00454667">
              <w:rPr>
                <w:rFonts w:ascii="Times New Roman" w:hAnsi="Times New Roman" w:cs="Times New Roman"/>
                <w:color w:val="333333"/>
                <w:sz w:val="28"/>
                <w:szCs w:val="28"/>
                <w:shd w:val="clear" w:color="auto" w:fill="FFFFFF"/>
              </w:rPr>
              <w:lastRenderedPageBreak/>
              <w:t>supply wireless interconnections anywhere due to the small-scale communication coverage.</w:t>
            </w:r>
          </w:p>
        </w:tc>
      </w:tr>
      <w:tr w:rsidR="000C407B" w:rsidTr="000C407B">
        <w:tc>
          <w:tcPr>
            <w:tcW w:w="3192" w:type="dxa"/>
          </w:tcPr>
          <w:p w:rsidR="000C407B" w:rsidRPr="00454667" w:rsidRDefault="00454667"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lastRenderedPageBreak/>
              <w:t>Lifetime-aware scheduling and power control for M2M communications in LTE</w:t>
            </w:r>
          </w:p>
        </w:tc>
        <w:tc>
          <w:tcPr>
            <w:tcW w:w="3192" w:type="dxa"/>
          </w:tcPr>
          <w:p w:rsidR="000C407B" w:rsidRPr="00454667" w:rsidRDefault="00454667" w:rsidP="00454667">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sz w:val="28"/>
                <w:szCs w:val="28"/>
              </w:rPr>
              <w:t xml:space="preserve">A. Azari et al., </w:t>
            </w:r>
          </w:p>
        </w:tc>
        <w:tc>
          <w:tcPr>
            <w:tcW w:w="3192" w:type="dxa"/>
          </w:tcPr>
          <w:p w:rsidR="000C407B" w:rsidRPr="00454667" w:rsidRDefault="00454667" w:rsidP="00E53AA4">
            <w:pPr>
              <w:tabs>
                <w:tab w:val="left" w:pos="720"/>
              </w:tabs>
              <w:spacing w:after="100" w:line="360" w:lineRule="auto"/>
              <w:jc w:val="both"/>
              <w:rPr>
                <w:rFonts w:ascii="Times New Roman" w:hAnsi="Times New Roman" w:cs="Times New Roman"/>
                <w:sz w:val="28"/>
                <w:szCs w:val="28"/>
              </w:rPr>
            </w:pPr>
            <w:r w:rsidRPr="00454667">
              <w:rPr>
                <w:rFonts w:ascii="Times New Roman" w:hAnsi="Times New Roman" w:cs="Times New Roman"/>
                <w:color w:val="333333"/>
                <w:sz w:val="28"/>
                <w:szCs w:val="28"/>
                <w:shd w:val="clear" w:color="auto" w:fill="FFFFFF"/>
              </w:rPr>
              <w:t>In this paper the scheduling and transmit power control are investigated to minimize the energy consumption for battery-driven devices deployed in LTE networks.</w:t>
            </w:r>
          </w:p>
        </w:tc>
      </w:tr>
    </w:tbl>
    <w:p w:rsidR="008757BE" w:rsidRDefault="008757B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8757BE" w:rsidRDefault="008757BE" w:rsidP="00E53AA4">
      <w:pPr>
        <w:spacing w:line="360" w:lineRule="auto"/>
        <w:jc w:val="both"/>
        <w:rPr>
          <w:rFonts w:ascii="Times New Roman" w:hAnsi="Times New Roman" w:cs="Times New Roman"/>
          <w:b/>
          <w:iCs/>
          <w:sz w:val="28"/>
          <w:szCs w:val="28"/>
        </w:rPr>
      </w:pPr>
    </w:p>
    <w:p w:rsidR="008757BE" w:rsidRDefault="008757BE"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757BE" w:rsidRPr="008757BE" w:rsidRDefault="008757BE" w:rsidP="008757BE">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757BE" w:rsidP="00E53AA4">
      <w:pPr>
        <w:spacing w:after="0" w:line="360" w:lineRule="auto"/>
        <w:jc w:val="both"/>
        <w:rPr>
          <w:rFonts w:ascii="Times New Roman" w:hAnsi="Times New Roman" w:cs="Times New Roman"/>
        </w:rPr>
      </w:pPr>
      <w:r w:rsidRPr="008757BE">
        <w:rPr>
          <w:rFonts w:ascii="Times New Roman" w:hAnsi="Times New Roman" w:cs="Times New Roman"/>
        </w:rPr>
        <w:drawing>
          <wp:inline distT="0" distB="0" distL="0" distR="0">
            <wp:extent cx="5938599" cy="5505450"/>
            <wp:effectExtent l="19050" t="0" r="5001"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510086"/>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8757BE" w:rsidRDefault="00D81E16" w:rsidP="008757BE">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D5530" w:rsidRPr="00CD5530" w:rsidRDefault="00CD5530" w:rsidP="00CD5530">
      <w:pPr>
        <w:pStyle w:val="BodyText"/>
        <w:rPr>
          <w:bCs/>
          <w:iCs/>
          <w:sz w:val="32"/>
          <w:szCs w:val="32"/>
          <w:lang w:val="en-IN"/>
        </w:rPr>
      </w:pPr>
      <w:r w:rsidRPr="00CD5530">
        <w:rPr>
          <w:bCs/>
          <w:iCs/>
          <w:sz w:val="32"/>
          <w:szCs w:val="32"/>
          <w:lang w:val="en-IN"/>
        </w:rPr>
        <w:t xml:space="preserve">     In this work, we investigated grant-based and grant-free radio access schemes for uplinkoriented IoT communications. Closed-form expressions of the key performance indicators have been derived for GFA, which help to identify the regions of the traffic load in which grant based/free access performs favorably. The derived results have been subsequently employed in identifying the switchover traffic load values up to which, GFA outperforms the other solutions. A case study has been also introduced to investigate the potential of the proposed solutions. The performance evaluation results show significant advantages of the approach based on GFA both in terms of battery lifetime and latency in low to medium traffic load regimes. The results further indicate that the GFA augmented by replica control can outperform the benchmark schemes in a wide range of traffic loads. These promising results promote integration of the GFA in future cellular networks, along with the legacy grant-based schemes used in the existing LTE and NB-IoT systems.</w:t>
      </w:r>
      <w:r w:rsidRPr="00CD553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D5530" w:rsidRDefault="00CD5530" w:rsidP="00E53AA4">
      <w:pPr>
        <w:pStyle w:val="BodyText"/>
        <w:rPr>
          <w:b/>
          <w:iCs/>
          <w:sz w:val="28"/>
          <w:szCs w:val="28"/>
        </w:rPr>
      </w:pPr>
    </w:p>
    <w:p w:rsidR="00CD5530" w:rsidRDefault="00CD5530" w:rsidP="00E53AA4">
      <w:pPr>
        <w:pStyle w:val="BodyText"/>
        <w:rPr>
          <w:b/>
          <w:iCs/>
          <w:sz w:val="28"/>
          <w:szCs w:val="28"/>
        </w:rPr>
      </w:pPr>
    </w:p>
    <w:p w:rsidR="00CD5530" w:rsidRDefault="00CD5530" w:rsidP="00E53AA4">
      <w:pPr>
        <w:pStyle w:val="BodyText"/>
        <w:rPr>
          <w:b/>
          <w:iCs/>
          <w:sz w:val="28"/>
          <w:szCs w:val="28"/>
        </w:rPr>
      </w:pPr>
    </w:p>
    <w:p w:rsidR="00CD5530" w:rsidRDefault="00CD553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D5530" w:rsidRDefault="00890B5D" w:rsidP="00CD5530">
      <w:pPr>
        <w:pStyle w:val="BodyText"/>
        <w:numPr>
          <w:ilvl w:val="0"/>
          <w:numId w:val="42"/>
        </w:numPr>
        <w:rPr>
          <w:sz w:val="32"/>
          <w:szCs w:val="32"/>
          <w:lang w:val="en-IN"/>
        </w:rPr>
      </w:pPr>
      <w:r w:rsidRPr="00CD5530">
        <w:rPr>
          <w:sz w:val="32"/>
          <w:szCs w:val="32"/>
          <w:lang w:val="en-IN"/>
        </w:rPr>
        <w:t>[1] J. Xu, J. Yao, L. Wang, Z. Ming, K. Wu, and L. Chen, “Narrowband internet of things: Evolutions, technologies, and open issues,” IEEE Internet of Things Journal, vol. 5, no. 3, pp. 1449–1462, 2018.</w:t>
      </w:r>
    </w:p>
    <w:p w:rsidR="00000000" w:rsidRPr="00CD5530" w:rsidRDefault="00890B5D" w:rsidP="00CD5530">
      <w:pPr>
        <w:pStyle w:val="BodyText"/>
        <w:numPr>
          <w:ilvl w:val="0"/>
          <w:numId w:val="42"/>
        </w:numPr>
        <w:rPr>
          <w:sz w:val="32"/>
          <w:szCs w:val="32"/>
          <w:lang w:val="en-IN"/>
        </w:rPr>
      </w:pPr>
      <w:r w:rsidRPr="00CD5530">
        <w:rPr>
          <w:sz w:val="32"/>
          <w:szCs w:val="32"/>
          <w:lang w:val="en-IN"/>
        </w:rPr>
        <w:t>[2] J. Lorca, B. Solana, R. Barc</w:t>
      </w:r>
      <w:r w:rsidRPr="00CD5530">
        <w:rPr>
          <w:sz w:val="32"/>
          <w:szCs w:val="32"/>
          <w:lang w:val="en-IN"/>
        </w:rPr>
        <w:t xml:space="preserve">o et al., “Deliverable d2. 1: Scenarios, KPIs, use cases and baseline system evaluation,” E2E-aware Optim. Advancements Netw. Edge 5G New Radio (ONE5G), Tech. Rep. D, vol. 2, 2017. </w:t>
      </w:r>
    </w:p>
    <w:p w:rsidR="00000000" w:rsidRPr="00CD5530" w:rsidRDefault="00890B5D" w:rsidP="00CD5530">
      <w:pPr>
        <w:pStyle w:val="BodyText"/>
        <w:numPr>
          <w:ilvl w:val="0"/>
          <w:numId w:val="42"/>
        </w:numPr>
        <w:rPr>
          <w:sz w:val="32"/>
          <w:szCs w:val="32"/>
          <w:lang w:val="en-IN"/>
        </w:rPr>
      </w:pPr>
      <w:r w:rsidRPr="00CD5530">
        <w:rPr>
          <w:sz w:val="32"/>
          <w:szCs w:val="32"/>
          <w:lang w:val="en-IN"/>
        </w:rPr>
        <w:t>[3] A. Laya, L. Alonso, and J. Alonso-Zarate, “Is the random access chann</w:t>
      </w:r>
      <w:r w:rsidRPr="00CD5530">
        <w:rPr>
          <w:sz w:val="32"/>
          <w:szCs w:val="32"/>
          <w:lang w:val="en-IN"/>
        </w:rPr>
        <w:t xml:space="preserve">el of LTE and LTE-A suitable for M2M communications? a survey of alternatives,” IEEE Communications Surveys Tutorials, vol. 16, no. 1, pp. 4–16, 2014. </w:t>
      </w:r>
    </w:p>
    <w:p w:rsidR="00000000" w:rsidRPr="00CD5530" w:rsidRDefault="00890B5D" w:rsidP="00CD5530">
      <w:pPr>
        <w:pStyle w:val="BodyText"/>
        <w:numPr>
          <w:ilvl w:val="0"/>
          <w:numId w:val="42"/>
        </w:numPr>
        <w:rPr>
          <w:sz w:val="32"/>
          <w:szCs w:val="32"/>
          <w:lang w:val="en-IN"/>
        </w:rPr>
      </w:pPr>
      <w:r w:rsidRPr="00CD5530">
        <w:rPr>
          <w:sz w:val="32"/>
          <w:szCs w:val="32"/>
          <w:lang w:val="en-IN"/>
        </w:rPr>
        <w:t>[4] X. Liu, X. Zhai, W. Lu, and C. Wu, “QoS-guarantee resource allocation for multibeam satellite indus</w:t>
      </w:r>
      <w:r w:rsidRPr="00CD5530">
        <w:rPr>
          <w:sz w:val="32"/>
          <w:szCs w:val="32"/>
          <w:lang w:val="en-IN"/>
        </w:rPr>
        <w:t xml:space="preserve">trial internet of things with NOMA,” IEEE Transactions on Industrial Informatics, 2019. </w:t>
      </w:r>
    </w:p>
    <w:p w:rsidR="00000000" w:rsidRPr="00CD5530" w:rsidRDefault="00890B5D" w:rsidP="00CD5530">
      <w:pPr>
        <w:pStyle w:val="BodyText"/>
        <w:numPr>
          <w:ilvl w:val="0"/>
          <w:numId w:val="42"/>
        </w:numPr>
        <w:rPr>
          <w:sz w:val="32"/>
          <w:szCs w:val="32"/>
          <w:lang w:val="en-IN"/>
        </w:rPr>
      </w:pPr>
      <w:r w:rsidRPr="00CD5530">
        <w:rPr>
          <w:sz w:val="32"/>
          <w:szCs w:val="32"/>
          <w:lang w:val="en-IN"/>
        </w:rPr>
        <w:t xml:space="preserve">[5] Ericsson et al., “A choice of future M2M access technologies for mobile network operators,” Tech. Rep., 2014. </w:t>
      </w:r>
    </w:p>
    <w:p w:rsidR="00000000" w:rsidRPr="00CD5530" w:rsidRDefault="00890B5D" w:rsidP="00CD5530">
      <w:pPr>
        <w:pStyle w:val="BodyText"/>
        <w:numPr>
          <w:ilvl w:val="0"/>
          <w:numId w:val="42"/>
        </w:numPr>
        <w:rPr>
          <w:sz w:val="32"/>
          <w:szCs w:val="32"/>
          <w:lang w:val="en-IN"/>
        </w:rPr>
      </w:pPr>
      <w:r w:rsidRPr="00CD5530">
        <w:rPr>
          <w:sz w:val="32"/>
          <w:szCs w:val="32"/>
          <w:lang w:val="en-IN"/>
        </w:rPr>
        <w:t>[6] A. Azari et al., “Lifetime-aware scheduling an</w:t>
      </w:r>
      <w:r w:rsidRPr="00CD5530">
        <w:rPr>
          <w:sz w:val="32"/>
          <w:szCs w:val="32"/>
          <w:lang w:val="en-IN"/>
        </w:rPr>
        <w:t xml:space="preserve">d power control for M2M communications in LTE,” in IEEE VTC, 2015. </w:t>
      </w:r>
    </w:p>
    <w:p w:rsidR="00000000" w:rsidRPr="00CD5530" w:rsidRDefault="00890B5D" w:rsidP="00CD5530">
      <w:pPr>
        <w:pStyle w:val="BodyText"/>
        <w:numPr>
          <w:ilvl w:val="0"/>
          <w:numId w:val="42"/>
        </w:numPr>
        <w:rPr>
          <w:sz w:val="32"/>
          <w:szCs w:val="32"/>
          <w:lang w:val="en-IN"/>
        </w:rPr>
      </w:pPr>
      <w:r w:rsidRPr="00CD5530">
        <w:rPr>
          <w:sz w:val="32"/>
          <w:szCs w:val="32"/>
          <w:lang w:val="en-IN"/>
        </w:rPr>
        <w:t xml:space="preserve">[7] 3GPP TS 45.820, “Cellular system support for ultra-low complexity and low throughput internet of things (CIoT),” Tech. Rep., 2015, (Rel. 13). </w:t>
      </w:r>
    </w:p>
    <w:p w:rsidR="00000000" w:rsidRPr="00CD5530" w:rsidRDefault="00890B5D" w:rsidP="00CD5530">
      <w:pPr>
        <w:pStyle w:val="BodyText"/>
        <w:numPr>
          <w:ilvl w:val="0"/>
          <w:numId w:val="42"/>
        </w:numPr>
        <w:rPr>
          <w:sz w:val="32"/>
          <w:szCs w:val="32"/>
          <w:lang w:val="en-IN"/>
        </w:rPr>
      </w:pPr>
      <w:r w:rsidRPr="00CD5530">
        <w:rPr>
          <w:sz w:val="32"/>
          <w:szCs w:val="32"/>
          <w:lang w:val="en-IN"/>
        </w:rPr>
        <w:lastRenderedPageBreak/>
        <w:t xml:space="preserve">[8] P. Andres-Maldonado, M. Lauridsen, </w:t>
      </w:r>
      <w:r w:rsidRPr="00CD5530">
        <w:rPr>
          <w:sz w:val="32"/>
          <w:szCs w:val="32"/>
          <w:lang w:val="en-IN"/>
        </w:rPr>
        <w:t xml:space="preserve">P. Ameigeiras, and J. M. Lopez-Soler, “Analytical modeling and experimental validation of NB-IoT device energy consumption,” IEEE Internet of Things Journal, 2019. </w:t>
      </w:r>
    </w:p>
    <w:p w:rsidR="00000000" w:rsidRPr="00CD5530" w:rsidRDefault="00890B5D" w:rsidP="00CD5530">
      <w:pPr>
        <w:pStyle w:val="BodyText"/>
        <w:numPr>
          <w:ilvl w:val="0"/>
          <w:numId w:val="42"/>
        </w:numPr>
        <w:rPr>
          <w:sz w:val="32"/>
          <w:szCs w:val="32"/>
          <w:lang w:val="en-IN"/>
        </w:rPr>
      </w:pPr>
      <w:r w:rsidRPr="00CD5530">
        <w:rPr>
          <w:sz w:val="32"/>
          <w:szCs w:val="32"/>
          <w:lang w:val="en-IN"/>
        </w:rPr>
        <w:t>[9] P. A. Maldonado et al., “Narrowband IoT data transmission procedures for massive machi</w:t>
      </w:r>
      <w:r w:rsidRPr="00CD5530">
        <w:rPr>
          <w:sz w:val="32"/>
          <w:szCs w:val="32"/>
          <w:lang w:val="en-IN"/>
        </w:rPr>
        <w:t xml:space="preserve">ne-type communications,” IEEE Network, vol. 31, no. 6, pp. 8–15, Nov 2017. </w:t>
      </w:r>
    </w:p>
    <w:p w:rsidR="00000000" w:rsidRPr="00CD5530" w:rsidRDefault="00890B5D" w:rsidP="00CD5530">
      <w:pPr>
        <w:pStyle w:val="BodyText"/>
        <w:numPr>
          <w:ilvl w:val="0"/>
          <w:numId w:val="42"/>
        </w:numPr>
        <w:rPr>
          <w:sz w:val="32"/>
          <w:szCs w:val="32"/>
          <w:lang w:val="en-IN"/>
        </w:rPr>
      </w:pPr>
      <w:r w:rsidRPr="00CD5530">
        <w:rPr>
          <w:sz w:val="32"/>
          <w:szCs w:val="32"/>
          <w:lang w:val="en-IN"/>
        </w:rPr>
        <w:t>[10] A. Azari, C. Stefanovic, P. Popovski, and C. Cavdar, “On the latency-energy performance of NB-IoT systems in providing wide-area IoT connectivity,” IEEE Transactions on Green</w:t>
      </w:r>
      <w:r w:rsidRPr="00CD5530">
        <w:rPr>
          <w:sz w:val="32"/>
          <w:szCs w:val="32"/>
          <w:lang w:val="en-IN"/>
        </w:rPr>
        <w:t xml:space="preserve"> Communications and Networking, vol. 4, no. 1, pp. 57–68,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B5D" w:rsidRDefault="00890B5D" w:rsidP="003654DF">
      <w:pPr>
        <w:spacing w:after="0" w:line="240" w:lineRule="auto"/>
      </w:pPr>
      <w:r>
        <w:separator/>
      </w:r>
    </w:p>
  </w:endnote>
  <w:endnote w:type="continuationSeparator" w:id="1">
    <w:p w:rsidR="00890B5D" w:rsidRDefault="00890B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B5D" w:rsidRDefault="00890B5D" w:rsidP="003654DF">
      <w:pPr>
        <w:spacing w:after="0" w:line="240" w:lineRule="auto"/>
      </w:pPr>
      <w:r>
        <w:separator/>
      </w:r>
    </w:p>
  </w:footnote>
  <w:footnote w:type="continuationSeparator" w:id="1">
    <w:p w:rsidR="00890B5D" w:rsidRDefault="00890B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366F2">
        <w:pPr>
          <w:pStyle w:val="Header"/>
          <w:jc w:val="right"/>
        </w:pPr>
        <w:fldSimple w:instr=" PAGE   \* MERGEFORMAT ">
          <w:r w:rsidR="008757B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E50AC8"/>
    <w:multiLevelType w:val="hybridMultilevel"/>
    <w:tmpl w:val="B3EE58CA"/>
    <w:lvl w:ilvl="0" w:tplc="B6C66970">
      <w:start w:val="1"/>
      <w:numFmt w:val="bullet"/>
      <w:lvlText w:val=""/>
      <w:lvlJc w:val="left"/>
      <w:pPr>
        <w:tabs>
          <w:tab w:val="num" w:pos="720"/>
        </w:tabs>
        <w:ind w:left="720" w:hanging="360"/>
      </w:pPr>
      <w:rPr>
        <w:rFonts w:ascii="Wingdings 2" w:hAnsi="Wingdings 2" w:hint="default"/>
      </w:rPr>
    </w:lvl>
    <w:lvl w:ilvl="1" w:tplc="49B041E4" w:tentative="1">
      <w:start w:val="1"/>
      <w:numFmt w:val="bullet"/>
      <w:lvlText w:val=""/>
      <w:lvlJc w:val="left"/>
      <w:pPr>
        <w:tabs>
          <w:tab w:val="num" w:pos="1440"/>
        </w:tabs>
        <w:ind w:left="1440" w:hanging="360"/>
      </w:pPr>
      <w:rPr>
        <w:rFonts w:ascii="Wingdings 2" w:hAnsi="Wingdings 2" w:hint="default"/>
      </w:rPr>
    </w:lvl>
    <w:lvl w:ilvl="2" w:tplc="45B2538E" w:tentative="1">
      <w:start w:val="1"/>
      <w:numFmt w:val="bullet"/>
      <w:lvlText w:val=""/>
      <w:lvlJc w:val="left"/>
      <w:pPr>
        <w:tabs>
          <w:tab w:val="num" w:pos="2160"/>
        </w:tabs>
        <w:ind w:left="2160" w:hanging="360"/>
      </w:pPr>
      <w:rPr>
        <w:rFonts w:ascii="Wingdings 2" w:hAnsi="Wingdings 2" w:hint="default"/>
      </w:rPr>
    </w:lvl>
    <w:lvl w:ilvl="3" w:tplc="01E62E22" w:tentative="1">
      <w:start w:val="1"/>
      <w:numFmt w:val="bullet"/>
      <w:lvlText w:val=""/>
      <w:lvlJc w:val="left"/>
      <w:pPr>
        <w:tabs>
          <w:tab w:val="num" w:pos="2880"/>
        </w:tabs>
        <w:ind w:left="2880" w:hanging="360"/>
      </w:pPr>
      <w:rPr>
        <w:rFonts w:ascii="Wingdings 2" w:hAnsi="Wingdings 2" w:hint="default"/>
      </w:rPr>
    </w:lvl>
    <w:lvl w:ilvl="4" w:tplc="281AB236" w:tentative="1">
      <w:start w:val="1"/>
      <w:numFmt w:val="bullet"/>
      <w:lvlText w:val=""/>
      <w:lvlJc w:val="left"/>
      <w:pPr>
        <w:tabs>
          <w:tab w:val="num" w:pos="3600"/>
        </w:tabs>
        <w:ind w:left="3600" w:hanging="360"/>
      </w:pPr>
      <w:rPr>
        <w:rFonts w:ascii="Wingdings 2" w:hAnsi="Wingdings 2" w:hint="default"/>
      </w:rPr>
    </w:lvl>
    <w:lvl w:ilvl="5" w:tplc="39CA601C" w:tentative="1">
      <w:start w:val="1"/>
      <w:numFmt w:val="bullet"/>
      <w:lvlText w:val=""/>
      <w:lvlJc w:val="left"/>
      <w:pPr>
        <w:tabs>
          <w:tab w:val="num" w:pos="4320"/>
        </w:tabs>
        <w:ind w:left="4320" w:hanging="360"/>
      </w:pPr>
      <w:rPr>
        <w:rFonts w:ascii="Wingdings 2" w:hAnsi="Wingdings 2" w:hint="default"/>
      </w:rPr>
    </w:lvl>
    <w:lvl w:ilvl="6" w:tplc="8A602144" w:tentative="1">
      <w:start w:val="1"/>
      <w:numFmt w:val="bullet"/>
      <w:lvlText w:val=""/>
      <w:lvlJc w:val="left"/>
      <w:pPr>
        <w:tabs>
          <w:tab w:val="num" w:pos="5040"/>
        </w:tabs>
        <w:ind w:left="5040" w:hanging="360"/>
      </w:pPr>
      <w:rPr>
        <w:rFonts w:ascii="Wingdings 2" w:hAnsi="Wingdings 2" w:hint="default"/>
      </w:rPr>
    </w:lvl>
    <w:lvl w:ilvl="7" w:tplc="96DA8FD8" w:tentative="1">
      <w:start w:val="1"/>
      <w:numFmt w:val="bullet"/>
      <w:lvlText w:val=""/>
      <w:lvlJc w:val="left"/>
      <w:pPr>
        <w:tabs>
          <w:tab w:val="num" w:pos="5760"/>
        </w:tabs>
        <w:ind w:left="5760" w:hanging="360"/>
      </w:pPr>
      <w:rPr>
        <w:rFonts w:ascii="Wingdings 2" w:hAnsi="Wingdings 2" w:hint="default"/>
      </w:rPr>
    </w:lvl>
    <w:lvl w:ilvl="8" w:tplc="B6EC2BA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11382D"/>
    <w:multiLevelType w:val="hybridMultilevel"/>
    <w:tmpl w:val="8534A35C"/>
    <w:lvl w:ilvl="0" w:tplc="9FEEF04E">
      <w:start w:val="1"/>
      <w:numFmt w:val="bullet"/>
      <w:lvlText w:val=""/>
      <w:lvlJc w:val="left"/>
      <w:pPr>
        <w:tabs>
          <w:tab w:val="num" w:pos="720"/>
        </w:tabs>
        <w:ind w:left="720" w:hanging="360"/>
      </w:pPr>
      <w:rPr>
        <w:rFonts w:ascii="Wingdings 2" w:hAnsi="Wingdings 2" w:hint="default"/>
      </w:rPr>
    </w:lvl>
    <w:lvl w:ilvl="1" w:tplc="80825994" w:tentative="1">
      <w:start w:val="1"/>
      <w:numFmt w:val="bullet"/>
      <w:lvlText w:val=""/>
      <w:lvlJc w:val="left"/>
      <w:pPr>
        <w:tabs>
          <w:tab w:val="num" w:pos="1440"/>
        </w:tabs>
        <w:ind w:left="1440" w:hanging="360"/>
      </w:pPr>
      <w:rPr>
        <w:rFonts w:ascii="Wingdings 2" w:hAnsi="Wingdings 2" w:hint="default"/>
      </w:rPr>
    </w:lvl>
    <w:lvl w:ilvl="2" w:tplc="184C82AC" w:tentative="1">
      <w:start w:val="1"/>
      <w:numFmt w:val="bullet"/>
      <w:lvlText w:val=""/>
      <w:lvlJc w:val="left"/>
      <w:pPr>
        <w:tabs>
          <w:tab w:val="num" w:pos="2160"/>
        </w:tabs>
        <w:ind w:left="2160" w:hanging="360"/>
      </w:pPr>
      <w:rPr>
        <w:rFonts w:ascii="Wingdings 2" w:hAnsi="Wingdings 2" w:hint="default"/>
      </w:rPr>
    </w:lvl>
    <w:lvl w:ilvl="3" w:tplc="64E4024C" w:tentative="1">
      <w:start w:val="1"/>
      <w:numFmt w:val="bullet"/>
      <w:lvlText w:val=""/>
      <w:lvlJc w:val="left"/>
      <w:pPr>
        <w:tabs>
          <w:tab w:val="num" w:pos="2880"/>
        </w:tabs>
        <w:ind w:left="2880" w:hanging="360"/>
      </w:pPr>
      <w:rPr>
        <w:rFonts w:ascii="Wingdings 2" w:hAnsi="Wingdings 2" w:hint="default"/>
      </w:rPr>
    </w:lvl>
    <w:lvl w:ilvl="4" w:tplc="8F064894" w:tentative="1">
      <w:start w:val="1"/>
      <w:numFmt w:val="bullet"/>
      <w:lvlText w:val=""/>
      <w:lvlJc w:val="left"/>
      <w:pPr>
        <w:tabs>
          <w:tab w:val="num" w:pos="3600"/>
        </w:tabs>
        <w:ind w:left="3600" w:hanging="360"/>
      </w:pPr>
      <w:rPr>
        <w:rFonts w:ascii="Wingdings 2" w:hAnsi="Wingdings 2" w:hint="default"/>
      </w:rPr>
    </w:lvl>
    <w:lvl w:ilvl="5" w:tplc="E7569620" w:tentative="1">
      <w:start w:val="1"/>
      <w:numFmt w:val="bullet"/>
      <w:lvlText w:val=""/>
      <w:lvlJc w:val="left"/>
      <w:pPr>
        <w:tabs>
          <w:tab w:val="num" w:pos="4320"/>
        </w:tabs>
        <w:ind w:left="4320" w:hanging="360"/>
      </w:pPr>
      <w:rPr>
        <w:rFonts w:ascii="Wingdings 2" w:hAnsi="Wingdings 2" w:hint="default"/>
      </w:rPr>
    </w:lvl>
    <w:lvl w:ilvl="6" w:tplc="B0123E7E" w:tentative="1">
      <w:start w:val="1"/>
      <w:numFmt w:val="bullet"/>
      <w:lvlText w:val=""/>
      <w:lvlJc w:val="left"/>
      <w:pPr>
        <w:tabs>
          <w:tab w:val="num" w:pos="5040"/>
        </w:tabs>
        <w:ind w:left="5040" w:hanging="360"/>
      </w:pPr>
      <w:rPr>
        <w:rFonts w:ascii="Wingdings 2" w:hAnsi="Wingdings 2" w:hint="default"/>
      </w:rPr>
    </w:lvl>
    <w:lvl w:ilvl="7" w:tplc="E00CAB34" w:tentative="1">
      <w:start w:val="1"/>
      <w:numFmt w:val="bullet"/>
      <w:lvlText w:val=""/>
      <w:lvlJc w:val="left"/>
      <w:pPr>
        <w:tabs>
          <w:tab w:val="num" w:pos="5760"/>
        </w:tabs>
        <w:ind w:left="5760" w:hanging="360"/>
      </w:pPr>
      <w:rPr>
        <w:rFonts w:ascii="Wingdings 2" w:hAnsi="Wingdings 2" w:hint="default"/>
      </w:rPr>
    </w:lvl>
    <w:lvl w:ilvl="8" w:tplc="9698F454" w:tentative="1">
      <w:start w:val="1"/>
      <w:numFmt w:val="bullet"/>
      <w:lvlText w:val=""/>
      <w:lvlJc w:val="left"/>
      <w:pPr>
        <w:tabs>
          <w:tab w:val="num" w:pos="6480"/>
        </w:tabs>
        <w:ind w:left="6480" w:hanging="360"/>
      </w:pPr>
      <w:rPr>
        <w:rFonts w:ascii="Wingdings 2" w:hAnsi="Wingdings 2" w:hint="default"/>
      </w:rPr>
    </w:lvl>
  </w:abstractNum>
  <w:abstractNum w:abstractNumId="22">
    <w:nsid w:val="37F567C2"/>
    <w:multiLevelType w:val="hybridMultilevel"/>
    <w:tmpl w:val="A7E469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0D32AA"/>
    <w:multiLevelType w:val="hybridMultilevel"/>
    <w:tmpl w:val="E196E5E0"/>
    <w:lvl w:ilvl="0" w:tplc="70FE24AC">
      <w:start w:val="1"/>
      <w:numFmt w:val="bullet"/>
      <w:lvlText w:val=""/>
      <w:lvlJc w:val="left"/>
      <w:pPr>
        <w:tabs>
          <w:tab w:val="num" w:pos="720"/>
        </w:tabs>
        <w:ind w:left="720" w:hanging="360"/>
      </w:pPr>
      <w:rPr>
        <w:rFonts w:ascii="Wingdings 2" w:hAnsi="Wingdings 2" w:hint="default"/>
      </w:rPr>
    </w:lvl>
    <w:lvl w:ilvl="1" w:tplc="2CD06F46" w:tentative="1">
      <w:start w:val="1"/>
      <w:numFmt w:val="bullet"/>
      <w:lvlText w:val=""/>
      <w:lvlJc w:val="left"/>
      <w:pPr>
        <w:tabs>
          <w:tab w:val="num" w:pos="1440"/>
        </w:tabs>
        <w:ind w:left="1440" w:hanging="360"/>
      </w:pPr>
      <w:rPr>
        <w:rFonts w:ascii="Wingdings 2" w:hAnsi="Wingdings 2" w:hint="default"/>
      </w:rPr>
    </w:lvl>
    <w:lvl w:ilvl="2" w:tplc="6BD6822A" w:tentative="1">
      <w:start w:val="1"/>
      <w:numFmt w:val="bullet"/>
      <w:lvlText w:val=""/>
      <w:lvlJc w:val="left"/>
      <w:pPr>
        <w:tabs>
          <w:tab w:val="num" w:pos="2160"/>
        </w:tabs>
        <w:ind w:left="2160" w:hanging="360"/>
      </w:pPr>
      <w:rPr>
        <w:rFonts w:ascii="Wingdings 2" w:hAnsi="Wingdings 2" w:hint="default"/>
      </w:rPr>
    </w:lvl>
    <w:lvl w:ilvl="3" w:tplc="2AC41FFC" w:tentative="1">
      <w:start w:val="1"/>
      <w:numFmt w:val="bullet"/>
      <w:lvlText w:val=""/>
      <w:lvlJc w:val="left"/>
      <w:pPr>
        <w:tabs>
          <w:tab w:val="num" w:pos="2880"/>
        </w:tabs>
        <w:ind w:left="2880" w:hanging="360"/>
      </w:pPr>
      <w:rPr>
        <w:rFonts w:ascii="Wingdings 2" w:hAnsi="Wingdings 2" w:hint="default"/>
      </w:rPr>
    </w:lvl>
    <w:lvl w:ilvl="4" w:tplc="826E2DEE" w:tentative="1">
      <w:start w:val="1"/>
      <w:numFmt w:val="bullet"/>
      <w:lvlText w:val=""/>
      <w:lvlJc w:val="left"/>
      <w:pPr>
        <w:tabs>
          <w:tab w:val="num" w:pos="3600"/>
        </w:tabs>
        <w:ind w:left="3600" w:hanging="360"/>
      </w:pPr>
      <w:rPr>
        <w:rFonts w:ascii="Wingdings 2" w:hAnsi="Wingdings 2" w:hint="default"/>
      </w:rPr>
    </w:lvl>
    <w:lvl w:ilvl="5" w:tplc="7FD4512E" w:tentative="1">
      <w:start w:val="1"/>
      <w:numFmt w:val="bullet"/>
      <w:lvlText w:val=""/>
      <w:lvlJc w:val="left"/>
      <w:pPr>
        <w:tabs>
          <w:tab w:val="num" w:pos="4320"/>
        </w:tabs>
        <w:ind w:left="4320" w:hanging="360"/>
      </w:pPr>
      <w:rPr>
        <w:rFonts w:ascii="Wingdings 2" w:hAnsi="Wingdings 2" w:hint="default"/>
      </w:rPr>
    </w:lvl>
    <w:lvl w:ilvl="6" w:tplc="D38C28CC" w:tentative="1">
      <w:start w:val="1"/>
      <w:numFmt w:val="bullet"/>
      <w:lvlText w:val=""/>
      <w:lvlJc w:val="left"/>
      <w:pPr>
        <w:tabs>
          <w:tab w:val="num" w:pos="5040"/>
        </w:tabs>
        <w:ind w:left="5040" w:hanging="360"/>
      </w:pPr>
      <w:rPr>
        <w:rFonts w:ascii="Wingdings 2" w:hAnsi="Wingdings 2" w:hint="default"/>
      </w:rPr>
    </w:lvl>
    <w:lvl w:ilvl="7" w:tplc="930248B2" w:tentative="1">
      <w:start w:val="1"/>
      <w:numFmt w:val="bullet"/>
      <w:lvlText w:val=""/>
      <w:lvlJc w:val="left"/>
      <w:pPr>
        <w:tabs>
          <w:tab w:val="num" w:pos="5760"/>
        </w:tabs>
        <w:ind w:left="5760" w:hanging="360"/>
      </w:pPr>
      <w:rPr>
        <w:rFonts w:ascii="Wingdings 2" w:hAnsi="Wingdings 2" w:hint="default"/>
      </w:rPr>
    </w:lvl>
    <w:lvl w:ilvl="8" w:tplc="4B7EAEC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6D2CDE"/>
    <w:multiLevelType w:val="hybridMultilevel"/>
    <w:tmpl w:val="F87094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6E5345"/>
    <w:multiLevelType w:val="hybridMultilevel"/>
    <w:tmpl w:val="768AED56"/>
    <w:lvl w:ilvl="0" w:tplc="A6A6DBB8">
      <w:start w:val="1"/>
      <w:numFmt w:val="bullet"/>
      <w:lvlText w:val=""/>
      <w:lvlJc w:val="left"/>
      <w:pPr>
        <w:tabs>
          <w:tab w:val="num" w:pos="720"/>
        </w:tabs>
        <w:ind w:left="720" w:hanging="360"/>
      </w:pPr>
      <w:rPr>
        <w:rFonts w:ascii="Wingdings 2" w:hAnsi="Wingdings 2" w:hint="default"/>
      </w:rPr>
    </w:lvl>
    <w:lvl w:ilvl="1" w:tplc="A77CBCF6" w:tentative="1">
      <w:start w:val="1"/>
      <w:numFmt w:val="bullet"/>
      <w:lvlText w:val=""/>
      <w:lvlJc w:val="left"/>
      <w:pPr>
        <w:tabs>
          <w:tab w:val="num" w:pos="1440"/>
        </w:tabs>
        <w:ind w:left="1440" w:hanging="360"/>
      </w:pPr>
      <w:rPr>
        <w:rFonts w:ascii="Wingdings 2" w:hAnsi="Wingdings 2" w:hint="default"/>
      </w:rPr>
    </w:lvl>
    <w:lvl w:ilvl="2" w:tplc="9BDA7032" w:tentative="1">
      <w:start w:val="1"/>
      <w:numFmt w:val="bullet"/>
      <w:lvlText w:val=""/>
      <w:lvlJc w:val="left"/>
      <w:pPr>
        <w:tabs>
          <w:tab w:val="num" w:pos="2160"/>
        </w:tabs>
        <w:ind w:left="2160" w:hanging="360"/>
      </w:pPr>
      <w:rPr>
        <w:rFonts w:ascii="Wingdings 2" w:hAnsi="Wingdings 2" w:hint="default"/>
      </w:rPr>
    </w:lvl>
    <w:lvl w:ilvl="3" w:tplc="90F4855A" w:tentative="1">
      <w:start w:val="1"/>
      <w:numFmt w:val="bullet"/>
      <w:lvlText w:val=""/>
      <w:lvlJc w:val="left"/>
      <w:pPr>
        <w:tabs>
          <w:tab w:val="num" w:pos="2880"/>
        </w:tabs>
        <w:ind w:left="2880" w:hanging="360"/>
      </w:pPr>
      <w:rPr>
        <w:rFonts w:ascii="Wingdings 2" w:hAnsi="Wingdings 2" w:hint="default"/>
      </w:rPr>
    </w:lvl>
    <w:lvl w:ilvl="4" w:tplc="41A852F4" w:tentative="1">
      <w:start w:val="1"/>
      <w:numFmt w:val="bullet"/>
      <w:lvlText w:val=""/>
      <w:lvlJc w:val="left"/>
      <w:pPr>
        <w:tabs>
          <w:tab w:val="num" w:pos="3600"/>
        </w:tabs>
        <w:ind w:left="3600" w:hanging="360"/>
      </w:pPr>
      <w:rPr>
        <w:rFonts w:ascii="Wingdings 2" w:hAnsi="Wingdings 2" w:hint="default"/>
      </w:rPr>
    </w:lvl>
    <w:lvl w:ilvl="5" w:tplc="B2CA646E" w:tentative="1">
      <w:start w:val="1"/>
      <w:numFmt w:val="bullet"/>
      <w:lvlText w:val=""/>
      <w:lvlJc w:val="left"/>
      <w:pPr>
        <w:tabs>
          <w:tab w:val="num" w:pos="4320"/>
        </w:tabs>
        <w:ind w:left="4320" w:hanging="360"/>
      </w:pPr>
      <w:rPr>
        <w:rFonts w:ascii="Wingdings 2" w:hAnsi="Wingdings 2" w:hint="default"/>
      </w:rPr>
    </w:lvl>
    <w:lvl w:ilvl="6" w:tplc="60E8385C" w:tentative="1">
      <w:start w:val="1"/>
      <w:numFmt w:val="bullet"/>
      <w:lvlText w:val=""/>
      <w:lvlJc w:val="left"/>
      <w:pPr>
        <w:tabs>
          <w:tab w:val="num" w:pos="5040"/>
        </w:tabs>
        <w:ind w:left="5040" w:hanging="360"/>
      </w:pPr>
      <w:rPr>
        <w:rFonts w:ascii="Wingdings 2" w:hAnsi="Wingdings 2" w:hint="default"/>
      </w:rPr>
    </w:lvl>
    <w:lvl w:ilvl="7" w:tplc="6AB8928C" w:tentative="1">
      <w:start w:val="1"/>
      <w:numFmt w:val="bullet"/>
      <w:lvlText w:val=""/>
      <w:lvlJc w:val="left"/>
      <w:pPr>
        <w:tabs>
          <w:tab w:val="num" w:pos="5760"/>
        </w:tabs>
        <w:ind w:left="5760" w:hanging="360"/>
      </w:pPr>
      <w:rPr>
        <w:rFonts w:ascii="Wingdings 2" w:hAnsi="Wingdings 2" w:hint="default"/>
      </w:rPr>
    </w:lvl>
    <w:lvl w:ilvl="8" w:tplc="697EA20E"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CD557FF"/>
    <w:multiLevelType w:val="hybridMultilevel"/>
    <w:tmpl w:val="233C0D80"/>
    <w:lvl w:ilvl="0" w:tplc="45DA4A74">
      <w:start w:val="1"/>
      <w:numFmt w:val="bullet"/>
      <w:lvlText w:val=""/>
      <w:lvlJc w:val="left"/>
      <w:pPr>
        <w:tabs>
          <w:tab w:val="num" w:pos="720"/>
        </w:tabs>
        <w:ind w:left="720" w:hanging="360"/>
      </w:pPr>
      <w:rPr>
        <w:rFonts w:ascii="Wingdings 2" w:hAnsi="Wingdings 2" w:hint="default"/>
      </w:rPr>
    </w:lvl>
    <w:lvl w:ilvl="1" w:tplc="91665918" w:tentative="1">
      <w:start w:val="1"/>
      <w:numFmt w:val="bullet"/>
      <w:lvlText w:val=""/>
      <w:lvlJc w:val="left"/>
      <w:pPr>
        <w:tabs>
          <w:tab w:val="num" w:pos="1440"/>
        </w:tabs>
        <w:ind w:left="1440" w:hanging="360"/>
      </w:pPr>
      <w:rPr>
        <w:rFonts w:ascii="Wingdings 2" w:hAnsi="Wingdings 2" w:hint="default"/>
      </w:rPr>
    </w:lvl>
    <w:lvl w:ilvl="2" w:tplc="4A5070FA" w:tentative="1">
      <w:start w:val="1"/>
      <w:numFmt w:val="bullet"/>
      <w:lvlText w:val=""/>
      <w:lvlJc w:val="left"/>
      <w:pPr>
        <w:tabs>
          <w:tab w:val="num" w:pos="2160"/>
        </w:tabs>
        <w:ind w:left="2160" w:hanging="360"/>
      </w:pPr>
      <w:rPr>
        <w:rFonts w:ascii="Wingdings 2" w:hAnsi="Wingdings 2" w:hint="default"/>
      </w:rPr>
    </w:lvl>
    <w:lvl w:ilvl="3" w:tplc="AEE4E368" w:tentative="1">
      <w:start w:val="1"/>
      <w:numFmt w:val="bullet"/>
      <w:lvlText w:val=""/>
      <w:lvlJc w:val="left"/>
      <w:pPr>
        <w:tabs>
          <w:tab w:val="num" w:pos="2880"/>
        </w:tabs>
        <w:ind w:left="2880" w:hanging="360"/>
      </w:pPr>
      <w:rPr>
        <w:rFonts w:ascii="Wingdings 2" w:hAnsi="Wingdings 2" w:hint="default"/>
      </w:rPr>
    </w:lvl>
    <w:lvl w:ilvl="4" w:tplc="8F9009BA" w:tentative="1">
      <w:start w:val="1"/>
      <w:numFmt w:val="bullet"/>
      <w:lvlText w:val=""/>
      <w:lvlJc w:val="left"/>
      <w:pPr>
        <w:tabs>
          <w:tab w:val="num" w:pos="3600"/>
        </w:tabs>
        <w:ind w:left="3600" w:hanging="360"/>
      </w:pPr>
      <w:rPr>
        <w:rFonts w:ascii="Wingdings 2" w:hAnsi="Wingdings 2" w:hint="default"/>
      </w:rPr>
    </w:lvl>
    <w:lvl w:ilvl="5" w:tplc="6E08B79E" w:tentative="1">
      <w:start w:val="1"/>
      <w:numFmt w:val="bullet"/>
      <w:lvlText w:val=""/>
      <w:lvlJc w:val="left"/>
      <w:pPr>
        <w:tabs>
          <w:tab w:val="num" w:pos="4320"/>
        </w:tabs>
        <w:ind w:left="4320" w:hanging="360"/>
      </w:pPr>
      <w:rPr>
        <w:rFonts w:ascii="Wingdings 2" w:hAnsi="Wingdings 2" w:hint="default"/>
      </w:rPr>
    </w:lvl>
    <w:lvl w:ilvl="6" w:tplc="965A99B4" w:tentative="1">
      <w:start w:val="1"/>
      <w:numFmt w:val="bullet"/>
      <w:lvlText w:val=""/>
      <w:lvlJc w:val="left"/>
      <w:pPr>
        <w:tabs>
          <w:tab w:val="num" w:pos="5040"/>
        </w:tabs>
        <w:ind w:left="5040" w:hanging="360"/>
      </w:pPr>
      <w:rPr>
        <w:rFonts w:ascii="Wingdings 2" w:hAnsi="Wingdings 2" w:hint="default"/>
      </w:rPr>
    </w:lvl>
    <w:lvl w:ilvl="7" w:tplc="103E6352" w:tentative="1">
      <w:start w:val="1"/>
      <w:numFmt w:val="bullet"/>
      <w:lvlText w:val=""/>
      <w:lvlJc w:val="left"/>
      <w:pPr>
        <w:tabs>
          <w:tab w:val="num" w:pos="5760"/>
        </w:tabs>
        <w:ind w:left="5760" w:hanging="360"/>
      </w:pPr>
      <w:rPr>
        <w:rFonts w:ascii="Wingdings 2" w:hAnsi="Wingdings 2" w:hint="default"/>
      </w:rPr>
    </w:lvl>
    <w:lvl w:ilvl="8" w:tplc="A25C2C3C"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6"/>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7"/>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4"/>
  </w:num>
  <w:num w:numId="42">
    <w:abstractNumId w:val="25"/>
  </w:num>
  <w:num w:numId="43">
    <w:abstractNumId w:val="45"/>
  </w:num>
  <w:num w:numId="44">
    <w:abstractNumId w:val="38"/>
  </w:num>
  <w:num w:numId="45">
    <w:abstractNumId w:val="9"/>
  </w:num>
  <w:num w:numId="46">
    <w:abstractNumId w:val="33"/>
  </w:num>
  <w:num w:numId="47">
    <w:abstractNumId w:val="22"/>
  </w:num>
  <w:num w:numId="48">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D41"/>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6001"/>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667"/>
    <w:rsid w:val="00454BD3"/>
    <w:rsid w:val="00454C2D"/>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459"/>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6F2"/>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7BE"/>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0B5D"/>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5530"/>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3588664">
      <w:bodyDiv w:val="1"/>
      <w:marLeft w:val="0"/>
      <w:marRight w:val="0"/>
      <w:marTop w:val="0"/>
      <w:marBottom w:val="0"/>
      <w:divBdr>
        <w:top w:val="none" w:sz="0" w:space="0" w:color="auto"/>
        <w:left w:val="none" w:sz="0" w:space="0" w:color="auto"/>
        <w:bottom w:val="none" w:sz="0" w:space="0" w:color="auto"/>
        <w:right w:val="none" w:sz="0" w:space="0" w:color="auto"/>
      </w:divBdr>
      <w:divsChild>
        <w:div w:id="952244858">
          <w:marLeft w:val="576"/>
          <w:marRight w:val="0"/>
          <w:marTop w:val="120"/>
          <w:marBottom w:val="0"/>
          <w:divBdr>
            <w:top w:val="none" w:sz="0" w:space="0" w:color="auto"/>
            <w:left w:val="none" w:sz="0" w:space="0" w:color="auto"/>
            <w:bottom w:val="none" w:sz="0" w:space="0" w:color="auto"/>
            <w:right w:val="none" w:sz="0" w:space="0" w:color="auto"/>
          </w:divBdr>
        </w:div>
        <w:div w:id="1316183596">
          <w:marLeft w:val="576"/>
          <w:marRight w:val="0"/>
          <w:marTop w:val="120"/>
          <w:marBottom w:val="0"/>
          <w:divBdr>
            <w:top w:val="none" w:sz="0" w:space="0" w:color="auto"/>
            <w:left w:val="none" w:sz="0" w:space="0" w:color="auto"/>
            <w:bottom w:val="none" w:sz="0" w:space="0" w:color="auto"/>
            <w:right w:val="none" w:sz="0" w:space="0" w:color="auto"/>
          </w:divBdr>
        </w:div>
        <w:div w:id="140143789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3184332">
      <w:bodyDiv w:val="1"/>
      <w:marLeft w:val="0"/>
      <w:marRight w:val="0"/>
      <w:marTop w:val="0"/>
      <w:marBottom w:val="0"/>
      <w:divBdr>
        <w:top w:val="none" w:sz="0" w:space="0" w:color="auto"/>
        <w:left w:val="none" w:sz="0" w:space="0" w:color="auto"/>
        <w:bottom w:val="none" w:sz="0" w:space="0" w:color="auto"/>
        <w:right w:val="none" w:sz="0" w:space="0" w:color="auto"/>
      </w:divBdr>
      <w:divsChild>
        <w:div w:id="1268077937">
          <w:marLeft w:val="576"/>
          <w:marRight w:val="0"/>
          <w:marTop w:val="120"/>
          <w:marBottom w:val="0"/>
          <w:divBdr>
            <w:top w:val="none" w:sz="0" w:space="0" w:color="auto"/>
            <w:left w:val="none" w:sz="0" w:space="0" w:color="auto"/>
            <w:bottom w:val="none" w:sz="0" w:space="0" w:color="auto"/>
            <w:right w:val="none" w:sz="0" w:space="0" w:color="auto"/>
          </w:divBdr>
        </w:div>
        <w:div w:id="1723089497">
          <w:marLeft w:val="576"/>
          <w:marRight w:val="0"/>
          <w:marTop w:val="120"/>
          <w:marBottom w:val="0"/>
          <w:divBdr>
            <w:top w:val="none" w:sz="0" w:space="0" w:color="auto"/>
            <w:left w:val="none" w:sz="0" w:space="0" w:color="auto"/>
            <w:bottom w:val="none" w:sz="0" w:space="0" w:color="auto"/>
            <w:right w:val="none" w:sz="0" w:space="0" w:color="auto"/>
          </w:divBdr>
        </w:div>
        <w:div w:id="1977291394">
          <w:marLeft w:val="576"/>
          <w:marRight w:val="0"/>
          <w:marTop w:val="120"/>
          <w:marBottom w:val="0"/>
          <w:divBdr>
            <w:top w:val="none" w:sz="0" w:space="0" w:color="auto"/>
            <w:left w:val="none" w:sz="0" w:space="0" w:color="auto"/>
            <w:bottom w:val="none" w:sz="0" w:space="0" w:color="auto"/>
            <w:right w:val="none" w:sz="0" w:space="0" w:color="auto"/>
          </w:divBdr>
        </w:div>
        <w:div w:id="49927186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7120052">
      <w:bodyDiv w:val="1"/>
      <w:marLeft w:val="0"/>
      <w:marRight w:val="0"/>
      <w:marTop w:val="0"/>
      <w:marBottom w:val="0"/>
      <w:divBdr>
        <w:top w:val="none" w:sz="0" w:space="0" w:color="auto"/>
        <w:left w:val="none" w:sz="0" w:space="0" w:color="auto"/>
        <w:bottom w:val="none" w:sz="0" w:space="0" w:color="auto"/>
        <w:right w:val="none" w:sz="0" w:space="0" w:color="auto"/>
      </w:divBdr>
      <w:divsChild>
        <w:div w:id="1653605354">
          <w:marLeft w:val="0"/>
          <w:marRight w:val="0"/>
          <w:marTop w:val="0"/>
          <w:marBottom w:val="0"/>
          <w:divBdr>
            <w:top w:val="none" w:sz="0" w:space="0" w:color="auto"/>
            <w:left w:val="none" w:sz="0" w:space="0" w:color="auto"/>
            <w:bottom w:val="none" w:sz="0" w:space="0" w:color="auto"/>
            <w:right w:val="none" w:sz="0" w:space="0" w:color="auto"/>
          </w:divBdr>
          <w:divsChild>
            <w:div w:id="926963347">
              <w:marLeft w:val="0"/>
              <w:marRight w:val="0"/>
              <w:marTop w:val="0"/>
              <w:marBottom w:val="0"/>
              <w:divBdr>
                <w:top w:val="none" w:sz="0" w:space="0" w:color="auto"/>
                <w:left w:val="none" w:sz="0" w:space="0" w:color="auto"/>
                <w:bottom w:val="none" w:sz="0" w:space="0" w:color="auto"/>
                <w:right w:val="none" w:sz="0" w:space="0" w:color="auto"/>
              </w:divBdr>
              <w:divsChild>
                <w:div w:id="1805192244">
                  <w:marLeft w:val="0"/>
                  <w:marRight w:val="0"/>
                  <w:marTop w:val="0"/>
                  <w:marBottom w:val="0"/>
                  <w:divBdr>
                    <w:top w:val="none" w:sz="0" w:space="0" w:color="auto"/>
                    <w:left w:val="none" w:sz="0" w:space="0" w:color="auto"/>
                    <w:bottom w:val="none" w:sz="0" w:space="0" w:color="auto"/>
                    <w:right w:val="none" w:sz="0" w:space="0" w:color="auto"/>
                  </w:divBdr>
                  <w:divsChild>
                    <w:div w:id="88849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1724499">
      <w:bodyDiv w:val="1"/>
      <w:marLeft w:val="0"/>
      <w:marRight w:val="0"/>
      <w:marTop w:val="0"/>
      <w:marBottom w:val="0"/>
      <w:divBdr>
        <w:top w:val="none" w:sz="0" w:space="0" w:color="auto"/>
        <w:left w:val="none" w:sz="0" w:space="0" w:color="auto"/>
        <w:bottom w:val="none" w:sz="0" w:space="0" w:color="auto"/>
        <w:right w:val="none" w:sz="0" w:space="0" w:color="auto"/>
      </w:divBdr>
      <w:divsChild>
        <w:div w:id="845363744">
          <w:marLeft w:val="576"/>
          <w:marRight w:val="0"/>
          <w:marTop w:val="120"/>
          <w:marBottom w:val="0"/>
          <w:divBdr>
            <w:top w:val="none" w:sz="0" w:space="0" w:color="auto"/>
            <w:left w:val="none" w:sz="0" w:space="0" w:color="auto"/>
            <w:bottom w:val="none" w:sz="0" w:space="0" w:color="auto"/>
            <w:right w:val="none" w:sz="0" w:space="0" w:color="auto"/>
          </w:divBdr>
        </w:div>
        <w:div w:id="1897084369">
          <w:marLeft w:val="576"/>
          <w:marRight w:val="0"/>
          <w:marTop w:val="120"/>
          <w:marBottom w:val="0"/>
          <w:divBdr>
            <w:top w:val="none" w:sz="0" w:space="0" w:color="auto"/>
            <w:left w:val="none" w:sz="0" w:space="0" w:color="auto"/>
            <w:bottom w:val="none" w:sz="0" w:space="0" w:color="auto"/>
            <w:right w:val="none" w:sz="0" w:space="0" w:color="auto"/>
          </w:divBdr>
        </w:div>
        <w:div w:id="704675705">
          <w:marLeft w:val="576"/>
          <w:marRight w:val="0"/>
          <w:marTop w:val="120"/>
          <w:marBottom w:val="0"/>
          <w:divBdr>
            <w:top w:val="none" w:sz="0" w:space="0" w:color="auto"/>
            <w:left w:val="none" w:sz="0" w:space="0" w:color="auto"/>
            <w:bottom w:val="none" w:sz="0" w:space="0" w:color="auto"/>
            <w:right w:val="none" w:sz="0" w:space="0" w:color="auto"/>
          </w:divBdr>
        </w:div>
        <w:div w:id="2014450439">
          <w:marLeft w:val="576"/>
          <w:marRight w:val="0"/>
          <w:marTop w:val="120"/>
          <w:marBottom w:val="0"/>
          <w:divBdr>
            <w:top w:val="none" w:sz="0" w:space="0" w:color="auto"/>
            <w:left w:val="none" w:sz="0" w:space="0" w:color="auto"/>
            <w:bottom w:val="none" w:sz="0" w:space="0" w:color="auto"/>
            <w:right w:val="none" w:sz="0" w:space="0" w:color="auto"/>
          </w:divBdr>
        </w:div>
        <w:div w:id="4391097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720203">
      <w:bodyDiv w:val="1"/>
      <w:marLeft w:val="0"/>
      <w:marRight w:val="0"/>
      <w:marTop w:val="0"/>
      <w:marBottom w:val="0"/>
      <w:divBdr>
        <w:top w:val="none" w:sz="0" w:space="0" w:color="auto"/>
        <w:left w:val="none" w:sz="0" w:space="0" w:color="auto"/>
        <w:bottom w:val="none" w:sz="0" w:space="0" w:color="auto"/>
        <w:right w:val="none" w:sz="0" w:space="0" w:color="auto"/>
      </w:divBdr>
      <w:divsChild>
        <w:div w:id="1795174582">
          <w:marLeft w:val="576"/>
          <w:marRight w:val="0"/>
          <w:marTop w:val="120"/>
          <w:marBottom w:val="0"/>
          <w:divBdr>
            <w:top w:val="none" w:sz="0" w:space="0" w:color="auto"/>
            <w:left w:val="none" w:sz="0" w:space="0" w:color="auto"/>
            <w:bottom w:val="none" w:sz="0" w:space="0" w:color="auto"/>
            <w:right w:val="none" w:sz="0" w:space="0" w:color="auto"/>
          </w:divBdr>
        </w:div>
        <w:div w:id="969899512">
          <w:marLeft w:val="576"/>
          <w:marRight w:val="0"/>
          <w:marTop w:val="120"/>
          <w:marBottom w:val="0"/>
          <w:divBdr>
            <w:top w:val="none" w:sz="0" w:space="0" w:color="auto"/>
            <w:left w:val="none" w:sz="0" w:space="0" w:color="auto"/>
            <w:bottom w:val="none" w:sz="0" w:space="0" w:color="auto"/>
            <w:right w:val="none" w:sz="0" w:space="0" w:color="auto"/>
          </w:divBdr>
        </w:div>
        <w:div w:id="1406612566">
          <w:marLeft w:val="576"/>
          <w:marRight w:val="0"/>
          <w:marTop w:val="120"/>
          <w:marBottom w:val="0"/>
          <w:divBdr>
            <w:top w:val="none" w:sz="0" w:space="0" w:color="auto"/>
            <w:left w:val="none" w:sz="0" w:space="0" w:color="auto"/>
            <w:bottom w:val="none" w:sz="0" w:space="0" w:color="auto"/>
            <w:right w:val="none" w:sz="0" w:space="0" w:color="auto"/>
          </w:divBdr>
        </w:div>
        <w:div w:id="1417900267">
          <w:marLeft w:val="576"/>
          <w:marRight w:val="0"/>
          <w:marTop w:val="120"/>
          <w:marBottom w:val="0"/>
          <w:divBdr>
            <w:top w:val="none" w:sz="0" w:space="0" w:color="auto"/>
            <w:left w:val="none" w:sz="0" w:space="0" w:color="auto"/>
            <w:bottom w:val="none" w:sz="0" w:space="0" w:color="auto"/>
            <w:right w:val="none" w:sz="0" w:space="0" w:color="auto"/>
          </w:divBdr>
        </w:div>
        <w:div w:id="283459954">
          <w:marLeft w:val="576"/>
          <w:marRight w:val="0"/>
          <w:marTop w:val="120"/>
          <w:marBottom w:val="0"/>
          <w:divBdr>
            <w:top w:val="none" w:sz="0" w:space="0" w:color="auto"/>
            <w:left w:val="none" w:sz="0" w:space="0" w:color="auto"/>
            <w:bottom w:val="none" w:sz="0" w:space="0" w:color="auto"/>
            <w:right w:val="none" w:sz="0" w:space="0" w:color="auto"/>
          </w:divBdr>
        </w:div>
      </w:divsChild>
    </w:div>
    <w:div w:id="1267467704">
      <w:bodyDiv w:val="1"/>
      <w:marLeft w:val="0"/>
      <w:marRight w:val="0"/>
      <w:marTop w:val="0"/>
      <w:marBottom w:val="0"/>
      <w:divBdr>
        <w:top w:val="none" w:sz="0" w:space="0" w:color="auto"/>
        <w:left w:val="none" w:sz="0" w:space="0" w:color="auto"/>
        <w:bottom w:val="none" w:sz="0" w:space="0" w:color="auto"/>
        <w:right w:val="none" w:sz="0" w:space="0" w:color="auto"/>
      </w:divBdr>
      <w:divsChild>
        <w:div w:id="52387271">
          <w:marLeft w:val="576"/>
          <w:marRight w:val="0"/>
          <w:marTop w:val="120"/>
          <w:marBottom w:val="0"/>
          <w:divBdr>
            <w:top w:val="none" w:sz="0" w:space="0" w:color="auto"/>
            <w:left w:val="none" w:sz="0" w:space="0" w:color="auto"/>
            <w:bottom w:val="none" w:sz="0" w:space="0" w:color="auto"/>
            <w:right w:val="none" w:sz="0" w:space="0" w:color="auto"/>
          </w:divBdr>
        </w:div>
        <w:div w:id="1103300358">
          <w:marLeft w:val="576"/>
          <w:marRight w:val="0"/>
          <w:marTop w:val="120"/>
          <w:marBottom w:val="0"/>
          <w:divBdr>
            <w:top w:val="none" w:sz="0" w:space="0" w:color="auto"/>
            <w:left w:val="none" w:sz="0" w:space="0" w:color="auto"/>
            <w:bottom w:val="none" w:sz="0" w:space="0" w:color="auto"/>
            <w:right w:val="none" w:sz="0" w:space="0" w:color="auto"/>
          </w:divBdr>
        </w:div>
        <w:div w:id="1868450080">
          <w:marLeft w:val="576"/>
          <w:marRight w:val="0"/>
          <w:marTop w:val="120"/>
          <w:marBottom w:val="0"/>
          <w:divBdr>
            <w:top w:val="none" w:sz="0" w:space="0" w:color="auto"/>
            <w:left w:val="none" w:sz="0" w:space="0" w:color="auto"/>
            <w:bottom w:val="none" w:sz="0" w:space="0" w:color="auto"/>
            <w:right w:val="none" w:sz="0" w:space="0" w:color="auto"/>
          </w:divBdr>
        </w:div>
        <w:div w:id="205816675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4909947">
      <w:bodyDiv w:val="1"/>
      <w:marLeft w:val="0"/>
      <w:marRight w:val="0"/>
      <w:marTop w:val="0"/>
      <w:marBottom w:val="0"/>
      <w:divBdr>
        <w:top w:val="none" w:sz="0" w:space="0" w:color="auto"/>
        <w:left w:val="none" w:sz="0" w:space="0" w:color="auto"/>
        <w:bottom w:val="none" w:sz="0" w:space="0" w:color="auto"/>
        <w:right w:val="none" w:sz="0" w:space="0" w:color="auto"/>
      </w:divBdr>
      <w:divsChild>
        <w:div w:id="1624145731">
          <w:marLeft w:val="576"/>
          <w:marRight w:val="0"/>
          <w:marTop w:val="120"/>
          <w:marBottom w:val="0"/>
          <w:divBdr>
            <w:top w:val="none" w:sz="0" w:space="0" w:color="auto"/>
            <w:left w:val="none" w:sz="0" w:space="0" w:color="auto"/>
            <w:bottom w:val="none" w:sz="0" w:space="0" w:color="auto"/>
            <w:right w:val="none" w:sz="0" w:space="0" w:color="auto"/>
          </w:divBdr>
        </w:div>
        <w:div w:id="1721636578">
          <w:marLeft w:val="576"/>
          <w:marRight w:val="0"/>
          <w:marTop w:val="120"/>
          <w:marBottom w:val="0"/>
          <w:divBdr>
            <w:top w:val="none" w:sz="0" w:space="0" w:color="auto"/>
            <w:left w:val="none" w:sz="0" w:space="0" w:color="auto"/>
            <w:bottom w:val="none" w:sz="0" w:space="0" w:color="auto"/>
            <w:right w:val="none" w:sz="0" w:space="0" w:color="auto"/>
          </w:divBdr>
        </w:div>
        <w:div w:id="1572497561">
          <w:marLeft w:val="576"/>
          <w:marRight w:val="0"/>
          <w:marTop w:val="120"/>
          <w:marBottom w:val="0"/>
          <w:divBdr>
            <w:top w:val="none" w:sz="0" w:space="0" w:color="auto"/>
            <w:left w:val="none" w:sz="0" w:space="0" w:color="auto"/>
            <w:bottom w:val="none" w:sz="0" w:space="0" w:color="auto"/>
            <w:right w:val="none" w:sz="0" w:space="0" w:color="auto"/>
          </w:divBdr>
        </w:div>
        <w:div w:id="172452546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935846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14</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2021-07-08T07:04:00Z</dcterms:modified>
</cp:coreProperties>
</file>