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20043" w:rsidRDefault="00720043" w:rsidP="00720043">
      <w:pPr>
        <w:spacing w:line="360" w:lineRule="auto"/>
        <w:jc w:val="center"/>
        <w:rPr>
          <w:rFonts w:ascii="Times New Roman" w:hAnsi="Times New Roman" w:cs="Times New Roman"/>
          <w:b/>
          <w:sz w:val="44"/>
          <w:szCs w:val="44"/>
        </w:rPr>
      </w:pPr>
      <w:r w:rsidRPr="00720043">
        <w:rPr>
          <w:rFonts w:ascii="Times New Roman" w:hAnsi="Times New Roman" w:cs="Times New Roman"/>
          <w:b/>
          <w:sz w:val="44"/>
          <w:szCs w:val="44"/>
        </w:rPr>
        <w:t>Analysis of IoT-Based Load Altering Attacks Against Power Grids Using the Theory of Second-Order Dynamical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20043" w:rsidRDefault="0072004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21640F" w:rsidRDefault="0021640F" w:rsidP="0021640F">
      <w:pPr>
        <w:spacing w:line="360" w:lineRule="auto"/>
        <w:jc w:val="both"/>
        <w:rPr>
          <w:rFonts w:ascii="Times New Roman" w:hAnsi="Times New Roman" w:cs="Times New Roman"/>
          <w:b/>
          <w:sz w:val="52"/>
          <w:szCs w:val="52"/>
        </w:rPr>
      </w:pPr>
      <w:r w:rsidRPr="0021640F">
        <w:rPr>
          <w:rFonts w:ascii="Times New Roman" w:hAnsi="Times New Roman" w:cs="Times New Roman"/>
          <w:sz w:val="32"/>
          <w:szCs w:val="32"/>
        </w:rPr>
        <w:t>Recent research has shown that large-scale Internet of Things (IoT)-based load altering attacks can have a serious impact on power grid operations such as causing unsafe frequency excursions and destabilizing the grid’s control loops. In this work, we present an analytical framework to investigate the impact of IoT-based static/dynamic load altering attacks (S/DLAAs) on the power grid’s dynamic response. Existing work on this topic has mainly relied on numerical simulations and, to date, there is no analytical framework to identify the victim nodes from which that attacker can launch the most impactful attacks. To address these shortcomings, we use results from secondorder dynamical systems to analyze the power grid frequency control loop under S/DLAAs. We use parametric sensitivity of the system’s eigensolutions to identify victim nodes that correspond to the least-effort destabilizing DLAAs. Further, to analyze the SLAAs, we present closed-form expression for the system’s frequency response in terms of the attacker’s inputs, helping us characterize the minimum load change required to cause unsafe frequency excursions. Using these results, we formulate the defense against S/DLAAs as a linear programming problem in which we determine the minimum amount of load that needs to be secured at the victim nodes to ensure system safety/stability. Extensive simulations conducted using benchmark IEEE-bus systems validate the accuracy and efficacy of our approach.</w:t>
      </w:r>
      <w:r w:rsidR="001C4FD2">
        <w:rPr>
          <w:rFonts w:ascii="Times New Roman" w:hAnsi="Times New Roman" w:cs="Times New Roman"/>
          <w:sz w:val="40"/>
          <w:szCs w:val="40"/>
        </w:rPr>
        <w:t xml:space="preserve">     </w:t>
      </w:r>
    </w:p>
    <w:p w:rsidR="006A300A" w:rsidRPr="003D03F4" w:rsidRDefault="006A300A" w:rsidP="0021640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B743B" w:rsidRDefault="00D01AAE" w:rsidP="00292CA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43B">
        <w:rPr>
          <w:rFonts w:ascii="Times New Roman" w:hAnsi="Times New Roman" w:cs="Times New Roman"/>
          <w:sz w:val="32"/>
          <w:szCs w:val="32"/>
          <w:lang w:val="en-IN"/>
        </w:rPr>
        <w:t>The highlights of the paper incl</w:t>
      </w:r>
      <w:r w:rsidRPr="001B743B">
        <w:rPr>
          <w:rFonts w:ascii="Times New Roman" w:hAnsi="Times New Roman" w:cs="Times New Roman"/>
          <w:sz w:val="32"/>
          <w:szCs w:val="32"/>
          <w:lang w:val="en-IN"/>
        </w:rPr>
        <w:t>ude the identification of attack points of different configurations of the LFC system, discussion of the attack strategies, formulation of various attack models, and a brief review of the existing detection and defense mechanisms against cyber-attacks on L</w:t>
      </w:r>
      <w:r w:rsidRPr="001B743B">
        <w:rPr>
          <w:rFonts w:ascii="Times New Roman" w:hAnsi="Times New Roman" w:cs="Times New Roman"/>
          <w:sz w:val="32"/>
          <w:szCs w:val="32"/>
          <w:lang w:val="en-IN"/>
        </w:rPr>
        <w:t>FC.</w:t>
      </w:r>
    </w:p>
    <w:p w:rsidR="00000000" w:rsidRPr="001B743B" w:rsidRDefault="00D01AAE" w:rsidP="00292CA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43B">
        <w:rPr>
          <w:rFonts w:ascii="Times New Roman" w:hAnsi="Times New Roman" w:cs="Times New Roman"/>
          <w:sz w:val="32"/>
          <w:szCs w:val="32"/>
          <w:lang w:val="en-IN"/>
        </w:rPr>
        <w:t xml:space="preserve"> Apart from these, some reviews also focus on the attack impact analysis, modeling of networked control systems or cyber physical systems (CPS) under cyber-attacks, and existing attack mitigation techniques in general.</w:t>
      </w:r>
    </w:p>
    <w:p w:rsidR="00000000" w:rsidRPr="001B743B" w:rsidRDefault="00D01AAE" w:rsidP="00292CA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B743B">
        <w:rPr>
          <w:rFonts w:ascii="Times New Roman" w:hAnsi="Times New Roman" w:cs="Times New Roman"/>
          <w:sz w:val="32"/>
          <w:szCs w:val="32"/>
          <w:lang w:val="en-IN"/>
        </w:rPr>
        <w:t>In, the unknown vulnerability o</w:t>
      </w:r>
      <w:r w:rsidRPr="001B743B">
        <w:rPr>
          <w:rFonts w:ascii="Times New Roman" w:hAnsi="Times New Roman" w:cs="Times New Roman"/>
          <w:sz w:val="32"/>
          <w:szCs w:val="32"/>
          <w:lang w:val="en-IN"/>
        </w:rPr>
        <w:t>f existing bad data detection algorithms for two class of attacks (FDI attacks and generalized FDI attacks) with the attack goals of finding a random attack vector and targeted attack vector is investigated.</w:t>
      </w:r>
      <w:r w:rsidRPr="001B743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92CAD" w:rsidRDefault="00D01AAE" w:rsidP="00292CAD">
      <w:pPr>
        <w:numPr>
          <w:ilvl w:val="0"/>
          <w:numId w:val="45"/>
        </w:numPr>
        <w:spacing w:line="360" w:lineRule="auto"/>
        <w:jc w:val="both"/>
        <w:rPr>
          <w:rFonts w:ascii="Times New Roman" w:hAnsi="Times New Roman" w:cs="Times New Roman"/>
          <w:bCs/>
          <w:sz w:val="32"/>
          <w:szCs w:val="32"/>
          <w:lang w:val="en-IN"/>
        </w:rPr>
      </w:pPr>
      <w:r w:rsidRPr="00292CAD">
        <w:rPr>
          <w:rFonts w:ascii="Times New Roman" w:hAnsi="Times New Roman" w:cs="Times New Roman"/>
          <w:bCs/>
          <w:sz w:val="32"/>
          <w:szCs w:val="32"/>
          <w:lang w:val="en-IN"/>
        </w:rPr>
        <w:t xml:space="preserve">Cyber </w:t>
      </w:r>
      <w:r w:rsidRPr="00292CAD">
        <w:rPr>
          <w:rFonts w:ascii="Times New Roman" w:hAnsi="Times New Roman" w:cs="Times New Roman"/>
          <w:bCs/>
          <w:sz w:val="32"/>
          <w:szCs w:val="32"/>
          <w:lang w:val="en-IN"/>
        </w:rPr>
        <w:t>attacks targeting bulk power grid operations and state estimation problems have received significant attention.</w:t>
      </w:r>
    </w:p>
    <w:p w:rsidR="00000000" w:rsidRPr="00292CAD" w:rsidRDefault="00D01AAE" w:rsidP="00292CAD">
      <w:pPr>
        <w:numPr>
          <w:ilvl w:val="0"/>
          <w:numId w:val="45"/>
        </w:numPr>
        <w:spacing w:line="360" w:lineRule="auto"/>
        <w:jc w:val="both"/>
        <w:rPr>
          <w:rFonts w:ascii="Times New Roman" w:hAnsi="Times New Roman" w:cs="Times New Roman"/>
          <w:bCs/>
          <w:sz w:val="32"/>
          <w:szCs w:val="32"/>
          <w:lang w:val="en-IN"/>
        </w:rPr>
      </w:pPr>
      <w:r w:rsidRPr="00292CAD">
        <w:rPr>
          <w:rFonts w:ascii="Times New Roman" w:hAnsi="Times New Roman" w:cs="Times New Roman"/>
          <w:bCs/>
          <w:sz w:val="32"/>
          <w:szCs w:val="32"/>
          <w:lang w:val="en-IN"/>
        </w:rPr>
        <w:t>The defense problem requires solving a simple linear programming problem, which is also computationally cheap.</w:t>
      </w:r>
    </w:p>
    <w:p w:rsidR="00000000" w:rsidRPr="00292CAD" w:rsidRDefault="00D01AAE" w:rsidP="00292CAD">
      <w:pPr>
        <w:numPr>
          <w:ilvl w:val="0"/>
          <w:numId w:val="45"/>
        </w:numPr>
        <w:spacing w:line="360" w:lineRule="auto"/>
        <w:jc w:val="both"/>
        <w:rPr>
          <w:rFonts w:ascii="Times New Roman" w:hAnsi="Times New Roman" w:cs="Times New Roman"/>
          <w:bCs/>
          <w:sz w:val="32"/>
          <w:szCs w:val="32"/>
          <w:lang w:val="en-IN"/>
        </w:rPr>
      </w:pPr>
      <w:r w:rsidRPr="00292CAD">
        <w:rPr>
          <w:rFonts w:ascii="Times New Roman" w:hAnsi="Times New Roman" w:cs="Times New Roman"/>
          <w:bCs/>
          <w:sz w:val="32"/>
          <w:szCs w:val="32"/>
          <w:lang w:val="en-IN"/>
        </w:rPr>
        <w:lastRenderedPageBreak/>
        <w:t>We also implement the defense a</w:t>
      </w:r>
      <w:r w:rsidRPr="00292CAD">
        <w:rPr>
          <w:rFonts w:ascii="Times New Roman" w:hAnsi="Times New Roman" w:cs="Times New Roman"/>
          <w:bCs/>
          <w:sz w:val="32"/>
          <w:szCs w:val="32"/>
          <w:lang w:val="en-IN"/>
        </w:rPr>
        <w:t>gainst DLAAs by solving the optimization problem.</w:t>
      </w:r>
    </w:p>
    <w:p w:rsidR="00000000" w:rsidRPr="00292CAD" w:rsidRDefault="00D01AAE" w:rsidP="00292CAD">
      <w:pPr>
        <w:numPr>
          <w:ilvl w:val="0"/>
          <w:numId w:val="45"/>
        </w:numPr>
        <w:spacing w:line="360" w:lineRule="auto"/>
        <w:jc w:val="both"/>
        <w:rPr>
          <w:rFonts w:ascii="Times New Roman" w:hAnsi="Times New Roman" w:cs="Times New Roman"/>
          <w:bCs/>
          <w:sz w:val="32"/>
          <w:szCs w:val="32"/>
          <w:lang w:val="en-IN"/>
        </w:rPr>
      </w:pPr>
      <w:r w:rsidRPr="00292CAD">
        <w:rPr>
          <w:rFonts w:ascii="Times New Roman" w:hAnsi="Times New Roman" w:cs="Times New Roman"/>
          <w:bCs/>
          <w:sz w:val="32"/>
          <w:szCs w:val="32"/>
          <w:lang w:val="en-IN"/>
        </w:rPr>
        <w:t>Moreover, this approach has been extended in the past to advanced systems involving general higher-order eigenvalue problems.</w:t>
      </w:r>
    </w:p>
    <w:p w:rsidR="00000000" w:rsidRPr="00292CAD" w:rsidRDefault="00D01AAE" w:rsidP="00292CAD">
      <w:pPr>
        <w:numPr>
          <w:ilvl w:val="0"/>
          <w:numId w:val="45"/>
        </w:numPr>
        <w:spacing w:line="360" w:lineRule="auto"/>
        <w:jc w:val="both"/>
        <w:rPr>
          <w:rFonts w:ascii="Times New Roman" w:hAnsi="Times New Roman" w:cs="Times New Roman"/>
          <w:bCs/>
          <w:sz w:val="32"/>
          <w:szCs w:val="32"/>
          <w:lang w:val="en-IN"/>
        </w:rPr>
      </w:pPr>
      <w:r w:rsidRPr="00292CAD">
        <w:rPr>
          <w:rFonts w:ascii="Times New Roman" w:hAnsi="Times New Roman" w:cs="Times New Roman"/>
          <w:bCs/>
          <w:sz w:val="32"/>
          <w:szCs w:val="32"/>
          <w:lang w:val="en-IN"/>
        </w:rPr>
        <w:t>While DLAAs require enhanced capabilities on the part of the attacker, they ca</w:t>
      </w:r>
      <w:r w:rsidRPr="00292CAD">
        <w:rPr>
          <w:rFonts w:ascii="Times New Roman" w:hAnsi="Times New Roman" w:cs="Times New Roman"/>
          <w:bCs/>
          <w:sz w:val="32"/>
          <w:szCs w:val="32"/>
          <w:lang w:val="en-IN"/>
        </w:rPr>
        <w:t>n have a much more severe impact on grid operations than SLAAs, such as destabilizing the power grid control loops, leading to generator trips and cascading failures.</w:t>
      </w:r>
      <w:r w:rsidRPr="00292CAD">
        <w:rPr>
          <w:rFonts w:ascii="Times New Roman" w:hAnsi="Times New Roman" w:cs="Times New Roman"/>
          <w:bCs/>
          <w:sz w:val="32"/>
          <w:szCs w:val="32"/>
        </w:rPr>
        <w:t xml:space="preserve"> </w:t>
      </w:r>
    </w:p>
    <w:p w:rsidR="000B33B0" w:rsidRPr="00292CAD" w:rsidRDefault="006A300A" w:rsidP="00292CAD">
      <w:pPr>
        <w:spacing w:line="360" w:lineRule="auto"/>
        <w:jc w:val="both"/>
        <w:rPr>
          <w:rFonts w:ascii="Times New Roman" w:eastAsia="Times New Roman" w:hAnsi="Times New Roman" w:cs="Times New Roman"/>
          <w:sz w:val="32"/>
          <w:szCs w:val="32"/>
        </w:rPr>
      </w:pPr>
      <w:r w:rsidRPr="00292CAD">
        <w:rPr>
          <w:rFonts w:ascii="Times New Roman" w:hAnsi="Times New Roman" w:cs="Times New Roman"/>
          <w:b/>
          <w:sz w:val="36"/>
          <w:szCs w:val="36"/>
        </w:rPr>
        <w:t xml:space="preserve">2.2. PROPOSED </w:t>
      </w:r>
      <w:r w:rsidR="000B33B0" w:rsidRPr="00292CAD">
        <w:rPr>
          <w:rFonts w:ascii="Times New Roman" w:hAnsi="Times New Roman" w:cs="Times New Roman"/>
          <w:b/>
          <w:sz w:val="36"/>
          <w:szCs w:val="36"/>
        </w:rPr>
        <w:t xml:space="preserve">SYSTEM </w:t>
      </w:r>
    </w:p>
    <w:p w:rsidR="00292CAD" w:rsidRPr="00292CAD" w:rsidRDefault="00292CAD" w:rsidP="00292CAD">
      <w:pPr>
        <w:pStyle w:val="NormalWeb"/>
        <w:numPr>
          <w:ilvl w:val="0"/>
          <w:numId w:val="46"/>
        </w:numPr>
        <w:spacing w:before="0" w:beforeAutospacing="0" w:after="0" w:afterAutospacing="0" w:line="360" w:lineRule="auto"/>
        <w:ind w:left="284" w:hanging="284"/>
        <w:jc w:val="both"/>
        <w:rPr>
          <w:sz w:val="32"/>
          <w:szCs w:val="32"/>
        </w:rPr>
      </w:pPr>
      <w:r w:rsidRPr="00292CAD">
        <w:rPr>
          <w:sz w:val="32"/>
          <w:szCs w:val="32"/>
        </w:rPr>
        <w:t>A resilient control strategy against aperiodic DoS attack in interconnected-area power systems with communication delay is proposed in.</w:t>
      </w:r>
    </w:p>
    <w:p w:rsidR="00292CAD" w:rsidRPr="00292CAD" w:rsidRDefault="00292CAD" w:rsidP="00292CAD">
      <w:pPr>
        <w:pStyle w:val="NormalWeb"/>
        <w:numPr>
          <w:ilvl w:val="0"/>
          <w:numId w:val="46"/>
        </w:numPr>
        <w:spacing w:before="0" w:beforeAutospacing="0" w:after="0" w:afterAutospacing="0" w:line="360" w:lineRule="auto"/>
        <w:ind w:left="284" w:hanging="284"/>
        <w:jc w:val="both"/>
        <w:rPr>
          <w:sz w:val="32"/>
          <w:szCs w:val="32"/>
        </w:rPr>
      </w:pPr>
      <w:r w:rsidRPr="00292CAD">
        <w:rPr>
          <w:sz w:val="32"/>
          <w:szCs w:val="32"/>
        </w:rPr>
        <w:t>In, a defense method using ‘’Deep auto-encoder Extreme Learning Machine” (DAELM) is proposed.</w:t>
      </w:r>
    </w:p>
    <w:p w:rsidR="00292CAD" w:rsidRPr="00292CAD" w:rsidRDefault="00292CAD" w:rsidP="00292CAD">
      <w:pPr>
        <w:pStyle w:val="NormalWeb"/>
        <w:numPr>
          <w:ilvl w:val="0"/>
          <w:numId w:val="46"/>
        </w:numPr>
        <w:spacing w:before="0" w:beforeAutospacing="0" w:after="0" w:afterAutospacing="0" w:line="360" w:lineRule="auto"/>
        <w:ind w:left="284" w:hanging="284"/>
        <w:jc w:val="both"/>
        <w:rPr>
          <w:sz w:val="32"/>
          <w:szCs w:val="32"/>
        </w:rPr>
      </w:pPr>
      <w:r w:rsidRPr="00292CAD">
        <w:rPr>
          <w:sz w:val="32"/>
          <w:szCs w:val="32"/>
        </w:rPr>
        <w:t>The methods of low rank matrix factorization and nuclear norm minimization are proposed to separate the anomalies and nominal states of the power grid.</w:t>
      </w:r>
    </w:p>
    <w:p w:rsidR="00292CAD" w:rsidRPr="00292CAD" w:rsidRDefault="00292CAD" w:rsidP="00292CAD">
      <w:pPr>
        <w:pStyle w:val="NormalWeb"/>
        <w:numPr>
          <w:ilvl w:val="0"/>
          <w:numId w:val="46"/>
        </w:numPr>
        <w:spacing w:before="0" w:beforeAutospacing="0" w:after="0" w:afterAutospacing="0" w:line="360" w:lineRule="auto"/>
        <w:ind w:left="284" w:hanging="284"/>
        <w:jc w:val="both"/>
        <w:rPr>
          <w:sz w:val="32"/>
          <w:szCs w:val="32"/>
        </w:rPr>
      </w:pPr>
      <w:r w:rsidRPr="00292CAD">
        <w:rPr>
          <w:sz w:val="32"/>
          <w:szCs w:val="32"/>
        </w:rPr>
        <w:t>A recurring neural network (RNN)-based method is proposed for the detection of FDI attack in the AGC system with non-linearities like transportation time delay and governor dead band in.</w:t>
      </w:r>
    </w:p>
    <w:p w:rsidR="00BB3207" w:rsidRDefault="00292CAD" w:rsidP="00292CAD">
      <w:pPr>
        <w:pStyle w:val="NormalWeb"/>
        <w:numPr>
          <w:ilvl w:val="0"/>
          <w:numId w:val="46"/>
        </w:numPr>
        <w:spacing w:before="0" w:beforeAutospacing="0" w:after="0" w:afterAutospacing="0" w:line="360" w:lineRule="auto"/>
        <w:ind w:left="284" w:hanging="284"/>
        <w:jc w:val="both"/>
        <w:rPr>
          <w:sz w:val="32"/>
          <w:szCs w:val="32"/>
        </w:rPr>
      </w:pPr>
      <w:r w:rsidRPr="00292CAD">
        <w:rPr>
          <w:sz w:val="32"/>
          <w:szCs w:val="32"/>
        </w:rPr>
        <w:t>As a countermeasure for an optimal coordinated attack (FDI attack and load manipulation), a threshold-based detection method is proposed in.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92CAD" w:rsidRDefault="00D01AAE" w:rsidP="00292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CAD">
        <w:rPr>
          <w:rFonts w:ascii="Times New Roman" w:eastAsia="AdvGulliv-R" w:hAnsi="Times New Roman" w:cs="Times New Roman"/>
          <w:bCs/>
          <w:sz w:val="32"/>
          <w:szCs w:val="32"/>
          <w:lang w:val="en-IN"/>
        </w:rPr>
        <w:t>These intelligent devices provide convenience, efficiency and monitoring capabilities, enabling consumers to better manage their usage.</w:t>
      </w:r>
    </w:p>
    <w:p w:rsidR="00000000" w:rsidRPr="00292CAD" w:rsidRDefault="00D01AAE" w:rsidP="00292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CAD">
        <w:rPr>
          <w:rFonts w:ascii="Times New Roman" w:eastAsia="AdvGulliv-R" w:hAnsi="Times New Roman" w:cs="Times New Roman"/>
          <w:bCs/>
          <w:sz w:val="32"/>
          <w:szCs w:val="32"/>
          <w:lang w:val="en-IN"/>
        </w:rPr>
        <w:t>The eigenvalues along with the right an</w:t>
      </w:r>
      <w:r w:rsidRPr="00292CAD">
        <w:rPr>
          <w:rFonts w:ascii="Times New Roman" w:eastAsia="AdvGulliv-R" w:hAnsi="Times New Roman" w:cs="Times New Roman"/>
          <w:bCs/>
          <w:sz w:val="32"/>
          <w:szCs w:val="32"/>
          <w:lang w:val="en-IN"/>
        </w:rPr>
        <w:t>d left eigenvectors of the first-order system can be used to obtain the dynamic response of the system in an efficient manner under general forcing and initial conditions.</w:t>
      </w:r>
    </w:p>
    <w:p w:rsidR="00000000" w:rsidRPr="00292CAD" w:rsidRDefault="00D01AAE" w:rsidP="00292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CAD">
        <w:rPr>
          <w:rFonts w:ascii="Times New Roman" w:eastAsia="AdvGulliv-R" w:hAnsi="Times New Roman" w:cs="Times New Roman"/>
          <w:bCs/>
          <w:sz w:val="32"/>
          <w:szCs w:val="32"/>
          <w:lang w:val="en-IN"/>
        </w:rPr>
        <w:t>LPs can be solved exactly and efficiently, demonstrating the effectiveness of the p</w:t>
      </w:r>
      <w:r w:rsidRPr="00292CAD">
        <w:rPr>
          <w:rFonts w:ascii="Times New Roman" w:eastAsia="AdvGulliv-R" w:hAnsi="Times New Roman" w:cs="Times New Roman"/>
          <w:bCs/>
          <w:sz w:val="32"/>
          <w:szCs w:val="32"/>
          <w:lang w:val="en-IN"/>
        </w:rPr>
        <w:t>roposed approach of analyzing DLAAs using the parametric sensitivity analysis of the eigensolutions.</w:t>
      </w:r>
    </w:p>
    <w:p w:rsidR="00000000" w:rsidRPr="00292CAD" w:rsidRDefault="00D01AAE" w:rsidP="00292CA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92CAD">
        <w:rPr>
          <w:rFonts w:ascii="Times New Roman" w:eastAsia="AdvGulliv-R" w:hAnsi="Times New Roman" w:cs="Times New Roman"/>
          <w:bCs/>
          <w:sz w:val="32"/>
          <w:szCs w:val="32"/>
          <w:lang w:val="en-IN"/>
        </w:rPr>
        <w:t xml:space="preserve"> In this work, we have shown how results from secondorder dynamical systems can be used to analyze IoT-based load altering attacks against power grids.</w:t>
      </w:r>
      <w:r w:rsidRPr="00292CA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Security analysis of emerging smart home applications</w:t>
            </w:r>
          </w:p>
        </w:tc>
        <w:tc>
          <w:tcPr>
            <w:tcW w:w="3192" w:type="dxa"/>
          </w:tcPr>
          <w:p w:rsidR="000C407B" w:rsidRPr="00292CAD" w:rsidRDefault="00292CAD" w:rsidP="00292CAD">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 xml:space="preserve">E. Fernandes, J. Jung, and A. Prakash, </w:t>
            </w:r>
          </w:p>
        </w:tc>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color w:val="333333"/>
                <w:sz w:val="28"/>
                <w:szCs w:val="28"/>
                <w:shd w:val="clear" w:color="auto" w:fill="FFFFFF"/>
              </w:rPr>
              <w:t>This paper presents the first in-depth empirical security analysis of one such emerging smart home programming platform.</w:t>
            </w:r>
          </w:p>
        </w:tc>
      </w:tr>
      <w:tr w:rsidR="000C407B" w:rsidTr="000C407B">
        <w:trPr>
          <w:trHeight w:val="2942"/>
        </w:trPr>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lastRenderedPageBreak/>
              <w:t>Security and privacy in the internet of things</w:t>
            </w:r>
          </w:p>
        </w:tc>
        <w:tc>
          <w:tcPr>
            <w:tcW w:w="3192" w:type="dxa"/>
          </w:tcPr>
          <w:p w:rsidR="000C407B" w:rsidRPr="00292CAD" w:rsidRDefault="00292CAD" w:rsidP="00292CAD">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 xml:space="preserve">C. Maple, </w:t>
            </w:r>
          </w:p>
        </w:tc>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color w:val="333333"/>
                <w:sz w:val="28"/>
                <w:szCs w:val="28"/>
                <w:shd w:val="clear" w:color="auto" w:fill="FFFFFF"/>
              </w:rPr>
              <w:t>While the evolution of technology facilitates indi-vidual's life in several ways, on the other hand, it brings some threats and incursions as well.</w:t>
            </w:r>
          </w:p>
        </w:tc>
      </w:tr>
      <w:tr w:rsidR="000C407B" w:rsidTr="000C407B">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False data injection attacks against state estimation in electric power grids</w:t>
            </w:r>
          </w:p>
        </w:tc>
        <w:tc>
          <w:tcPr>
            <w:tcW w:w="3192" w:type="dxa"/>
          </w:tcPr>
          <w:p w:rsidR="000C407B" w:rsidRPr="00292CAD" w:rsidRDefault="00292CAD" w:rsidP="00292CAD">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 xml:space="preserve">Y. Liu, P. Ning, and M. K. Reiter, </w:t>
            </w:r>
          </w:p>
        </w:tc>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color w:val="333333"/>
                <w:sz w:val="28"/>
                <w:szCs w:val="28"/>
                <w:shd w:val="clear" w:color="auto" w:fill="FFFFFF"/>
              </w:rPr>
              <w:t>The existing research on false data injection (FDI) attacks against state estimation in transmission systems cannot be trivially extended to distribution feeders.</w:t>
            </w:r>
          </w:p>
        </w:tc>
      </w:tr>
      <w:tr w:rsidR="000C407B" w:rsidTr="000C407B">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Modeling load redistribution attacks in power systems</w:t>
            </w:r>
          </w:p>
        </w:tc>
        <w:tc>
          <w:tcPr>
            <w:tcW w:w="3192" w:type="dxa"/>
          </w:tcPr>
          <w:p w:rsidR="000C407B" w:rsidRPr="00292CAD" w:rsidRDefault="00292CAD" w:rsidP="00292CAD">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sz w:val="28"/>
                <w:szCs w:val="28"/>
              </w:rPr>
              <w:t xml:space="preserve">Y. Yuan, Z. Li, and K. Ren, </w:t>
            </w:r>
          </w:p>
        </w:tc>
        <w:tc>
          <w:tcPr>
            <w:tcW w:w="3192" w:type="dxa"/>
          </w:tcPr>
          <w:p w:rsidR="000C407B" w:rsidRPr="00292CAD" w:rsidRDefault="00292CAD" w:rsidP="00E53AA4">
            <w:pPr>
              <w:tabs>
                <w:tab w:val="left" w:pos="720"/>
              </w:tabs>
              <w:spacing w:after="100" w:line="360" w:lineRule="auto"/>
              <w:jc w:val="both"/>
              <w:rPr>
                <w:rFonts w:ascii="Times New Roman" w:hAnsi="Times New Roman" w:cs="Times New Roman"/>
                <w:sz w:val="28"/>
                <w:szCs w:val="28"/>
              </w:rPr>
            </w:pPr>
            <w:r w:rsidRPr="00292CAD">
              <w:rPr>
                <w:rFonts w:ascii="Times New Roman" w:hAnsi="Times New Roman" w:cs="Times New Roman"/>
                <w:color w:val="333333"/>
                <w:sz w:val="28"/>
                <w:szCs w:val="28"/>
                <w:shd w:val="clear" w:color="auto" w:fill="FFFFFF"/>
              </w:rPr>
              <w:t>State estimation collects information from a large number of meter measurements and analyzes it in a centralized manner at the control center.</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CA18A2"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CA18A2" w:rsidP="00E53AA4">
      <w:pPr>
        <w:spacing w:after="0" w:line="360" w:lineRule="auto"/>
        <w:jc w:val="both"/>
        <w:rPr>
          <w:rFonts w:ascii="Times New Roman" w:hAnsi="Times New Roman" w:cs="Times New Roman"/>
        </w:rPr>
      </w:pPr>
      <w:r w:rsidRPr="00CA18A2">
        <w:rPr>
          <w:rFonts w:ascii="Times New Roman" w:hAnsi="Times New Roman" w:cs="Times New Roman"/>
        </w:rPr>
        <w:drawing>
          <wp:inline distT="0" distB="0" distL="0" distR="0">
            <wp:extent cx="6191250" cy="58674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6191250" cy="58674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CA18A2" w:rsidRDefault="00D81E16" w:rsidP="00CA18A2">
      <w:pPr>
        <w:spacing w:after="0" w:line="360" w:lineRule="auto"/>
        <w:jc w:val="both"/>
        <w:rPr>
          <w:rFonts w:ascii="Times New Roman" w:hAnsi="Times New Roman" w:cs="Times New Roman"/>
        </w:rPr>
      </w:pPr>
      <w:r>
        <w:rPr>
          <w:rFonts w:ascii="Times New Roman" w:hAnsi="Times New Roman" w:cs="Times New Roman"/>
          <w:noProof/>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F21C5" w:rsidRPr="00D82F2C" w:rsidRDefault="00FF21C5" w:rsidP="00FF21C5">
      <w:pPr>
        <w:pStyle w:val="BodyText"/>
        <w:rPr>
          <w:bCs/>
          <w:iCs/>
          <w:sz w:val="32"/>
          <w:szCs w:val="32"/>
          <w:lang w:val="en-IN"/>
        </w:rPr>
      </w:pPr>
      <w:r w:rsidRPr="00FF21C5">
        <w:rPr>
          <w:b/>
          <w:iCs/>
          <w:sz w:val="28"/>
          <w:szCs w:val="28"/>
          <w:lang w:val="en-IN"/>
        </w:rPr>
        <w:t xml:space="preserve">    </w:t>
      </w:r>
      <w:r w:rsidRPr="00D82F2C">
        <w:rPr>
          <w:bCs/>
          <w:iCs/>
          <w:sz w:val="32"/>
          <w:szCs w:val="32"/>
          <w:lang w:val="en-IN"/>
        </w:rPr>
        <w:t xml:space="preserve">In this work, we have shown how results from secondorder dynamical systems can be used to analyze IoT-based load altering attacks against power grids. Our results offer a low-complexity analytical approach to identify nodes corresponding to the least-effort destabilizing DLAAs and leasteffort SLAAs that cause unsafe frequency excursions. Using these results, we also proposed defense against DLAAs and SLAAs. Our results show the analyses of DLAAs and SLAAs depend critically on the eigensolutions of the system and their sensitivity to changes in the attack parameters. Our analysis provides insights into how a grid operator can enhance the grid’s resilience to such attacks. To the best of our knowledge, this is the first work to apply concepts for second-order dynamical systems to analyze DLAAs and SLAAs.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D82F2C" w:rsidRDefault="00D82F2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82F2C" w:rsidRDefault="00D01AAE" w:rsidP="00D82F2C">
      <w:pPr>
        <w:pStyle w:val="BodyText"/>
        <w:numPr>
          <w:ilvl w:val="0"/>
          <w:numId w:val="42"/>
        </w:numPr>
        <w:rPr>
          <w:sz w:val="32"/>
          <w:szCs w:val="32"/>
          <w:lang w:val="en-IN"/>
        </w:rPr>
      </w:pPr>
      <w:r w:rsidRPr="00D82F2C">
        <w:rPr>
          <w:sz w:val="32"/>
          <w:szCs w:val="32"/>
          <w:lang w:val="en-IN"/>
        </w:rPr>
        <w:t>[1] “Bosch Home Connect,” https://www.bosch-home.co.u</w:t>
      </w:r>
      <w:r w:rsidRPr="00D82F2C">
        <w:rPr>
          <w:sz w:val="32"/>
          <w:szCs w:val="32"/>
          <w:lang w:val="en-IN"/>
        </w:rPr>
        <w:t xml:space="preserve">k/ bosch-innovations/homeconnect/, Accessed: May 2020. </w:t>
      </w:r>
    </w:p>
    <w:p w:rsidR="00000000" w:rsidRPr="00D82F2C" w:rsidRDefault="00D01AAE" w:rsidP="00D82F2C">
      <w:pPr>
        <w:pStyle w:val="BodyText"/>
        <w:numPr>
          <w:ilvl w:val="0"/>
          <w:numId w:val="42"/>
        </w:numPr>
        <w:rPr>
          <w:sz w:val="32"/>
          <w:szCs w:val="32"/>
          <w:lang w:val="en-IN"/>
        </w:rPr>
      </w:pPr>
      <w:r w:rsidRPr="00D82F2C">
        <w:rPr>
          <w:sz w:val="32"/>
          <w:szCs w:val="32"/>
          <w:lang w:val="en-IN"/>
        </w:rPr>
        <w:t xml:space="preserve">[2] E. Fernandes, J. Jung, and A. Prakash, “Security analysis of emerging smart home applications,” in Proc. IEEE Symposium on Security and Privacy (S&amp;P), May 2016, pp. 636–654. </w:t>
      </w:r>
    </w:p>
    <w:p w:rsidR="00000000" w:rsidRPr="00D82F2C" w:rsidRDefault="00D01AAE" w:rsidP="00D82F2C">
      <w:pPr>
        <w:pStyle w:val="BodyText"/>
        <w:numPr>
          <w:ilvl w:val="0"/>
          <w:numId w:val="42"/>
        </w:numPr>
        <w:rPr>
          <w:sz w:val="32"/>
          <w:szCs w:val="32"/>
          <w:lang w:val="en-IN"/>
        </w:rPr>
      </w:pPr>
      <w:r w:rsidRPr="00D82F2C">
        <w:rPr>
          <w:sz w:val="32"/>
          <w:szCs w:val="32"/>
          <w:lang w:val="en-IN"/>
        </w:rPr>
        <w:t>[3] C. Maple, “Secu</w:t>
      </w:r>
      <w:r w:rsidRPr="00D82F2C">
        <w:rPr>
          <w:sz w:val="32"/>
          <w:szCs w:val="32"/>
          <w:lang w:val="en-IN"/>
        </w:rPr>
        <w:t xml:space="preserve">rity and privacy in the internet of things,” Journal of Cyber Policy, vol. 2, no. 2, pp. 155–184, 2017. </w:t>
      </w:r>
    </w:p>
    <w:p w:rsidR="00000000" w:rsidRPr="00D82F2C" w:rsidRDefault="00D01AAE" w:rsidP="00D82F2C">
      <w:pPr>
        <w:pStyle w:val="BodyText"/>
        <w:numPr>
          <w:ilvl w:val="0"/>
          <w:numId w:val="42"/>
        </w:numPr>
        <w:rPr>
          <w:sz w:val="32"/>
          <w:szCs w:val="32"/>
          <w:lang w:val="en-IN"/>
        </w:rPr>
      </w:pPr>
      <w:r w:rsidRPr="00D82F2C">
        <w:rPr>
          <w:sz w:val="32"/>
          <w:szCs w:val="32"/>
          <w:lang w:val="en-IN"/>
        </w:rPr>
        <w:t>[4] Y. Liu, P. Ning, and M. K. Reiter, “False data injection attacks against state estimation in electric power grids,” in Proc. ACM Conference on Com</w:t>
      </w:r>
      <w:r w:rsidRPr="00D82F2C">
        <w:rPr>
          <w:sz w:val="32"/>
          <w:szCs w:val="32"/>
          <w:lang w:val="en-IN"/>
        </w:rPr>
        <w:t xml:space="preserve">puter and Communications Security (CCS), 2009, pp. 21–32. </w:t>
      </w:r>
    </w:p>
    <w:p w:rsidR="00000000" w:rsidRPr="00D82F2C" w:rsidRDefault="00D01AAE" w:rsidP="00D82F2C">
      <w:pPr>
        <w:pStyle w:val="BodyText"/>
        <w:numPr>
          <w:ilvl w:val="0"/>
          <w:numId w:val="42"/>
        </w:numPr>
        <w:rPr>
          <w:sz w:val="32"/>
          <w:szCs w:val="32"/>
          <w:lang w:val="en-IN"/>
        </w:rPr>
      </w:pPr>
      <w:r w:rsidRPr="00D82F2C">
        <w:rPr>
          <w:sz w:val="32"/>
          <w:szCs w:val="32"/>
          <w:lang w:val="en-IN"/>
        </w:rPr>
        <w:t>[5] Y. Yuan, Z. Li, and K. Ren, “Modeling load redistribution attacks in power systems,” IEEE Trans. Smart Grid, vol. 2, no. 2, 2011.</w:t>
      </w:r>
      <w:r w:rsidRPr="00D82F2C">
        <w:rPr>
          <w:sz w:val="32"/>
          <w:szCs w:val="32"/>
        </w:rPr>
        <w:t xml:space="preserve"> </w:t>
      </w:r>
    </w:p>
    <w:p w:rsidR="00000000" w:rsidRPr="00D82F2C" w:rsidRDefault="00D01AAE" w:rsidP="00D82F2C">
      <w:pPr>
        <w:pStyle w:val="BodyText"/>
        <w:numPr>
          <w:ilvl w:val="0"/>
          <w:numId w:val="42"/>
        </w:numPr>
        <w:rPr>
          <w:sz w:val="32"/>
          <w:szCs w:val="32"/>
          <w:lang w:val="en-IN"/>
        </w:rPr>
      </w:pPr>
      <w:r w:rsidRPr="00D82F2C">
        <w:rPr>
          <w:sz w:val="32"/>
          <w:szCs w:val="32"/>
          <w:lang w:val="en-IN"/>
        </w:rPr>
        <w:t>[6] S. Lakshminarayana, T. Z. Teng, D. K. Y. Yau, and R. Tan</w:t>
      </w:r>
      <w:r w:rsidRPr="00D82F2C">
        <w:rPr>
          <w:sz w:val="32"/>
          <w:szCs w:val="32"/>
          <w:lang w:val="en-IN"/>
        </w:rPr>
        <w:t xml:space="preserve">, “Optimal attack against cyber-physical control systems with reactive attack mitigation,” in Proc. ACM International Conference on Future Energy Systems (e-Energy), 2017, pp. 179–190. </w:t>
      </w:r>
    </w:p>
    <w:p w:rsidR="00000000" w:rsidRPr="00D82F2C" w:rsidRDefault="00D01AAE" w:rsidP="00D82F2C">
      <w:pPr>
        <w:pStyle w:val="BodyText"/>
        <w:numPr>
          <w:ilvl w:val="0"/>
          <w:numId w:val="42"/>
        </w:numPr>
        <w:rPr>
          <w:sz w:val="32"/>
          <w:szCs w:val="32"/>
          <w:lang w:val="en-IN"/>
        </w:rPr>
      </w:pPr>
      <w:r w:rsidRPr="00D82F2C">
        <w:rPr>
          <w:sz w:val="32"/>
          <w:szCs w:val="32"/>
          <w:lang w:val="en-IN"/>
        </w:rPr>
        <w:t>[7] S. Lakshminarayana, A. Kammoun, M. Debbah, and H. V. Poor, “Data-</w:t>
      </w:r>
      <w:r w:rsidRPr="00D82F2C">
        <w:rPr>
          <w:sz w:val="32"/>
          <w:szCs w:val="32"/>
          <w:lang w:val="en-IN"/>
        </w:rPr>
        <w:t xml:space="preserve">driven false data injection attacks against power grids: A random matrix approach,” IEEE Trans. Smart Grid, 2020, doi: 10.1109/TSG.2020.3011391. </w:t>
      </w:r>
    </w:p>
    <w:p w:rsidR="00000000" w:rsidRPr="00D82F2C" w:rsidRDefault="00D01AAE" w:rsidP="00D82F2C">
      <w:pPr>
        <w:pStyle w:val="BodyText"/>
        <w:numPr>
          <w:ilvl w:val="0"/>
          <w:numId w:val="42"/>
        </w:numPr>
        <w:rPr>
          <w:sz w:val="32"/>
          <w:szCs w:val="32"/>
          <w:lang w:val="en-IN"/>
        </w:rPr>
      </w:pPr>
      <w:r w:rsidRPr="00D82F2C">
        <w:rPr>
          <w:sz w:val="32"/>
          <w:szCs w:val="32"/>
          <w:lang w:val="en-IN"/>
        </w:rPr>
        <w:lastRenderedPageBreak/>
        <w:t>[8] S. Lakshminarayana, E. V. Belmega, and H. V. Poor, “Moving-target defense for detecting coordinated cyber</w:t>
      </w:r>
      <w:r w:rsidRPr="00D82F2C">
        <w:rPr>
          <w:sz w:val="32"/>
          <w:szCs w:val="32"/>
          <w:lang w:val="en-IN"/>
        </w:rPr>
        <w:t xml:space="preserve">-physical attacks in power grids,” in Proc. IEEE SmartGridComm, Oct 2019, pp. 1–7. </w:t>
      </w:r>
    </w:p>
    <w:p w:rsidR="00000000" w:rsidRPr="00D82F2C" w:rsidRDefault="00D01AAE" w:rsidP="00D82F2C">
      <w:pPr>
        <w:pStyle w:val="BodyText"/>
        <w:numPr>
          <w:ilvl w:val="0"/>
          <w:numId w:val="42"/>
        </w:numPr>
        <w:rPr>
          <w:sz w:val="32"/>
          <w:szCs w:val="32"/>
          <w:lang w:val="en-IN"/>
        </w:rPr>
      </w:pPr>
      <w:r w:rsidRPr="00D82F2C">
        <w:rPr>
          <w:sz w:val="32"/>
          <w:szCs w:val="32"/>
          <w:lang w:val="en-IN"/>
        </w:rPr>
        <w:t xml:space="preserve">[9] A. Mohsenian-Rad and A. Leon-Garcia, “Distributed internet-based load altering attacks against smart power grids,” IEEE Trans. Smart Grid, vol. 2, no. 4, pp. 667–674, </w:t>
      </w:r>
      <w:r w:rsidRPr="00D82F2C">
        <w:rPr>
          <w:sz w:val="32"/>
          <w:szCs w:val="32"/>
          <w:lang w:val="en-IN"/>
        </w:rPr>
        <w:t xml:space="preserve">2011. </w:t>
      </w:r>
    </w:p>
    <w:p w:rsidR="00000000" w:rsidRPr="00D82F2C" w:rsidRDefault="00D01AAE" w:rsidP="00D82F2C">
      <w:pPr>
        <w:pStyle w:val="BodyText"/>
        <w:numPr>
          <w:ilvl w:val="0"/>
          <w:numId w:val="42"/>
        </w:numPr>
        <w:rPr>
          <w:sz w:val="32"/>
          <w:szCs w:val="32"/>
          <w:lang w:val="en-IN"/>
        </w:rPr>
      </w:pPr>
      <w:r w:rsidRPr="00D82F2C">
        <w:rPr>
          <w:sz w:val="32"/>
          <w:szCs w:val="32"/>
          <w:lang w:val="en-IN"/>
        </w:rPr>
        <w:t xml:space="preserve">[10] A. Dabrowski, J. Ullrich, and E. R. Weippl, “Grid shock: Coordinated load-changing attacks on power grids: The non-smart power grid is vulnerable to cyber attacks as well,” in Proc. ACSAC, 2017, pp. 303– 314.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AAE" w:rsidRDefault="00D01AAE" w:rsidP="003654DF">
      <w:pPr>
        <w:spacing w:after="0" w:line="240" w:lineRule="auto"/>
      </w:pPr>
      <w:r>
        <w:separator/>
      </w:r>
    </w:p>
  </w:endnote>
  <w:endnote w:type="continuationSeparator" w:id="1">
    <w:p w:rsidR="00D01AAE" w:rsidRDefault="00D01AA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AAE" w:rsidRDefault="00D01AAE" w:rsidP="003654DF">
      <w:pPr>
        <w:spacing w:after="0" w:line="240" w:lineRule="auto"/>
      </w:pPr>
      <w:r>
        <w:separator/>
      </w:r>
    </w:p>
  </w:footnote>
  <w:footnote w:type="continuationSeparator" w:id="1">
    <w:p w:rsidR="00D01AAE" w:rsidRDefault="00D01AA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C33A9">
        <w:pPr>
          <w:pStyle w:val="Header"/>
          <w:jc w:val="right"/>
        </w:pPr>
        <w:fldSimple w:instr=" PAGE   \* MERGEFORMAT ">
          <w:r w:rsidR="00CA18A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B3C2B"/>
    <w:multiLevelType w:val="hybridMultilevel"/>
    <w:tmpl w:val="EA0A0272"/>
    <w:lvl w:ilvl="0" w:tplc="1966B868">
      <w:start w:val="1"/>
      <w:numFmt w:val="bullet"/>
      <w:lvlText w:val=""/>
      <w:lvlJc w:val="left"/>
      <w:pPr>
        <w:tabs>
          <w:tab w:val="num" w:pos="720"/>
        </w:tabs>
        <w:ind w:left="720" w:hanging="360"/>
      </w:pPr>
      <w:rPr>
        <w:rFonts w:ascii="Wingdings 2" w:hAnsi="Wingdings 2" w:hint="default"/>
      </w:rPr>
    </w:lvl>
    <w:lvl w:ilvl="1" w:tplc="21A4E06A" w:tentative="1">
      <w:start w:val="1"/>
      <w:numFmt w:val="bullet"/>
      <w:lvlText w:val=""/>
      <w:lvlJc w:val="left"/>
      <w:pPr>
        <w:tabs>
          <w:tab w:val="num" w:pos="1440"/>
        </w:tabs>
        <w:ind w:left="1440" w:hanging="360"/>
      </w:pPr>
      <w:rPr>
        <w:rFonts w:ascii="Wingdings 2" w:hAnsi="Wingdings 2" w:hint="default"/>
      </w:rPr>
    </w:lvl>
    <w:lvl w:ilvl="2" w:tplc="D87EFB72" w:tentative="1">
      <w:start w:val="1"/>
      <w:numFmt w:val="bullet"/>
      <w:lvlText w:val=""/>
      <w:lvlJc w:val="left"/>
      <w:pPr>
        <w:tabs>
          <w:tab w:val="num" w:pos="2160"/>
        </w:tabs>
        <w:ind w:left="2160" w:hanging="360"/>
      </w:pPr>
      <w:rPr>
        <w:rFonts w:ascii="Wingdings 2" w:hAnsi="Wingdings 2" w:hint="default"/>
      </w:rPr>
    </w:lvl>
    <w:lvl w:ilvl="3" w:tplc="F1A03FF6" w:tentative="1">
      <w:start w:val="1"/>
      <w:numFmt w:val="bullet"/>
      <w:lvlText w:val=""/>
      <w:lvlJc w:val="left"/>
      <w:pPr>
        <w:tabs>
          <w:tab w:val="num" w:pos="2880"/>
        </w:tabs>
        <w:ind w:left="2880" w:hanging="360"/>
      </w:pPr>
      <w:rPr>
        <w:rFonts w:ascii="Wingdings 2" w:hAnsi="Wingdings 2" w:hint="default"/>
      </w:rPr>
    </w:lvl>
    <w:lvl w:ilvl="4" w:tplc="2826A4D4" w:tentative="1">
      <w:start w:val="1"/>
      <w:numFmt w:val="bullet"/>
      <w:lvlText w:val=""/>
      <w:lvlJc w:val="left"/>
      <w:pPr>
        <w:tabs>
          <w:tab w:val="num" w:pos="3600"/>
        </w:tabs>
        <w:ind w:left="3600" w:hanging="360"/>
      </w:pPr>
      <w:rPr>
        <w:rFonts w:ascii="Wingdings 2" w:hAnsi="Wingdings 2" w:hint="default"/>
      </w:rPr>
    </w:lvl>
    <w:lvl w:ilvl="5" w:tplc="F43A03B2" w:tentative="1">
      <w:start w:val="1"/>
      <w:numFmt w:val="bullet"/>
      <w:lvlText w:val=""/>
      <w:lvlJc w:val="left"/>
      <w:pPr>
        <w:tabs>
          <w:tab w:val="num" w:pos="4320"/>
        </w:tabs>
        <w:ind w:left="4320" w:hanging="360"/>
      </w:pPr>
      <w:rPr>
        <w:rFonts w:ascii="Wingdings 2" w:hAnsi="Wingdings 2" w:hint="default"/>
      </w:rPr>
    </w:lvl>
    <w:lvl w:ilvl="6" w:tplc="1254A3C0" w:tentative="1">
      <w:start w:val="1"/>
      <w:numFmt w:val="bullet"/>
      <w:lvlText w:val=""/>
      <w:lvlJc w:val="left"/>
      <w:pPr>
        <w:tabs>
          <w:tab w:val="num" w:pos="5040"/>
        </w:tabs>
        <w:ind w:left="5040" w:hanging="360"/>
      </w:pPr>
      <w:rPr>
        <w:rFonts w:ascii="Wingdings 2" w:hAnsi="Wingdings 2" w:hint="default"/>
      </w:rPr>
    </w:lvl>
    <w:lvl w:ilvl="7" w:tplc="9A4A9ECC" w:tentative="1">
      <w:start w:val="1"/>
      <w:numFmt w:val="bullet"/>
      <w:lvlText w:val=""/>
      <w:lvlJc w:val="left"/>
      <w:pPr>
        <w:tabs>
          <w:tab w:val="num" w:pos="5760"/>
        </w:tabs>
        <w:ind w:left="5760" w:hanging="360"/>
      </w:pPr>
      <w:rPr>
        <w:rFonts w:ascii="Wingdings 2" w:hAnsi="Wingdings 2" w:hint="default"/>
      </w:rPr>
    </w:lvl>
    <w:lvl w:ilvl="8" w:tplc="918E65D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EA702A"/>
    <w:multiLevelType w:val="hybridMultilevel"/>
    <w:tmpl w:val="7AC67E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0A6FFB"/>
    <w:multiLevelType w:val="hybridMultilevel"/>
    <w:tmpl w:val="948E75C6"/>
    <w:lvl w:ilvl="0" w:tplc="A478F9DA">
      <w:start w:val="1"/>
      <w:numFmt w:val="bullet"/>
      <w:lvlText w:val=""/>
      <w:lvlJc w:val="left"/>
      <w:pPr>
        <w:tabs>
          <w:tab w:val="num" w:pos="720"/>
        </w:tabs>
        <w:ind w:left="720" w:hanging="360"/>
      </w:pPr>
      <w:rPr>
        <w:rFonts w:ascii="Wingdings 2" w:hAnsi="Wingdings 2" w:hint="default"/>
      </w:rPr>
    </w:lvl>
    <w:lvl w:ilvl="1" w:tplc="E6584A94" w:tentative="1">
      <w:start w:val="1"/>
      <w:numFmt w:val="bullet"/>
      <w:lvlText w:val=""/>
      <w:lvlJc w:val="left"/>
      <w:pPr>
        <w:tabs>
          <w:tab w:val="num" w:pos="1440"/>
        </w:tabs>
        <w:ind w:left="1440" w:hanging="360"/>
      </w:pPr>
      <w:rPr>
        <w:rFonts w:ascii="Wingdings 2" w:hAnsi="Wingdings 2" w:hint="default"/>
      </w:rPr>
    </w:lvl>
    <w:lvl w:ilvl="2" w:tplc="8A322CF2" w:tentative="1">
      <w:start w:val="1"/>
      <w:numFmt w:val="bullet"/>
      <w:lvlText w:val=""/>
      <w:lvlJc w:val="left"/>
      <w:pPr>
        <w:tabs>
          <w:tab w:val="num" w:pos="2160"/>
        </w:tabs>
        <w:ind w:left="2160" w:hanging="360"/>
      </w:pPr>
      <w:rPr>
        <w:rFonts w:ascii="Wingdings 2" w:hAnsi="Wingdings 2" w:hint="default"/>
      </w:rPr>
    </w:lvl>
    <w:lvl w:ilvl="3" w:tplc="A4A6E588" w:tentative="1">
      <w:start w:val="1"/>
      <w:numFmt w:val="bullet"/>
      <w:lvlText w:val=""/>
      <w:lvlJc w:val="left"/>
      <w:pPr>
        <w:tabs>
          <w:tab w:val="num" w:pos="2880"/>
        </w:tabs>
        <w:ind w:left="2880" w:hanging="360"/>
      </w:pPr>
      <w:rPr>
        <w:rFonts w:ascii="Wingdings 2" w:hAnsi="Wingdings 2" w:hint="default"/>
      </w:rPr>
    </w:lvl>
    <w:lvl w:ilvl="4" w:tplc="1A58F02E" w:tentative="1">
      <w:start w:val="1"/>
      <w:numFmt w:val="bullet"/>
      <w:lvlText w:val=""/>
      <w:lvlJc w:val="left"/>
      <w:pPr>
        <w:tabs>
          <w:tab w:val="num" w:pos="3600"/>
        </w:tabs>
        <w:ind w:left="3600" w:hanging="360"/>
      </w:pPr>
      <w:rPr>
        <w:rFonts w:ascii="Wingdings 2" w:hAnsi="Wingdings 2" w:hint="default"/>
      </w:rPr>
    </w:lvl>
    <w:lvl w:ilvl="5" w:tplc="AC388984" w:tentative="1">
      <w:start w:val="1"/>
      <w:numFmt w:val="bullet"/>
      <w:lvlText w:val=""/>
      <w:lvlJc w:val="left"/>
      <w:pPr>
        <w:tabs>
          <w:tab w:val="num" w:pos="4320"/>
        </w:tabs>
        <w:ind w:left="4320" w:hanging="360"/>
      </w:pPr>
      <w:rPr>
        <w:rFonts w:ascii="Wingdings 2" w:hAnsi="Wingdings 2" w:hint="default"/>
      </w:rPr>
    </w:lvl>
    <w:lvl w:ilvl="6" w:tplc="318AF986" w:tentative="1">
      <w:start w:val="1"/>
      <w:numFmt w:val="bullet"/>
      <w:lvlText w:val=""/>
      <w:lvlJc w:val="left"/>
      <w:pPr>
        <w:tabs>
          <w:tab w:val="num" w:pos="5040"/>
        </w:tabs>
        <w:ind w:left="5040" w:hanging="360"/>
      </w:pPr>
      <w:rPr>
        <w:rFonts w:ascii="Wingdings 2" w:hAnsi="Wingdings 2" w:hint="default"/>
      </w:rPr>
    </w:lvl>
    <w:lvl w:ilvl="7" w:tplc="3970FFD8" w:tentative="1">
      <w:start w:val="1"/>
      <w:numFmt w:val="bullet"/>
      <w:lvlText w:val=""/>
      <w:lvlJc w:val="left"/>
      <w:pPr>
        <w:tabs>
          <w:tab w:val="num" w:pos="5760"/>
        </w:tabs>
        <w:ind w:left="5760" w:hanging="360"/>
      </w:pPr>
      <w:rPr>
        <w:rFonts w:ascii="Wingdings 2" w:hAnsi="Wingdings 2" w:hint="default"/>
      </w:rPr>
    </w:lvl>
    <w:lvl w:ilvl="8" w:tplc="8A4270E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E55560"/>
    <w:multiLevelType w:val="hybridMultilevel"/>
    <w:tmpl w:val="3844EF96"/>
    <w:lvl w:ilvl="0" w:tplc="0B5E6D4A">
      <w:start w:val="1"/>
      <w:numFmt w:val="bullet"/>
      <w:lvlText w:val=""/>
      <w:lvlJc w:val="left"/>
      <w:pPr>
        <w:tabs>
          <w:tab w:val="num" w:pos="720"/>
        </w:tabs>
        <w:ind w:left="720" w:hanging="360"/>
      </w:pPr>
      <w:rPr>
        <w:rFonts w:ascii="Wingdings 2" w:hAnsi="Wingdings 2" w:hint="default"/>
      </w:rPr>
    </w:lvl>
    <w:lvl w:ilvl="1" w:tplc="5164C87A" w:tentative="1">
      <w:start w:val="1"/>
      <w:numFmt w:val="bullet"/>
      <w:lvlText w:val=""/>
      <w:lvlJc w:val="left"/>
      <w:pPr>
        <w:tabs>
          <w:tab w:val="num" w:pos="1440"/>
        </w:tabs>
        <w:ind w:left="1440" w:hanging="360"/>
      </w:pPr>
      <w:rPr>
        <w:rFonts w:ascii="Wingdings 2" w:hAnsi="Wingdings 2" w:hint="default"/>
      </w:rPr>
    </w:lvl>
    <w:lvl w:ilvl="2" w:tplc="66289328" w:tentative="1">
      <w:start w:val="1"/>
      <w:numFmt w:val="bullet"/>
      <w:lvlText w:val=""/>
      <w:lvlJc w:val="left"/>
      <w:pPr>
        <w:tabs>
          <w:tab w:val="num" w:pos="2160"/>
        </w:tabs>
        <w:ind w:left="2160" w:hanging="360"/>
      </w:pPr>
      <w:rPr>
        <w:rFonts w:ascii="Wingdings 2" w:hAnsi="Wingdings 2" w:hint="default"/>
      </w:rPr>
    </w:lvl>
    <w:lvl w:ilvl="3" w:tplc="E8DA793C" w:tentative="1">
      <w:start w:val="1"/>
      <w:numFmt w:val="bullet"/>
      <w:lvlText w:val=""/>
      <w:lvlJc w:val="left"/>
      <w:pPr>
        <w:tabs>
          <w:tab w:val="num" w:pos="2880"/>
        </w:tabs>
        <w:ind w:left="2880" w:hanging="360"/>
      </w:pPr>
      <w:rPr>
        <w:rFonts w:ascii="Wingdings 2" w:hAnsi="Wingdings 2" w:hint="default"/>
      </w:rPr>
    </w:lvl>
    <w:lvl w:ilvl="4" w:tplc="5EBE1006" w:tentative="1">
      <w:start w:val="1"/>
      <w:numFmt w:val="bullet"/>
      <w:lvlText w:val=""/>
      <w:lvlJc w:val="left"/>
      <w:pPr>
        <w:tabs>
          <w:tab w:val="num" w:pos="3600"/>
        </w:tabs>
        <w:ind w:left="3600" w:hanging="360"/>
      </w:pPr>
      <w:rPr>
        <w:rFonts w:ascii="Wingdings 2" w:hAnsi="Wingdings 2" w:hint="default"/>
      </w:rPr>
    </w:lvl>
    <w:lvl w:ilvl="5" w:tplc="3752A2DC" w:tentative="1">
      <w:start w:val="1"/>
      <w:numFmt w:val="bullet"/>
      <w:lvlText w:val=""/>
      <w:lvlJc w:val="left"/>
      <w:pPr>
        <w:tabs>
          <w:tab w:val="num" w:pos="4320"/>
        </w:tabs>
        <w:ind w:left="4320" w:hanging="360"/>
      </w:pPr>
      <w:rPr>
        <w:rFonts w:ascii="Wingdings 2" w:hAnsi="Wingdings 2" w:hint="default"/>
      </w:rPr>
    </w:lvl>
    <w:lvl w:ilvl="6" w:tplc="7D4A21FC" w:tentative="1">
      <w:start w:val="1"/>
      <w:numFmt w:val="bullet"/>
      <w:lvlText w:val=""/>
      <w:lvlJc w:val="left"/>
      <w:pPr>
        <w:tabs>
          <w:tab w:val="num" w:pos="5040"/>
        </w:tabs>
        <w:ind w:left="5040" w:hanging="360"/>
      </w:pPr>
      <w:rPr>
        <w:rFonts w:ascii="Wingdings 2" w:hAnsi="Wingdings 2" w:hint="default"/>
      </w:rPr>
    </w:lvl>
    <w:lvl w:ilvl="7" w:tplc="2FB21F98" w:tentative="1">
      <w:start w:val="1"/>
      <w:numFmt w:val="bullet"/>
      <w:lvlText w:val=""/>
      <w:lvlJc w:val="left"/>
      <w:pPr>
        <w:tabs>
          <w:tab w:val="num" w:pos="5760"/>
        </w:tabs>
        <w:ind w:left="5760" w:hanging="360"/>
      </w:pPr>
      <w:rPr>
        <w:rFonts w:ascii="Wingdings 2" w:hAnsi="Wingdings 2" w:hint="default"/>
      </w:rPr>
    </w:lvl>
    <w:lvl w:ilvl="8" w:tplc="8982CBA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B52C85"/>
    <w:multiLevelType w:val="hybridMultilevel"/>
    <w:tmpl w:val="590A2FDC"/>
    <w:lvl w:ilvl="0" w:tplc="71181392">
      <w:start w:val="1"/>
      <w:numFmt w:val="bullet"/>
      <w:lvlText w:val=""/>
      <w:lvlJc w:val="left"/>
      <w:pPr>
        <w:tabs>
          <w:tab w:val="num" w:pos="720"/>
        </w:tabs>
        <w:ind w:left="720" w:hanging="360"/>
      </w:pPr>
      <w:rPr>
        <w:rFonts w:ascii="Wingdings 2" w:hAnsi="Wingdings 2" w:hint="default"/>
      </w:rPr>
    </w:lvl>
    <w:lvl w:ilvl="1" w:tplc="2910BFCA" w:tentative="1">
      <w:start w:val="1"/>
      <w:numFmt w:val="bullet"/>
      <w:lvlText w:val=""/>
      <w:lvlJc w:val="left"/>
      <w:pPr>
        <w:tabs>
          <w:tab w:val="num" w:pos="1440"/>
        </w:tabs>
        <w:ind w:left="1440" w:hanging="360"/>
      </w:pPr>
      <w:rPr>
        <w:rFonts w:ascii="Wingdings 2" w:hAnsi="Wingdings 2" w:hint="default"/>
      </w:rPr>
    </w:lvl>
    <w:lvl w:ilvl="2" w:tplc="57B4003E" w:tentative="1">
      <w:start w:val="1"/>
      <w:numFmt w:val="bullet"/>
      <w:lvlText w:val=""/>
      <w:lvlJc w:val="left"/>
      <w:pPr>
        <w:tabs>
          <w:tab w:val="num" w:pos="2160"/>
        </w:tabs>
        <w:ind w:left="2160" w:hanging="360"/>
      </w:pPr>
      <w:rPr>
        <w:rFonts w:ascii="Wingdings 2" w:hAnsi="Wingdings 2" w:hint="default"/>
      </w:rPr>
    </w:lvl>
    <w:lvl w:ilvl="3" w:tplc="AF7231E4" w:tentative="1">
      <w:start w:val="1"/>
      <w:numFmt w:val="bullet"/>
      <w:lvlText w:val=""/>
      <w:lvlJc w:val="left"/>
      <w:pPr>
        <w:tabs>
          <w:tab w:val="num" w:pos="2880"/>
        </w:tabs>
        <w:ind w:left="2880" w:hanging="360"/>
      </w:pPr>
      <w:rPr>
        <w:rFonts w:ascii="Wingdings 2" w:hAnsi="Wingdings 2" w:hint="default"/>
      </w:rPr>
    </w:lvl>
    <w:lvl w:ilvl="4" w:tplc="4894A872" w:tentative="1">
      <w:start w:val="1"/>
      <w:numFmt w:val="bullet"/>
      <w:lvlText w:val=""/>
      <w:lvlJc w:val="left"/>
      <w:pPr>
        <w:tabs>
          <w:tab w:val="num" w:pos="3600"/>
        </w:tabs>
        <w:ind w:left="3600" w:hanging="360"/>
      </w:pPr>
      <w:rPr>
        <w:rFonts w:ascii="Wingdings 2" w:hAnsi="Wingdings 2" w:hint="default"/>
      </w:rPr>
    </w:lvl>
    <w:lvl w:ilvl="5" w:tplc="94B6A646" w:tentative="1">
      <w:start w:val="1"/>
      <w:numFmt w:val="bullet"/>
      <w:lvlText w:val=""/>
      <w:lvlJc w:val="left"/>
      <w:pPr>
        <w:tabs>
          <w:tab w:val="num" w:pos="4320"/>
        </w:tabs>
        <w:ind w:left="4320" w:hanging="360"/>
      </w:pPr>
      <w:rPr>
        <w:rFonts w:ascii="Wingdings 2" w:hAnsi="Wingdings 2" w:hint="default"/>
      </w:rPr>
    </w:lvl>
    <w:lvl w:ilvl="6" w:tplc="4582117C" w:tentative="1">
      <w:start w:val="1"/>
      <w:numFmt w:val="bullet"/>
      <w:lvlText w:val=""/>
      <w:lvlJc w:val="left"/>
      <w:pPr>
        <w:tabs>
          <w:tab w:val="num" w:pos="5040"/>
        </w:tabs>
        <w:ind w:left="5040" w:hanging="360"/>
      </w:pPr>
      <w:rPr>
        <w:rFonts w:ascii="Wingdings 2" w:hAnsi="Wingdings 2" w:hint="default"/>
      </w:rPr>
    </w:lvl>
    <w:lvl w:ilvl="7" w:tplc="2D9C3C8A" w:tentative="1">
      <w:start w:val="1"/>
      <w:numFmt w:val="bullet"/>
      <w:lvlText w:val=""/>
      <w:lvlJc w:val="left"/>
      <w:pPr>
        <w:tabs>
          <w:tab w:val="num" w:pos="5760"/>
        </w:tabs>
        <w:ind w:left="5760" w:hanging="360"/>
      </w:pPr>
      <w:rPr>
        <w:rFonts w:ascii="Wingdings 2" w:hAnsi="Wingdings 2" w:hint="default"/>
      </w:rPr>
    </w:lvl>
    <w:lvl w:ilvl="8" w:tplc="CEEA89DC"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1764E3"/>
    <w:multiLevelType w:val="hybridMultilevel"/>
    <w:tmpl w:val="5830A46A"/>
    <w:lvl w:ilvl="0" w:tplc="E5EE8A48">
      <w:start w:val="1"/>
      <w:numFmt w:val="bullet"/>
      <w:lvlText w:val=""/>
      <w:lvlJc w:val="left"/>
      <w:pPr>
        <w:tabs>
          <w:tab w:val="num" w:pos="720"/>
        </w:tabs>
        <w:ind w:left="720" w:hanging="360"/>
      </w:pPr>
      <w:rPr>
        <w:rFonts w:ascii="Wingdings 2" w:hAnsi="Wingdings 2" w:hint="default"/>
      </w:rPr>
    </w:lvl>
    <w:lvl w:ilvl="1" w:tplc="707839D2" w:tentative="1">
      <w:start w:val="1"/>
      <w:numFmt w:val="bullet"/>
      <w:lvlText w:val=""/>
      <w:lvlJc w:val="left"/>
      <w:pPr>
        <w:tabs>
          <w:tab w:val="num" w:pos="1440"/>
        </w:tabs>
        <w:ind w:left="1440" w:hanging="360"/>
      </w:pPr>
      <w:rPr>
        <w:rFonts w:ascii="Wingdings 2" w:hAnsi="Wingdings 2" w:hint="default"/>
      </w:rPr>
    </w:lvl>
    <w:lvl w:ilvl="2" w:tplc="BEC657A6" w:tentative="1">
      <w:start w:val="1"/>
      <w:numFmt w:val="bullet"/>
      <w:lvlText w:val=""/>
      <w:lvlJc w:val="left"/>
      <w:pPr>
        <w:tabs>
          <w:tab w:val="num" w:pos="2160"/>
        </w:tabs>
        <w:ind w:left="2160" w:hanging="360"/>
      </w:pPr>
      <w:rPr>
        <w:rFonts w:ascii="Wingdings 2" w:hAnsi="Wingdings 2" w:hint="default"/>
      </w:rPr>
    </w:lvl>
    <w:lvl w:ilvl="3" w:tplc="CEEA9266" w:tentative="1">
      <w:start w:val="1"/>
      <w:numFmt w:val="bullet"/>
      <w:lvlText w:val=""/>
      <w:lvlJc w:val="left"/>
      <w:pPr>
        <w:tabs>
          <w:tab w:val="num" w:pos="2880"/>
        </w:tabs>
        <w:ind w:left="2880" w:hanging="360"/>
      </w:pPr>
      <w:rPr>
        <w:rFonts w:ascii="Wingdings 2" w:hAnsi="Wingdings 2" w:hint="default"/>
      </w:rPr>
    </w:lvl>
    <w:lvl w:ilvl="4" w:tplc="CD6E916C" w:tentative="1">
      <w:start w:val="1"/>
      <w:numFmt w:val="bullet"/>
      <w:lvlText w:val=""/>
      <w:lvlJc w:val="left"/>
      <w:pPr>
        <w:tabs>
          <w:tab w:val="num" w:pos="3600"/>
        </w:tabs>
        <w:ind w:left="3600" w:hanging="360"/>
      </w:pPr>
      <w:rPr>
        <w:rFonts w:ascii="Wingdings 2" w:hAnsi="Wingdings 2" w:hint="default"/>
      </w:rPr>
    </w:lvl>
    <w:lvl w:ilvl="5" w:tplc="3F60C776" w:tentative="1">
      <w:start w:val="1"/>
      <w:numFmt w:val="bullet"/>
      <w:lvlText w:val=""/>
      <w:lvlJc w:val="left"/>
      <w:pPr>
        <w:tabs>
          <w:tab w:val="num" w:pos="4320"/>
        </w:tabs>
        <w:ind w:left="4320" w:hanging="360"/>
      </w:pPr>
      <w:rPr>
        <w:rFonts w:ascii="Wingdings 2" w:hAnsi="Wingdings 2" w:hint="default"/>
      </w:rPr>
    </w:lvl>
    <w:lvl w:ilvl="6" w:tplc="80A6FE70" w:tentative="1">
      <w:start w:val="1"/>
      <w:numFmt w:val="bullet"/>
      <w:lvlText w:val=""/>
      <w:lvlJc w:val="left"/>
      <w:pPr>
        <w:tabs>
          <w:tab w:val="num" w:pos="5040"/>
        </w:tabs>
        <w:ind w:left="5040" w:hanging="360"/>
      </w:pPr>
      <w:rPr>
        <w:rFonts w:ascii="Wingdings 2" w:hAnsi="Wingdings 2" w:hint="default"/>
      </w:rPr>
    </w:lvl>
    <w:lvl w:ilvl="7" w:tplc="9E76A0A8" w:tentative="1">
      <w:start w:val="1"/>
      <w:numFmt w:val="bullet"/>
      <w:lvlText w:val=""/>
      <w:lvlJc w:val="left"/>
      <w:pPr>
        <w:tabs>
          <w:tab w:val="num" w:pos="5760"/>
        </w:tabs>
        <w:ind w:left="5760" w:hanging="360"/>
      </w:pPr>
      <w:rPr>
        <w:rFonts w:ascii="Wingdings 2" w:hAnsi="Wingdings 2" w:hint="default"/>
      </w:rPr>
    </w:lvl>
    <w:lvl w:ilvl="8" w:tplc="B9B2716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11"/>
  </w:num>
  <w:num w:numId="43">
    <w:abstractNumId w:val="25"/>
  </w:num>
  <w:num w:numId="44">
    <w:abstractNumId w:val="42"/>
  </w:num>
  <w:num w:numId="45">
    <w:abstractNumId w:val="27"/>
  </w:num>
  <w:num w:numId="46">
    <w:abstractNumId w:val="7"/>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B743B"/>
    <w:rsid w:val="001C3DAB"/>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0F"/>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CAD"/>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3A9"/>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0043"/>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18A2"/>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1AAE"/>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2F2C"/>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1C5"/>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4723670">
      <w:bodyDiv w:val="1"/>
      <w:marLeft w:val="0"/>
      <w:marRight w:val="0"/>
      <w:marTop w:val="0"/>
      <w:marBottom w:val="0"/>
      <w:divBdr>
        <w:top w:val="none" w:sz="0" w:space="0" w:color="auto"/>
        <w:left w:val="none" w:sz="0" w:space="0" w:color="auto"/>
        <w:bottom w:val="none" w:sz="0" w:space="0" w:color="auto"/>
        <w:right w:val="none" w:sz="0" w:space="0" w:color="auto"/>
      </w:divBdr>
      <w:divsChild>
        <w:div w:id="490753315">
          <w:marLeft w:val="576"/>
          <w:marRight w:val="0"/>
          <w:marTop w:val="120"/>
          <w:marBottom w:val="0"/>
          <w:divBdr>
            <w:top w:val="none" w:sz="0" w:space="0" w:color="auto"/>
            <w:left w:val="none" w:sz="0" w:space="0" w:color="auto"/>
            <w:bottom w:val="none" w:sz="0" w:space="0" w:color="auto"/>
            <w:right w:val="none" w:sz="0" w:space="0" w:color="auto"/>
          </w:divBdr>
        </w:div>
        <w:div w:id="1771006498">
          <w:marLeft w:val="576"/>
          <w:marRight w:val="0"/>
          <w:marTop w:val="120"/>
          <w:marBottom w:val="0"/>
          <w:divBdr>
            <w:top w:val="none" w:sz="0" w:space="0" w:color="auto"/>
            <w:left w:val="none" w:sz="0" w:space="0" w:color="auto"/>
            <w:bottom w:val="none" w:sz="0" w:space="0" w:color="auto"/>
            <w:right w:val="none" w:sz="0" w:space="0" w:color="auto"/>
          </w:divBdr>
        </w:div>
        <w:div w:id="1362318214">
          <w:marLeft w:val="576"/>
          <w:marRight w:val="0"/>
          <w:marTop w:val="120"/>
          <w:marBottom w:val="0"/>
          <w:divBdr>
            <w:top w:val="none" w:sz="0" w:space="0" w:color="auto"/>
            <w:left w:val="none" w:sz="0" w:space="0" w:color="auto"/>
            <w:bottom w:val="none" w:sz="0" w:space="0" w:color="auto"/>
            <w:right w:val="none" w:sz="0" w:space="0" w:color="auto"/>
          </w:divBdr>
        </w:div>
        <w:div w:id="1730493125">
          <w:marLeft w:val="576"/>
          <w:marRight w:val="0"/>
          <w:marTop w:val="120"/>
          <w:marBottom w:val="0"/>
          <w:divBdr>
            <w:top w:val="none" w:sz="0" w:space="0" w:color="auto"/>
            <w:left w:val="none" w:sz="0" w:space="0" w:color="auto"/>
            <w:bottom w:val="none" w:sz="0" w:space="0" w:color="auto"/>
            <w:right w:val="none" w:sz="0" w:space="0" w:color="auto"/>
          </w:divBdr>
        </w:div>
        <w:div w:id="60688935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758974">
      <w:bodyDiv w:val="1"/>
      <w:marLeft w:val="0"/>
      <w:marRight w:val="0"/>
      <w:marTop w:val="0"/>
      <w:marBottom w:val="0"/>
      <w:divBdr>
        <w:top w:val="none" w:sz="0" w:space="0" w:color="auto"/>
        <w:left w:val="none" w:sz="0" w:space="0" w:color="auto"/>
        <w:bottom w:val="none" w:sz="0" w:space="0" w:color="auto"/>
        <w:right w:val="none" w:sz="0" w:space="0" w:color="auto"/>
      </w:divBdr>
      <w:divsChild>
        <w:div w:id="2042319191">
          <w:marLeft w:val="576"/>
          <w:marRight w:val="0"/>
          <w:marTop w:val="120"/>
          <w:marBottom w:val="0"/>
          <w:divBdr>
            <w:top w:val="none" w:sz="0" w:space="0" w:color="auto"/>
            <w:left w:val="none" w:sz="0" w:space="0" w:color="auto"/>
            <w:bottom w:val="none" w:sz="0" w:space="0" w:color="auto"/>
            <w:right w:val="none" w:sz="0" w:space="0" w:color="auto"/>
          </w:divBdr>
        </w:div>
        <w:div w:id="310181934">
          <w:marLeft w:val="576"/>
          <w:marRight w:val="0"/>
          <w:marTop w:val="120"/>
          <w:marBottom w:val="0"/>
          <w:divBdr>
            <w:top w:val="none" w:sz="0" w:space="0" w:color="auto"/>
            <w:left w:val="none" w:sz="0" w:space="0" w:color="auto"/>
            <w:bottom w:val="none" w:sz="0" w:space="0" w:color="auto"/>
            <w:right w:val="none" w:sz="0" w:space="0" w:color="auto"/>
          </w:divBdr>
        </w:div>
        <w:div w:id="2013951471">
          <w:marLeft w:val="576"/>
          <w:marRight w:val="0"/>
          <w:marTop w:val="120"/>
          <w:marBottom w:val="0"/>
          <w:divBdr>
            <w:top w:val="none" w:sz="0" w:space="0" w:color="auto"/>
            <w:left w:val="none" w:sz="0" w:space="0" w:color="auto"/>
            <w:bottom w:val="none" w:sz="0" w:space="0" w:color="auto"/>
            <w:right w:val="none" w:sz="0" w:space="0" w:color="auto"/>
          </w:divBdr>
        </w:div>
        <w:div w:id="245388052">
          <w:marLeft w:val="576"/>
          <w:marRight w:val="0"/>
          <w:marTop w:val="120"/>
          <w:marBottom w:val="0"/>
          <w:divBdr>
            <w:top w:val="none" w:sz="0" w:space="0" w:color="auto"/>
            <w:left w:val="none" w:sz="0" w:space="0" w:color="auto"/>
            <w:bottom w:val="none" w:sz="0" w:space="0" w:color="auto"/>
            <w:right w:val="none" w:sz="0" w:space="0" w:color="auto"/>
          </w:divBdr>
        </w:div>
        <w:div w:id="107547086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728012">
      <w:bodyDiv w:val="1"/>
      <w:marLeft w:val="0"/>
      <w:marRight w:val="0"/>
      <w:marTop w:val="0"/>
      <w:marBottom w:val="0"/>
      <w:divBdr>
        <w:top w:val="none" w:sz="0" w:space="0" w:color="auto"/>
        <w:left w:val="none" w:sz="0" w:space="0" w:color="auto"/>
        <w:bottom w:val="none" w:sz="0" w:space="0" w:color="auto"/>
        <w:right w:val="none" w:sz="0" w:space="0" w:color="auto"/>
      </w:divBdr>
      <w:divsChild>
        <w:div w:id="1840534251">
          <w:marLeft w:val="576"/>
          <w:marRight w:val="0"/>
          <w:marTop w:val="120"/>
          <w:marBottom w:val="0"/>
          <w:divBdr>
            <w:top w:val="none" w:sz="0" w:space="0" w:color="auto"/>
            <w:left w:val="none" w:sz="0" w:space="0" w:color="auto"/>
            <w:bottom w:val="none" w:sz="0" w:space="0" w:color="auto"/>
            <w:right w:val="none" w:sz="0" w:space="0" w:color="auto"/>
          </w:divBdr>
        </w:div>
        <w:div w:id="406536602">
          <w:marLeft w:val="576"/>
          <w:marRight w:val="0"/>
          <w:marTop w:val="120"/>
          <w:marBottom w:val="0"/>
          <w:divBdr>
            <w:top w:val="none" w:sz="0" w:space="0" w:color="auto"/>
            <w:left w:val="none" w:sz="0" w:space="0" w:color="auto"/>
            <w:bottom w:val="none" w:sz="0" w:space="0" w:color="auto"/>
            <w:right w:val="none" w:sz="0" w:space="0" w:color="auto"/>
          </w:divBdr>
        </w:div>
        <w:div w:id="1317299821">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77886">
      <w:bodyDiv w:val="1"/>
      <w:marLeft w:val="0"/>
      <w:marRight w:val="0"/>
      <w:marTop w:val="0"/>
      <w:marBottom w:val="0"/>
      <w:divBdr>
        <w:top w:val="none" w:sz="0" w:space="0" w:color="auto"/>
        <w:left w:val="none" w:sz="0" w:space="0" w:color="auto"/>
        <w:bottom w:val="none" w:sz="0" w:space="0" w:color="auto"/>
        <w:right w:val="none" w:sz="0" w:space="0" w:color="auto"/>
      </w:divBdr>
      <w:divsChild>
        <w:div w:id="2100517509">
          <w:marLeft w:val="576"/>
          <w:marRight w:val="0"/>
          <w:marTop w:val="120"/>
          <w:marBottom w:val="0"/>
          <w:divBdr>
            <w:top w:val="none" w:sz="0" w:space="0" w:color="auto"/>
            <w:left w:val="none" w:sz="0" w:space="0" w:color="auto"/>
            <w:bottom w:val="none" w:sz="0" w:space="0" w:color="auto"/>
            <w:right w:val="none" w:sz="0" w:space="0" w:color="auto"/>
          </w:divBdr>
        </w:div>
        <w:div w:id="1229994573">
          <w:marLeft w:val="576"/>
          <w:marRight w:val="0"/>
          <w:marTop w:val="120"/>
          <w:marBottom w:val="0"/>
          <w:divBdr>
            <w:top w:val="none" w:sz="0" w:space="0" w:color="auto"/>
            <w:left w:val="none" w:sz="0" w:space="0" w:color="auto"/>
            <w:bottom w:val="none" w:sz="0" w:space="0" w:color="auto"/>
            <w:right w:val="none" w:sz="0" w:space="0" w:color="auto"/>
          </w:divBdr>
        </w:div>
        <w:div w:id="920797599">
          <w:marLeft w:val="576"/>
          <w:marRight w:val="0"/>
          <w:marTop w:val="120"/>
          <w:marBottom w:val="0"/>
          <w:divBdr>
            <w:top w:val="none" w:sz="0" w:space="0" w:color="auto"/>
            <w:left w:val="none" w:sz="0" w:space="0" w:color="auto"/>
            <w:bottom w:val="none" w:sz="0" w:space="0" w:color="auto"/>
            <w:right w:val="none" w:sz="0" w:space="0" w:color="auto"/>
          </w:divBdr>
        </w:div>
        <w:div w:id="254823314">
          <w:marLeft w:val="576"/>
          <w:marRight w:val="0"/>
          <w:marTop w:val="120"/>
          <w:marBottom w:val="0"/>
          <w:divBdr>
            <w:top w:val="none" w:sz="0" w:space="0" w:color="auto"/>
            <w:left w:val="none" w:sz="0" w:space="0" w:color="auto"/>
            <w:bottom w:val="none" w:sz="0" w:space="0" w:color="auto"/>
            <w:right w:val="none" w:sz="0" w:space="0" w:color="auto"/>
          </w:divBdr>
        </w:div>
        <w:div w:id="86864455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982388">
      <w:bodyDiv w:val="1"/>
      <w:marLeft w:val="0"/>
      <w:marRight w:val="0"/>
      <w:marTop w:val="0"/>
      <w:marBottom w:val="0"/>
      <w:divBdr>
        <w:top w:val="none" w:sz="0" w:space="0" w:color="auto"/>
        <w:left w:val="none" w:sz="0" w:space="0" w:color="auto"/>
        <w:bottom w:val="none" w:sz="0" w:space="0" w:color="auto"/>
        <w:right w:val="none" w:sz="0" w:space="0" w:color="auto"/>
      </w:divBdr>
      <w:divsChild>
        <w:div w:id="813183785">
          <w:marLeft w:val="576"/>
          <w:marRight w:val="0"/>
          <w:marTop w:val="120"/>
          <w:marBottom w:val="0"/>
          <w:divBdr>
            <w:top w:val="none" w:sz="0" w:space="0" w:color="auto"/>
            <w:left w:val="none" w:sz="0" w:space="0" w:color="auto"/>
            <w:bottom w:val="none" w:sz="0" w:space="0" w:color="auto"/>
            <w:right w:val="none" w:sz="0" w:space="0" w:color="auto"/>
          </w:divBdr>
        </w:div>
        <w:div w:id="921253764">
          <w:marLeft w:val="576"/>
          <w:marRight w:val="0"/>
          <w:marTop w:val="120"/>
          <w:marBottom w:val="0"/>
          <w:divBdr>
            <w:top w:val="none" w:sz="0" w:space="0" w:color="auto"/>
            <w:left w:val="none" w:sz="0" w:space="0" w:color="auto"/>
            <w:bottom w:val="none" w:sz="0" w:space="0" w:color="auto"/>
            <w:right w:val="none" w:sz="0" w:space="0" w:color="auto"/>
          </w:divBdr>
        </w:div>
        <w:div w:id="1372414109">
          <w:marLeft w:val="576"/>
          <w:marRight w:val="0"/>
          <w:marTop w:val="120"/>
          <w:marBottom w:val="0"/>
          <w:divBdr>
            <w:top w:val="none" w:sz="0" w:space="0" w:color="auto"/>
            <w:left w:val="none" w:sz="0" w:space="0" w:color="auto"/>
            <w:bottom w:val="none" w:sz="0" w:space="0" w:color="auto"/>
            <w:right w:val="none" w:sz="0" w:space="0" w:color="auto"/>
          </w:divBdr>
        </w:div>
        <w:div w:id="471600384">
          <w:marLeft w:val="576"/>
          <w:marRight w:val="0"/>
          <w:marTop w:val="120"/>
          <w:marBottom w:val="0"/>
          <w:divBdr>
            <w:top w:val="none" w:sz="0" w:space="0" w:color="auto"/>
            <w:left w:val="none" w:sz="0" w:space="0" w:color="auto"/>
            <w:bottom w:val="none" w:sz="0" w:space="0" w:color="auto"/>
            <w:right w:val="none" w:sz="0" w:space="0" w:color="auto"/>
          </w:divBdr>
        </w:div>
        <w:div w:id="101904211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907762">
      <w:bodyDiv w:val="1"/>
      <w:marLeft w:val="0"/>
      <w:marRight w:val="0"/>
      <w:marTop w:val="0"/>
      <w:marBottom w:val="0"/>
      <w:divBdr>
        <w:top w:val="none" w:sz="0" w:space="0" w:color="auto"/>
        <w:left w:val="none" w:sz="0" w:space="0" w:color="auto"/>
        <w:bottom w:val="none" w:sz="0" w:space="0" w:color="auto"/>
        <w:right w:val="none" w:sz="0" w:space="0" w:color="auto"/>
      </w:divBdr>
      <w:divsChild>
        <w:div w:id="1107117805">
          <w:marLeft w:val="576"/>
          <w:marRight w:val="0"/>
          <w:marTop w:val="120"/>
          <w:marBottom w:val="0"/>
          <w:divBdr>
            <w:top w:val="none" w:sz="0" w:space="0" w:color="auto"/>
            <w:left w:val="none" w:sz="0" w:space="0" w:color="auto"/>
            <w:bottom w:val="none" w:sz="0" w:space="0" w:color="auto"/>
            <w:right w:val="none" w:sz="0" w:space="0" w:color="auto"/>
          </w:divBdr>
        </w:div>
        <w:div w:id="1592073">
          <w:marLeft w:val="576"/>
          <w:marRight w:val="0"/>
          <w:marTop w:val="120"/>
          <w:marBottom w:val="0"/>
          <w:divBdr>
            <w:top w:val="none" w:sz="0" w:space="0" w:color="auto"/>
            <w:left w:val="none" w:sz="0" w:space="0" w:color="auto"/>
            <w:bottom w:val="none" w:sz="0" w:space="0" w:color="auto"/>
            <w:right w:val="none" w:sz="0" w:space="0" w:color="auto"/>
          </w:divBdr>
        </w:div>
        <w:div w:id="840047045">
          <w:marLeft w:val="576"/>
          <w:marRight w:val="0"/>
          <w:marTop w:val="120"/>
          <w:marBottom w:val="0"/>
          <w:divBdr>
            <w:top w:val="none" w:sz="0" w:space="0" w:color="auto"/>
            <w:left w:val="none" w:sz="0" w:space="0" w:color="auto"/>
            <w:bottom w:val="none" w:sz="0" w:space="0" w:color="auto"/>
            <w:right w:val="none" w:sz="0" w:space="0" w:color="auto"/>
          </w:divBdr>
        </w:div>
        <w:div w:id="46315785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080297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2021-07-08T08:37:00Z</dcterms:modified>
</cp:coreProperties>
</file>