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13DB9" w:rsidRDefault="00313DB9" w:rsidP="00313DB9">
      <w:pPr>
        <w:spacing w:line="360" w:lineRule="auto"/>
        <w:jc w:val="center"/>
        <w:rPr>
          <w:rFonts w:ascii="Times New Roman" w:hAnsi="Times New Roman" w:cs="Times New Roman"/>
          <w:b/>
          <w:sz w:val="48"/>
          <w:szCs w:val="48"/>
        </w:rPr>
      </w:pPr>
      <w:r w:rsidRPr="00313DB9">
        <w:rPr>
          <w:rFonts w:ascii="Times New Roman" w:hAnsi="Times New Roman" w:cs="Times New Roman"/>
          <w:b/>
          <w:sz w:val="48"/>
          <w:szCs w:val="48"/>
        </w:rPr>
        <w:t>Performance Analysis of IoT-based Overlay Satellite-Terrestrial Networks under the Interference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13DB9" w:rsidRDefault="00313DB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13806" w:rsidRPr="00B13806" w:rsidRDefault="00B13806" w:rsidP="00B1380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13806">
        <w:rPr>
          <w:rFonts w:ascii="Times New Roman" w:eastAsia="Times New Roman" w:hAnsi="Times New Roman" w:cs="Times New Roman"/>
          <w:color w:val="333333"/>
          <w:sz w:val="32"/>
          <w:szCs w:val="32"/>
          <w:lang w:val="en-IN" w:eastAsia="en-IN" w:bidi="ta-IN"/>
        </w:rPr>
        <w:t>In this paper, we consider an overlay satellite-terrestrial network (OSTN) where an opportunistically selected terrestrial internet-of-things (IoT) network assists the primary satellite communications as well as accesses the spectrum for its own communications under hybrid interference received from extra-terrestrial sources (ETSs) and terrestrial sources (TSs). Herein, the IoT network adopts power-domain multiplexing to amplify-and-forward the superposed satellite and IoT signals. Considering a unified analytical framework for shadowed-Rician fading with integer/non-integer Nakagami-m parameter for satellite and interfering ETSs links along with the integer/non-integer Nakagami-m fading for terrestrial IoT and interfering TSs links, we derive the outage probability (OP) of both satellite and IoT networks. Further, we derive the respective asymptotic OP expressions to reveal the diversity order of both satellite and IoT networks at high signal-to-noise ratio (SNR). We show that the proposed OSTN with adaptive power-splitting factor benefits the IoT network while guaranteeing certain quality-of-service (QoS) of satellite network. We verify the numerical results by simulations.</w:t>
      </w:r>
    </w:p>
    <w:p w:rsidR="00845895" w:rsidRDefault="00845895" w:rsidP="00E53AA4">
      <w:pPr>
        <w:spacing w:line="360" w:lineRule="auto"/>
        <w:jc w:val="both"/>
        <w:rPr>
          <w:rFonts w:ascii="Times New Roman" w:hAnsi="Times New Roman" w:cs="Times New Roman"/>
          <w:b/>
          <w:sz w:val="40"/>
          <w:szCs w:val="40"/>
        </w:rPr>
      </w:pPr>
    </w:p>
    <w:p w:rsidR="00B13806" w:rsidRDefault="00B13806" w:rsidP="00B13806">
      <w:pPr>
        <w:tabs>
          <w:tab w:val="left" w:pos="6210"/>
        </w:tabs>
        <w:spacing w:line="360" w:lineRule="auto"/>
        <w:jc w:val="both"/>
        <w:rPr>
          <w:rFonts w:ascii="Times New Roman" w:hAnsi="Times New Roman" w:cs="Times New Roman"/>
          <w:b/>
          <w:sz w:val="40"/>
          <w:szCs w:val="40"/>
        </w:rPr>
      </w:pPr>
    </w:p>
    <w:p w:rsidR="00491919" w:rsidRDefault="001C4FD2" w:rsidP="00B1380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1380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B7B49" w:rsidRDefault="009A19A4" w:rsidP="000B7B4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B7B49">
        <w:rPr>
          <w:rFonts w:ascii="Times New Roman" w:hAnsi="Times New Roman" w:cs="Times New Roman"/>
          <w:sz w:val="32"/>
          <w:szCs w:val="32"/>
          <w:lang w:val="en-IN"/>
        </w:rPr>
        <w:t>NOMA also does not require si</w:t>
      </w:r>
      <w:r w:rsidRPr="000B7B49">
        <w:rPr>
          <w:rFonts w:ascii="Times New Roman" w:hAnsi="Times New Roman" w:cs="Times New Roman"/>
          <w:sz w:val="32"/>
          <w:szCs w:val="32"/>
          <w:lang w:val="en-IN"/>
        </w:rPr>
        <w:t>gnificant modifications in the existing network architecture, thus, operating with virtually no change in the cost of deployment and operation of the network.</w:t>
      </w:r>
    </w:p>
    <w:p w:rsidR="00000000" w:rsidRPr="000B7B49" w:rsidRDefault="009A19A4" w:rsidP="000B7B4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B7B49">
        <w:rPr>
          <w:rFonts w:ascii="Times New Roman" w:hAnsi="Times New Roman" w:cs="Times New Roman"/>
          <w:sz w:val="32"/>
          <w:szCs w:val="32"/>
          <w:lang w:val="en-IN"/>
        </w:rPr>
        <w:t>Since obstacles exist in the link from terrestrial users to satellite and it limits the transmis</w:t>
      </w:r>
      <w:r w:rsidRPr="000B7B49">
        <w:rPr>
          <w:rFonts w:ascii="Times New Roman" w:hAnsi="Times New Roman" w:cs="Times New Roman"/>
          <w:sz w:val="32"/>
          <w:szCs w:val="32"/>
          <w:lang w:val="en-IN"/>
        </w:rPr>
        <w:t xml:space="preserve">sion of the line of sight (LoS). </w:t>
      </w:r>
    </w:p>
    <w:p w:rsidR="00000000" w:rsidRPr="000B7B49" w:rsidRDefault="009A19A4" w:rsidP="000B7B4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B7B49">
        <w:rPr>
          <w:rFonts w:ascii="Times New Roman" w:hAnsi="Times New Roman" w:cs="Times New Roman"/>
          <w:sz w:val="32"/>
          <w:szCs w:val="32"/>
          <w:lang w:val="en-IN"/>
        </w:rPr>
        <w:t>However, a limited energy situation exists in the relay node in this C-NOMA. It is hard to replace the battery and/or there is no power line</w:t>
      </w:r>
      <w:r w:rsidRPr="000B7B49">
        <w:rPr>
          <w:rFonts w:ascii="Times New Roman" w:hAnsi="Times New Roman" w:cs="Times New Roman"/>
          <w:sz w:val="32"/>
          <w:szCs w:val="32"/>
        </w:rPr>
        <w:t>.</w:t>
      </w:r>
    </w:p>
    <w:p w:rsidR="00000000" w:rsidRPr="000B7B49" w:rsidRDefault="009A19A4" w:rsidP="000B7B4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B7B49">
        <w:rPr>
          <w:rFonts w:ascii="Times New Roman" w:hAnsi="Times New Roman" w:cs="Times New Roman"/>
          <w:sz w:val="32"/>
          <w:szCs w:val="32"/>
          <w:lang w:val="en-IN"/>
        </w:rPr>
        <w:t>The overall communication operates in two orthogonal time slots and it is cons</w:t>
      </w:r>
      <w:r w:rsidRPr="000B7B49">
        <w:rPr>
          <w:rFonts w:ascii="Times New Roman" w:hAnsi="Times New Roman" w:cs="Times New Roman"/>
          <w:sz w:val="32"/>
          <w:szCs w:val="32"/>
          <w:lang w:val="en-IN"/>
        </w:rPr>
        <w:t>idered that no direct link exists between the satellite and the NOMA users.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B7B49" w:rsidRDefault="009A19A4" w:rsidP="000B7B49">
      <w:pPr>
        <w:numPr>
          <w:ilvl w:val="0"/>
          <w:numId w:val="45"/>
        </w:numPr>
        <w:spacing w:line="360" w:lineRule="auto"/>
        <w:jc w:val="both"/>
        <w:rPr>
          <w:rFonts w:ascii="Times New Roman" w:hAnsi="Times New Roman" w:cs="Times New Roman"/>
          <w:bCs/>
          <w:sz w:val="32"/>
          <w:szCs w:val="32"/>
          <w:lang w:val="en-IN"/>
        </w:rPr>
      </w:pPr>
      <w:r w:rsidRPr="000B7B49">
        <w:rPr>
          <w:rFonts w:ascii="Times New Roman" w:hAnsi="Times New Roman" w:cs="Times New Roman"/>
          <w:bCs/>
          <w:sz w:val="32"/>
          <w:szCs w:val="32"/>
          <w:lang w:val="en-IN"/>
        </w:rPr>
        <w:t>Some works have recently dealt with the issue of CSI acquisition in STNs, it remains an open research problem of great interest.</w:t>
      </w:r>
    </w:p>
    <w:p w:rsidR="00000000" w:rsidRPr="000B7B49" w:rsidRDefault="009A19A4" w:rsidP="000B7B49">
      <w:pPr>
        <w:numPr>
          <w:ilvl w:val="0"/>
          <w:numId w:val="45"/>
        </w:numPr>
        <w:spacing w:line="360" w:lineRule="auto"/>
        <w:jc w:val="both"/>
        <w:rPr>
          <w:rFonts w:ascii="Times New Roman" w:hAnsi="Times New Roman" w:cs="Times New Roman"/>
          <w:bCs/>
          <w:sz w:val="32"/>
          <w:szCs w:val="32"/>
          <w:lang w:val="en-IN"/>
        </w:rPr>
      </w:pPr>
      <w:r w:rsidRPr="000B7B49">
        <w:rPr>
          <w:rFonts w:ascii="Times New Roman" w:hAnsi="Times New Roman" w:cs="Times New Roman"/>
          <w:bCs/>
          <w:sz w:val="32"/>
          <w:szCs w:val="32"/>
          <w:lang w:val="en-IN"/>
        </w:rPr>
        <w:t xml:space="preserve">It is </w:t>
      </w:r>
      <w:r w:rsidRPr="000B7B49">
        <w:rPr>
          <w:rFonts w:ascii="Times New Roman" w:hAnsi="Times New Roman" w:cs="Times New Roman"/>
          <w:bCs/>
          <w:sz w:val="32"/>
          <w:szCs w:val="32"/>
          <w:lang w:val="en-IN"/>
        </w:rPr>
        <w:t>quite intuitive that the interference originating from ETSs may have significant impact on the performance of STNs since SR fading is dominated by the line-of-sight (LoS) propagation.</w:t>
      </w:r>
    </w:p>
    <w:p w:rsidR="00000000" w:rsidRPr="000B7B49" w:rsidRDefault="009A19A4" w:rsidP="000B7B49">
      <w:pPr>
        <w:numPr>
          <w:ilvl w:val="0"/>
          <w:numId w:val="45"/>
        </w:numPr>
        <w:spacing w:line="360" w:lineRule="auto"/>
        <w:jc w:val="both"/>
        <w:rPr>
          <w:rFonts w:ascii="Times New Roman" w:hAnsi="Times New Roman" w:cs="Times New Roman"/>
          <w:bCs/>
          <w:sz w:val="32"/>
          <w:szCs w:val="32"/>
          <w:lang w:val="en-IN"/>
        </w:rPr>
      </w:pPr>
      <w:r w:rsidRPr="000B7B49">
        <w:rPr>
          <w:rFonts w:ascii="Times New Roman" w:hAnsi="Times New Roman" w:cs="Times New Roman"/>
          <w:bCs/>
          <w:sz w:val="32"/>
          <w:szCs w:val="32"/>
          <w:lang w:val="en-IN"/>
        </w:rPr>
        <w:t>Nevertheless, we depict the impact of various system and channel parame</w:t>
      </w:r>
      <w:r w:rsidRPr="000B7B49">
        <w:rPr>
          <w:rFonts w:ascii="Times New Roman" w:hAnsi="Times New Roman" w:cs="Times New Roman"/>
          <w:bCs/>
          <w:sz w:val="32"/>
          <w:szCs w:val="32"/>
          <w:lang w:val="en-IN"/>
        </w:rPr>
        <w:t>ters on the performance of considered OSTN.</w:t>
      </w:r>
    </w:p>
    <w:p w:rsidR="00000000" w:rsidRPr="000B7B49" w:rsidRDefault="009A19A4" w:rsidP="000B7B49">
      <w:pPr>
        <w:numPr>
          <w:ilvl w:val="0"/>
          <w:numId w:val="45"/>
        </w:numPr>
        <w:spacing w:line="360" w:lineRule="auto"/>
        <w:jc w:val="both"/>
        <w:rPr>
          <w:rFonts w:ascii="Times New Roman" w:hAnsi="Times New Roman" w:cs="Times New Roman"/>
          <w:bCs/>
          <w:sz w:val="32"/>
          <w:szCs w:val="32"/>
          <w:lang w:val="en-IN"/>
        </w:rPr>
      </w:pPr>
      <w:r w:rsidRPr="000B7B49">
        <w:rPr>
          <w:rFonts w:ascii="Times New Roman" w:hAnsi="Times New Roman" w:cs="Times New Roman"/>
          <w:bCs/>
          <w:sz w:val="32"/>
          <w:szCs w:val="32"/>
          <w:lang w:val="en-IN"/>
        </w:rPr>
        <w:t>The energy from the surrounding environments can be reused to address this problem, i.e., via an energy harvesting technique.</w:t>
      </w:r>
    </w:p>
    <w:p w:rsidR="00000000" w:rsidRPr="000B7B49" w:rsidRDefault="009A19A4" w:rsidP="000B7B49">
      <w:pPr>
        <w:numPr>
          <w:ilvl w:val="0"/>
          <w:numId w:val="45"/>
        </w:numPr>
        <w:spacing w:line="360" w:lineRule="auto"/>
        <w:jc w:val="both"/>
        <w:rPr>
          <w:rFonts w:ascii="Times New Roman" w:hAnsi="Times New Roman" w:cs="Times New Roman"/>
          <w:bCs/>
          <w:sz w:val="32"/>
          <w:szCs w:val="32"/>
          <w:lang w:val="en-IN"/>
        </w:rPr>
      </w:pPr>
      <w:r w:rsidRPr="000B7B49">
        <w:rPr>
          <w:rFonts w:ascii="Times New Roman" w:hAnsi="Times New Roman" w:cs="Times New Roman"/>
          <w:bCs/>
          <w:sz w:val="32"/>
          <w:szCs w:val="32"/>
          <w:lang w:val="en-IN"/>
        </w:rPr>
        <w:lastRenderedPageBreak/>
        <w:t>Although mobile satellite networks can prove advantageous in disaster management, th</w:t>
      </w:r>
      <w:r w:rsidRPr="000B7B49">
        <w:rPr>
          <w:rFonts w:ascii="Times New Roman" w:hAnsi="Times New Roman" w:cs="Times New Roman"/>
          <w:bCs/>
          <w:sz w:val="32"/>
          <w:szCs w:val="32"/>
          <w:lang w:val="en-IN"/>
        </w:rPr>
        <w:t xml:space="preserve">e issues of operation costs and transmission capacity cannot be ignored in such networks. </w:t>
      </w:r>
    </w:p>
    <w:p w:rsidR="000B33B0" w:rsidRPr="000B7B49" w:rsidRDefault="006A300A" w:rsidP="000B7B49">
      <w:pPr>
        <w:spacing w:line="360" w:lineRule="auto"/>
        <w:jc w:val="both"/>
        <w:rPr>
          <w:rFonts w:ascii="Times New Roman" w:eastAsia="Times New Roman" w:hAnsi="Times New Roman" w:cs="Times New Roman"/>
          <w:sz w:val="32"/>
          <w:szCs w:val="32"/>
        </w:rPr>
      </w:pPr>
      <w:r w:rsidRPr="000B7B49">
        <w:rPr>
          <w:rFonts w:ascii="Times New Roman" w:hAnsi="Times New Roman" w:cs="Times New Roman"/>
          <w:b/>
          <w:sz w:val="36"/>
          <w:szCs w:val="36"/>
        </w:rPr>
        <w:t xml:space="preserve">2.2. PROPOSED </w:t>
      </w:r>
      <w:r w:rsidR="000B33B0" w:rsidRPr="000B7B49">
        <w:rPr>
          <w:rFonts w:ascii="Times New Roman" w:hAnsi="Times New Roman" w:cs="Times New Roman"/>
          <w:b/>
          <w:sz w:val="36"/>
          <w:szCs w:val="36"/>
        </w:rPr>
        <w:t xml:space="preserve">SYSTEM </w:t>
      </w:r>
    </w:p>
    <w:p w:rsidR="000B7B49" w:rsidRPr="000B7B49" w:rsidRDefault="000B7B49" w:rsidP="000B7B49">
      <w:pPr>
        <w:pStyle w:val="NormalWeb"/>
        <w:numPr>
          <w:ilvl w:val="0"/>
          <w:numId w:val="46"/>
        </w:numPr>
        <w:spacing w:before="0" w:beforeAutospacing="0" w:after="0" w:afterAutospacing="0" w:line="360" w:lineRule="auto"/>
        <w:ind w:left="426" w:hanging="284"/>
        <w:jc w:val="both"/>
        <w:rPr>
          <w:sz w:val="32"/>
          <w:szCs w:val="32"/>
        </w:rPr>
      </w:pPr>
      <w:r w:rsidRPr="000B7B49">
        <w:rPr>
          <w:sz w:val="32"/>
          <w:szCs w:val="32"/>
        </w:rPr>
        <w:t xml:space="preserve">An HSTRN using the NOMA scheme was proposed, in which a user with better channel condition is adopted as a relay node and forwarded the information to other users. </w:t>
      </w:r>
    </w:p>
    <w:p w:rsidR="000B7B49" w:rsidRPr="000B7B49" w:rsidRDefault="000B7B49" w:rsidP="000B7B49">
      <w:pPr>
        <w:pStyle w:val="NormalWeb"/>
        <w:numPr>
          <w:ilvl w:val="0"/>
          <w:numId w:val="46"/>
        </w:numPr>
        <w:spacing w:before="0" w:beforeAutospacing="0" w:after="0" w:afterAutospacing="0" w:line="360" w:lineRule="auto"/>
        <w:ind w:left="426" w:hanging="284"/>
        <w:jc w:val="both"/>
        <w:rPr>
          <w:sz w:val="32"/>
          <w:szCs w:val="32"/>
        </w:rPr>
      </w:pPr>
      <w:r w:rsidRPr="000B7B49">
        <w:rPr>
          <w:sz w:val="32"/>
          <w:szCs w:val="32"/>
        </w:rPr>
        <w:t>The satellite in the downlink is considered in the scenario in which a relay node is employed to retransmit the NOMA signal from the satellite.</w:t>
      </w:r>
    </w:p>
    <w:p w:rsidR="000B7B49" w:rsidRPr="000B7B49" w:rsidRDefault="000B7B49" w:rsidP="000B7B49">
      <w:pPr>
        <w:pStyle w:val="NormalWeb"/>
        <w:numPr>
          <w:ilvl w:val="0"/>
          <w:numId w:val="46"/>
        </w:numPr>
        <w:spacing w:before="0" w:beforeAutospacing="0" w:after="0" w:afterAutospacing="0" w:line="360" w:lineRule="auto"/>
        <w:ind w:left="426" w:hanging="284"/>
        <w:jc w:val="both"/>
        <w:rPr>
          <w:sz w:val="32"/>
          <w:szCs w:val="32"/>
        </w:rPr>
      </w:pPr>
      <w:r w:rsidRPr="000B7B49">
        <w:rPr>
          <w:sz w:val="32"/>
          <w:szCs w:val="32"/>
        </w:rPr>
        <w:t xml:space="preserve">To validate the effectiveness of the proposed system model, and the closed-form outage probability expressions are derived. </w:t>
      </w:r>
    </w:p>
    <w:p w:rsidR="00BB3207" w:rsidRDefault="000B7B49" w:rsidP="000B7B49">
      <w:pPr>
        <w:pStyle w:val="NormalWeb"/>
        <w:numPr>
          <w:ilvl w:val="0"/>
          <w:numId w:val="46"/>
        </w:numPr>
        <w:spacing w:before="0" w:beforeAutospacing="0" w:after="0" w:afterAutospacing="0" w:line="360" w:lineRule="auto"/>
        <w:ind w:left="426" w:hanging="284"/>
        <w:jc w:val="both"/>
        <w:rPr>
          <w:sz w:val="32"/>
          <w:szCs w:val="32"/>
        </w:rPr>
      </w:pPr>
      <w:r w:rsidRPr="000B7B49">
        <w:rPr>
          <w:sz w:val="32"/>
          <w:szCs w:val="32"/>
        </w:rPr>
        <w:t>However, works mainly conducted performance evaluation based on a fixed power source at the relay, without considering energy harvesting strategy in a scenario where relay can harvest energy from the satellite directly.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B7B49" w:rsidRDefault="009A19A4" w:rsidP="000B7B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7B49">
        <w:rPr>
          <w:rFonts w:ascii="Times New Roman" w:eastAsia="AdvGulliv-R" w:hAnsi="Times New Roman" w:cs="Times New Roman"/>
          <w:bCs/>
          <w:sz w:val="32"/>
          <w:szCs w:val="32"/>
          <w:lang w:val="en-IN"/>
        </w:rPr>
        <w:t>The performance of STNs has been actively investigated in literature by taking into account decode-and-forward (DF) and amplify-and-</w:t>
      </w:r>
      <w:r w:rsidRPr="000B7B49">
        <w:rPr>
          <w:rFonts w:ascii="Times New Roman" w:eastAsia="AdvGulliv-R" w:hAnsi="Times New Roman" w:cs="Times New Roman"/>
          <w:bCs/>
          <w:sz w:val="32"/>
          <w:szCs w:val="32"/>
          <w:lang w:val="en-IN"/>
        </w:rPr>
        <w:t xml:space="preserve">forward (AF) relays. </w:t>
      </w:r>
    </w:p>
    <w:p w:rsidR="00000000" w:rsidRPr="000B7B49" w:rsidRDefault="009A19A4" w:rsidP="000B7B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7B49">
        <w:rPr>
          <w:rFonts w:ascii="Times New Roman" w:eastAsia="AdvGulliv-R" w:hAnsi="Times New Roman" w:cs="Times New Roman"/>
          <w:bCs/>
          <w:sz w:val="32"/>
          <w:szCs w:val="32"/>
          <w:lang w:val="en-IN"/>
        </w:rPr>
        <w:t xml:space="preserve">The work in has investigated the performance of an integrated STN. In, the performance of dual-hop multi-antenna STNs has been analyzed. </w:t>
      </w:r>
    </w:p>
    <w:p w:rsidR="00000000" w:rsidRPr="000B7B49" w:rsidRDefault="009A19A4" w:rsidP="000B7B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7B49">
        <w:rPr>
          <w:rFonts w:ascii="Times New Roman" w:eastAsia="AdvGulliv-R" w:hAnsi="Times New Roman" w:cs="Times New Roman"/>
          <w:bCs/>
          <w:sz w:val="32"/>
          <w:szCs w:val="32"/>
          <w:lang w:val="en-IN"/>
        </w:rPr>
        <w:lastRenderedPageBreak/>
        <w:t>The works in and have investigated the secrecy performance of STNs with ground and UAV relays,</w:t>
      </w:r>
      <w:r w:rsidRPr="000B7B49">
        <w:rPr>
          <w:rFonts w:ascii="Times New Roman" w:eastAsia="AdvGulliv-R" w:hAnsi="Times New Roman" w:cs="Times New Roman"/>
          <w:bCs/>
          <w:sz w:val="32"/>
          <w:szCs w:val="32"/>
          <w:lang w:val="en-IN"/>
        </w:rPr>
        <w:t xml:space="preserve"> respectively.</w:t>
      </w:r>
    </w:p>
    <w:p w:rsidR="00000000" w:rsidRPr="000B7B49" w:rsidRDefault="009A19A4" w:rsidP="000B7B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7B49">
        <w:rPr>
          <w:rFonts w:ascii="Times New Roman" w:eastAsia="AdvGulliv-R" w:hAnsi="Times New Roman" w:cs="Times New Roman"/>
          <w:bCs/>
          <w:sz w:val="32"/>
          <w:szCs w:val="32"/>
          <w:lang w:val="en-IN"/>
        </w:rPr>
        <w:t>Moreover, the outage performance of multiuser STNs with imperfect channel state information (CSI) was assessed in the presence of interfering TSs.</w:t>
      </w:r>
    </w:p>
    <w:p w:rsidR="00000000" w:rsidRPr="000B7B49" w:rsidRDefault="009A19A4" w:rsidP="000B7B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7B49">
        <w:rPr>
          <w:rFonts w:ascii="Times New Roman" w:eastAsia="AdvGulliv-R" w:hAnsi="Times New Roman" w:cs="Times New Roman"/>
          <w:bCs/>
          <w:sz w:val="32"/>
          <w:szCs w:val="32"/>
          <w:lang w:val="en-IN"/>
        </w:rPr>
        <w:t>It is quite intuitive that the interference originating from ETSs may have significant impac</w:t>
      </w:r>
      <w:r w:rsidRPr="000B7B49">
        <w:rPr>
          <w:rFonts w:ascii="Times New Roman" w:eastAsia="AdvGulliv-R" w:hAnsi="Times New Roman" w:cs="Times New Roman"/>
          <w:bCs/>
          <w:sz w:val="32"/>
          <w:szCs w:val="32"/>
          <w:lang w:val="en-IN"/>
        </w:rPr>
        <w:t>t on the performance of STNs since SR fading is dominated by the line-of-sight (LoS) propagation.</w:t>
      </w:r>
      <w:r w:rsidRPr="000B7B4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B7B49" w:rsidRDefault="000B7B49" w:rsidP="00E53AA4">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sz w:val="28"/>
                <w:szCs w:val="28"/>
              </w:rPr>
              <w:t>Integration of satellite and terrestrial systems in future multimedia communications</w:t>
            </w:r>
          </w:p>
        </w:tc>
        <w:tc>
          <w:tcPr>
            <w:tcW w:w="3192" w:type="dxa"/>
          </w:tcPr>
          <w:p w:rsidR="000C407B" w:rsidRPr="000B7B49" w:rsidRDefault="000B7B49" w:rsidP="000B7B49">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sz w:val="28"/>
                <w:szCs w:val="28"/>
              </w:rPr>
              <w:t xml:space="preserve">B. Evans, M. Werner, E. Lutz, M. Bousquet, G. E. Corazza, G. Maral, and R. Rumeau, </w:t>
            </w:r>
          </w:p>
        </w:tc>
        <w:tc>
          <w:tcPr>
            <w:tcW w:w="3192" w:type="dxa"/>
          </w:tcPr>
          <w:p w:rsidR="000C407B" w:rsidRPr="000B7B49" w:rsidRDefault="000B7B49" w:rsidP="00E53AA4">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color w:val="333333"/>
                <w:sz w:val="28"/>
                <w:szCs w:val="28"/>
                <w:shd w:val="clear" w:color="auto" w:fill="FFFFFF"/>
              </w:rPr>
              <w:t>In this article we examine the role of satellite communications in future telecommunication networks and service provision.</w:t>
            </w:r>
          </w:p>
        </w:tc>
      </w:tr>
      <w:tr w:rsidR="000C407B" w:rsidTr="000C407B">
        <w:trPr>
          <w:trHeight w:val="2942"/>
        </w:trPr>
        <w:tc>
          <w:tcPr>
            <w:tcW w:w="3192" w:type="dxa"/>
          </w:tcPr>
          <w:p w:rsidR="000C407B" w:rsidRPr="000B7B49" w:rsidRDefault="000B7B49" w:rsidP="00E53AA4">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sz w:val="28"/>
                <w:szCs w:val="28"/>
              </w:rPr>
              <w:t>A survey on mobile satellite systems</w:t>
            </w:r>
          </w:p>
        </w:tc>
        <w:tc>
          <w:tcPr>
            <w:tcW w:w="3192" w:type="dxa"/>
          </w:tcPr>
          <w:p w:rsidR="000C407B" w:rsidRPr="000B7B49" w:rsidRDefault="000B7B49" w:rsidP="000B7B49">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sz w:val="28"/>
                <w:szCs w:val="28"/>
              </w:rPr>
              <w:t xml:space="preserve">P. Chini, G. Giambene, and S. Kota, </w:t>
            </w:r>
          </w:p>
        </w:tc>
        <w:tc>
          <w:tcPr>
            <w:tcW w:w="3192" w:type="dxa"/>
          </w:tcPr>
          <w:p w:rsidR="000B7B49" w:rsidRPr="000B7B49" w:rsidRDefault="000B7B49" w:rsidP="00E53AA4">
            <w:pPr>
              <w:tabs>
                <w:tab w:val="left" w:pos="720"/>
              </w:tabs>
              <w:spacing w:after="100" w:line="360" w:lineRule="auto"/>
              <w:jc w:val="both"/>
              <w:rPr>
                <w:rFonts w:ascii="Times New Roman" w:hAnsi="Times New Roman" w:cs="Times New Roman"/>
                <w:color w:val="333333"/>
                <w:sz w:val="28"/>
                <w:szCs w:val="28"/>
                <w:shd w:val="clear" w:color="auto" w:fill="FFFFFF"/>
              </w:rPr>
            </w:pPr>
            <w:r w:rsidRPr="000B7B49">
              <w:rPr>
                <w:rFonts w:ascii="Times New Roman" w:hAnsi="Times New Roman" w:cs="Times New Roman"/>
                <w:color w:val="333333"/>
                <w:sz w:val="28"/>
                <w:szCs w:val="28"/>
                <w:shd w:val="clear" w:color="auto" w:fill="FFFFFF"/>
              </w:rPr>
              <w:t>Satellite systems represent a significant solution to provide communication services to mobile users in under-populated regions, in emergency areas, on planes, trains, and ships.</w:t>
            </w:r>
          </w:p>
        </w:tc>
      </w:tr>
      <w:tr w:rsidR="000C407B" w:rsidTr="000C407B">
        <w:tc>
          <w:tcPr>
            <w:tcW w:w="3192" w:type="dxa"/>
          </w:tcPr>
          <w:p w:rsidR="000C407B" w:rsidRPr="000B7B49" w:rsidRDefault="000B7B49" w:rsidP="00E53AA4">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sz w:val="28"/>
                <w:szCs w:val="28"/>
              </w:rPr>
              <w:t>Satellite communications network design and analysis</w:t>
            </w:r>
          </w:p>
        </w:tc>
        <w:tc>
          <w:tcPr>
            <w:tcW w:w="3192" w:type="dxa"/>
          </w:tcPr>
          <w:p w:rsidR="000C407B" w:rsidRPr="000B7B49" w:rsidRDefault="000B7B49" w:rsidP="000B7B49">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sz w:val="28"/>
                <w:szCs w:val="28"/>
              </w:rPr>
              <w:t xml:space="preserve">K. Y. Jo, </w:t>
            </w:r>
          </w:p>
        </w:tc>
        <w:tc>
          <w:tcPr>
            <w:tcW w:w="3192" w:type="dxa"/>
          </w:tcPr>
          <w:p w:rsidR="000C407B" w:rsidRPr="000B7B49" w:rsidRDefault="000B7B49" w:rsidP="00E53AA4">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color w:val="333333"/>
                <w:sz w:val="28"/>
                <w:szCs w:val="28"/>
                <w:shd w:val="clear" w:color="auto" w:fill="FFFFFF"/>
              </w:rPr>
              <w:t xml:space="preserve">This invaluable reference explains the many specific uses of satellite </w:t>
            </w:r>
            <w:r w:rsidRPr="000B7B49">
              <w:rPr>
                <w:rFonts w:ascii="Times New Roman" w:hAnsi="Times New Roman" w:cs="Times New Roman"/>
                <w:color w:val="333333"/>
                <w:sz w:val="28"/>
                <w:szCs w:val="28"/>
                <w:shd w:val="clear" w:color="auto" w:fill="FFFFFF"/>
              </w:rPr>
              <w:lastRenderedPageBreak/>
              <w:t>networks, including small-terminal wireless and mobile communications systems.</w:t>
            </w:r>
          </w:p>
        </w:tc>
      </w:tr>
      <w:tr w:rsidR="000C407B" w:rsidTr="000C407B">
        <w:tc>
          <w:tcPr>
            <w:tcW w:w="3192" w:type="dxa"/>
          </w:tcPr>
          <w:p w:rsidR="000C407B" w:rsidRPr="000B7B49" w:rsidRDefault="000B7B49" w:rsidP="00E53AA4">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sz w:val="28"/>
                <w:szCs w:val="28"/>
              </w:rPr>
              <w:lastRenderedPageBreak/>
              <w:t>Exact symbol error probability of hybrid/integrated satellite-terrestrial cooperative network</w:t>
            </w:r>
          </w:p>
        </w:tc>
        <w:tc>
          <w:tcPr>
            <w:tcW w:w="3192" w:type="dxa"/>
          </w:tcPr>
          <w:p w:rsidR="000C407B" w:rsidRPr="000B7B49" w:rsidRDefault="000B7B49" w:rsidP="000B7B49">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sz w:val="28"/>
                <w:szCs w:val="28"/>
              </w:rPr>
              <w:t xml:space="preserve">S. Sreng, B. Escrig, and M. Boucheret, </w:t>
            </w:r>
          </w:p>
        </w:tc>
        <w:tc>
          <w:tcPr>
            <w:tcW w:w="3192" w:type="dxa"/>
          </w:tcPr>
          <w:p w:rsidR="000C407B" w:rsidRPr="000B7B49" w:rsidRDefault="000B7B49" w:rsidP="00E53AA4">
            <w:pPr>
              <w:tabs>
                <w:tab w:val="left" w:pos="720"/>
              </w:tabs>
              <w:spacing w:after="100" w:line="360" w:lineRule="auto"/>
              <w:jc w:val="both"/>
              <w:rPr>
                <w:rFonts w:ascii="Times New Roman" w:hAnsi="Times New Roman" w:cs="Times New Roman"/>
                <w:sz w:val="28"/>
                <w:szCs w:val="28"/>
              </w:rPr>
            </w:pPr>
            <w:r w:rsidRPr="000B7B49">
              <w:rPr>
                <w:rFonts w:ascii="Times New Roman" w:hAnsi="Times New Roman" w:cs="Times New Roman"/>
                <w:color w:val="333333"/>
                <w:sz w:val="28"/>
                <w:szCs w:val="28"/>
                <w:shd w:val="clear" w:color="auto" w:fill="FFFFFF"/>
              </w:rPr>
              <w:t>In this paper, we study the Symbol Error Probability (SEP) performance of a hybrid/integrated satellite-terrestrial cooperative network.</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6B2B83" w:rsidRDefault="006B2B83" w:rsidP="00F5183A">
      <w:pPr>
        <w:rPr>
          <w:rFonts w:ascii="Times New Roman" w:hAnsi="Times New Roman" w:cs="Times New Roman"/>
          <w:b/>
          <w:sz w:val="28"/>
          <w:szCs w:val="28"/>
        </w:rPr>
      </w:pPr>
    </w:p>
    <w:p w:rsidR="006B2B83" w:rsidRDefault="006B2B83" w:rsidP="00F5183A">
      <w:pPr>
        <w:rPr>
          <w:rFonts w:ascii="Times New Roman" w:hAnsi="Times New Roman" w:cs="Times New Roman"/>
          <w:b/>
          <w:sz w:val="28"/>
          <w:szCs w:val="28"/>
        </w:rPr>
      </w:pPr>
    </w:p>
    <w:p w:rsidR="006B2B83" w:rsidRPr="00F5183A" w:rsidRDefault="006B2B83"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B2B83" w:rsidP="00E53AA4">
      <w:pPr>
        <w:spacing w:after="0" w:line="360" w:lineRule="auto"/>
        <w:jc w:val="both"/>
        <w:rPr>
          <w:rFonts w:ascii="Times New Roman" w:hAnsi="Times New Roman" w:cs="Times New Roman"/>
        </w:rPr>
      </w:pPr>
      <w:r w:rsidRPr="006B2B83">
        <w:rPr>
          <w:rFonts w:ascii="Times New Roman" w:hAnsi="Times New Roman" w:cs="Times New Roman"/>
        </w:rPr>
        <w:drawing>
          <wp:inline distT="0" distB="0" distL="0" distR="0">
            <wp:extent cx="5943600" cy="437261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372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6B2B83" w:rsidRDefault="006B2B83"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E44C8" w:rsidRPr="00EE44C8" w:rsidRDefault="00EE44C8" w:rsidP="00EE44C8">
      <w:pPr>
        <w:pStyle w:val="BodyText"/>
        <w:rPr>
          <w:bCs/>
          <w:iCs/>
          <w:sz w:val="32"/>
          <w:szCs w:val="32"/>
          <w:lang w:val="en-IN"/>
        </w:rPr>
      </w:pPr>
      <w:r w:rsidRPr="00EE44C8">
        <w:rPr>
          <w:bCs/>
          <w:iCs/>
          <w:sz w:val="32"/>
          <w:szCs w:val="32"/>
          <w:lang w:val="en-IN"/>
        </w:rPr>
        <w:t xml:space="preserve">     In this paper, we have analyzed the OP of an OSTN where a selected secondary IoT network assists primary satellite communications in the presence of hybrid interference from ETSs and TSs. We presented a unified framework for INT/NINT Nakagami-m parameter of SR fading related to main satellite and interfering ETSs links. In addition, we considered both INT/NINT Nakagami-m fading scenario for main terrestrial and interfering TSs. We derived tight lower bound OP expressions for both satellite and IoT networks under two cases 1 and 2 which characterize all four scenarios described in Table I. We further derived asymptotic OP expressions for both these networks under the conditions (a) and (b) to find their achievable diversity orders. We have also formulated an adaptive scheme for power splitting-factor that improves the OP of IoT networks while guaranteeing certain QoS of satellite network. In general, we found that in the presence of hybrid interference, the achievable diversity orders of both the networks are different under the cases 1 and 2. The diversity orders of these networks under condition (a) depend upon the choice of INT/NINT combination of parameters for both SR and Nakagami-m fading. However, under condition (b), the achievable diversity order of both these networks reduced to zero irrespective of the INT/NINT SR and Nakagami-m fading parameters. We found that even when the diversity orders of the satellite and IoT networks become zero, the coding gain can be </w:t>
      </w:r>
      <w:r w:rsidRPr="00EE44C8">
        <w:rPr>
          <w:bCs/>
          <w:iCs/>
          <w:sz w:val="32"/>
          <w:szCs w:val="32"/>
          <w:lang w:val="en-IN"/>
        </w:rPr>
        <w:lastRenderedPageBreak/>
        <w:t xml:space="preserve">harnessed for enhancing their system performance. Nevertheless, our generalized OP analysis of considered OSTN for general INT/NINT SR and Nakagami-m parameters has laid useful guidelines for futuristic deployments. </w:t>
      </w:r>
    </w:p>
    <w:p w:rsidR="001F1E5A" w:rsidRPr="00EE44C8" w:rsidRDefault="001F1E5A" w:rsidP="00E53AA4">
      <w:pPr>
        <w:pStyle w:val="BodyText"/>
        <w:rPr>
          <w:bCs/>
          <w:iCs/>
          <w:sz w:val="32"/>
          <w:szCs w:val="32"/>
        </w:rPr>
      </w:pPr>
    </w:p>
    <w:p w:rsidR="003C0F6F" w:rsidRDefault="003C0F6F"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EE44C8" w:rsidRDefault="00EE44C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E44C8" w:rsidRDefault="009A19A4" w:rsidP="00EE44C8">
      <w:pPr>
        <w:pStyle w:val="BodyText"/>
        <w:numPr>
          <w:ilvl w:val="0"/>
          <w:numId w:val="42"/>
        </w:numPr>
        <w:rPr>
          <w:sz w:val="32"/>
          <w:szCs w:val="32"/>
          <w:lang w:val="en-IN"/>
        </w:rPr>
      </w:pPr>
      <w:r w:rsidRPr="00EE44C8">
        <w:rPr>
          <w:sz w:val="32"/>
          <w:szCs w:val="32"/>
          <w:lang w:val="en-IN"/>
        </w:rPr>
        <w:t>[1] B. Evans, M. Werner, E. Lutz, M. Bousquet, G. E. Corazza, G. Maral, and R. Rumeau, “Integration of satellite and terrestrial systems in future multimedi</w:t>
      </w:r>
      <w:r w:rsidRPr="00EE44C8">
        <w:rPr>
          <w:sz w:val="32"/>
          <w:szCs w:val="32"/>
          <w:lang w:val="en-IN"/>
        </w:rPr>
        <w:t xml:space="preserve">a communications,” IEEE Wireless Commun., vol. 12, no. 5, pp. 72–80, Oct. 2005. </w:t>
      </w:r>
    </w:p>
    <w:p w:rsidR="00000000" w:rsidRPr="00EE44C8" w:rsidRDefault="009A19A4" w:rsidP="00EE44C8">
      <w:pPr>
        <w:pStyle w:val="BodyText"/>
        <w:numPr>
          <w:ilvl w:val="0"/>
          <w:numId w:val="42"/>
        </w:numPr>
        <w:rPr>
          <w:sz w:val="32"/>
          <w:szCs w:val="32"/>
          <w:lang w:val="en-IN"/>
        </w:rPr>
      </w:pPr>
      <w:r w:rsidRPr="00EE44C8">
        <w:rPr>
          <w:sz w:val="32"/>
          <w:szCs w:val="32"/>
          <w:lang w:val="en-IN"/>
        </w:rPr>
        <w:t xml:space="preserve">[2] P. Chini, G. Giambene, and S. Kota, “A survey on mobile satellite systems,” Int. J. Sat. Commun., vol. 28, no. 1, pp. 29–57, Jan. 2010. </w:t>
      </w:r>
    </w:p>
    <w:p w:rsidR="00000000" w:rsidRPr="00EE44C8" w:rsidRDefault="009A19A4" w:rsidP="00EE44C8">
      <w:pPr>
        <w:pStyle w:val="BodyText"/>
        <w:numPr>
          <w:ilvl w:val="0"/>
          <w:numId w:val="42"/>
        </w:numPr>
        <w:rPr>
          <w:sz w:val="32"/>
          <w:szCs w:val="32"/>
          <w:lang w:val="en-IN"/>
        </w:rPr>
      </w:pPr>
      <w:r w:rsidRPr="00EE44C8">
        <w:rPr>
          <w:sz w:val="32"/>
          <w:szCs w:val="32"/>
          <w:lang w:val="en-IN"/>
        </w:rPr>
        <w:t>[3] K. Y. Jo, Satellite communic</w:t>
      </w:r>
      <w:r w:rsidRPr="00EE44C8">
        <w:rPr>
          <w:sz w:val="32"/>
          <w:szCs w:val="32"/>
          <w:lang w:val="en-IN"/>
        </w:rPr>
        <w:t xml:space="preserve">ations network design and analysis. Norwood, MA, USA: Artech house, 2011. </w:t>
      </w:r>
    </w:p>
    <w:p w:rsidR="00000000" w:rsidRPr="00EE44C8" w:rsidRDefault="009A19A4" w:rsidP="00EE44C8">
      <w:pPr>
        <w:pStyle w:val="BodyText"/>
        <w:numPr>
          <w:ilvl w:val="0"/>
          <w:numId w:val="42"/>
        </w:numPr>
        <w:rPr>
          <w:sz w:val="32"/>
          <w:szCs w:val="32"/>
          <w:lang w:val="en-IN"/>
        </w:rPr>
      </w:pPr>
      <w:r w:rsidRPr="00EE44C8">
        <w:rPr>
          <w:sz w:val="32"/>
          <w:szCs w:val="32"/>
          <w:lang w:val="en-IN"/>
        </w:rPr>
        <w:t>[4] S. Sreng, B. Escrig, and M. Boucheret, “Exact symbol error probability of hybrid/integrated satellite-terrestrial cooperative network,” IEEE Trans. Wireless Commun., vol. 12, n</w:t>
      </w:r>
      <w:r w:rsidRPr="00EE44C8">
        <w:rPr>
          <w:sz w:val="32"/>
          <w:szCs w:val="32"/>
          <w:lang w:val="en-IN"/>
        </w:rPr>
        <w:t xml:space="preserve">o. 3, pp. 1310–1319, Mar. 2013. </w:t>
      </w:r>
    </w:p>
    <w:p w:rsidR="00000000" w:rsidRPr="00EE44C8" w:rsidRDefault="009A19A4" w:rsidP="00EE44C8">
      <w:pPr>
        <w:pStyle w:val="BodyText"/>
        <w:numPr>
          <w:ilvl w:val="0"/>
          <w:numId w:val="42"/>
        </w:numPr>
        <w:rPr>
          <w:sz w:val="32"/>
          <w:szCs w:val="32"/>
          <w:lang w:val="en-IN"/>
        </w:rPr>
      </w:pPr>
      <w:r w:rsidRPr="00EE44C8">
        <w:rPr>
          <w:sz w:val="32"/>
          <w:szCs w:val="32"/>
          <w:lang w:val="en-IN"/>
        </w:rPr>
        <w:t xml:space="preserve">[5] A. A. Khan, M. H. Rehmani, and A. Rachedi, “Cognitive-radio-based internet of things: Applications, architectures, spectrum related functionalities, and future research directions,” IEEE Wireless Commun., vol. 24, no. </w:t>
      </w:r>
      <w:r w:rsidRPr="00EE44C8">
        <w:rPr>
          <w:sz w:val="32"/>
          <w:szCs w:val="32"/>
          <w:lang w:val="en-IN"/>
        </w:rPr>
        <w:t xml:space="preserve">3, pp. 17–25, Jun. 2017. </w:t>
      </w:r>
    </w:p>
    <w:p w:rsidR="00000000" w:rsidRPr="00EE44C8" w:rsidRDefault="009A19A4" w:rsidP="00EE44C8">
      <w:pPr>
        <w:pStyle w:val="BodyText"/>
        <w:numPr>
          <w:ilvl w:val="0"/>
          <w:numId w:val="42"/>
        </w:numPr>
        <w:rPr>
          <w:sz w:val="32"/>
          <w:szCs w:val="32"/>
          <w:lang w:val="en-IN"/>
        </w:rPr>
      </w:pPr>
      <w:r w:rsidRPr="00EE44C8">
        <w:rPr>
          <w:sz w:val="32"/>
          <w:szCs w:val="32"/>
          <w:lang w:val="en-IN"/>
        </w:rPr>
        <w:t xml:space="preserve">[6] S. Haykin, “Cognitive radio: brain-empowered wireless communications,” IEEE J. Sel. Areas Commun., vol. 23, no. 2, pp. 201–220, Feb. 2005. </w:t>
      </w:r>
    </w:p>
    <w:p w:rsidR="00000000" w:rsidRPr="00EE44C8" w:rsidRDefault="009A19A4" w:rsidP="00EE44C8">
      <w:pPr>
        <w:pStyle w:val="BodyText"/>
        <w:numPr>
          <w:ilvl w:val="0"/>
          <w:numId w:val="42"/>
        </w:numPr>
        <w:rPr>
          <w:sz w:val="32"/>
          <w:szCs w:val="32"/>
          <w:lang w:val="en-IN"/>
        </w:rPr>
      </w:pPr>
      <w:r w:rsidRPr="00EE44C8">
        <w:rPr>
          <w:sz w:val="32"/>
          <w:szCs w:val="32"/>
          <w:lang w:val="en-IN"/>
        </w:rPr>
        <w:t>[7] R. Manna, R. H. Y. Louie, Y. Li, and B. Vucetic, “Cooperative spectrum sharing i</w:t>
      </w:r>
      <w:r w:rsidRPr="00EE44C8">
        <w:rPr>
          <w:sz w:val="32"/>
          <w:szCs w:val="32"/>
          <w:lang w:val="en-IN"/>
        </w:rPr>
        <w:t xml:space="preserve">n cognitive radio networks with multiple </w:t>
      </w:r>
      <w:r w:rsidRPr="00EE44C8">
        <w:rPr>
          <w:sz w:val="32"/>
          <w:szCs w:val="32"/>
          <w:lang w:val="en-IN"/>
        </w:rPr>
        <w:lastRenderedPageBreak/>
        <w:t>antennas,” IEEE Trans. Signal Process., vol. 59, no. 11, pp. 5509–5522, Nov. 2011.</w:t>
      </w:r>
    </w:p>
    <w:p w:rsidR="00000000" w:rsidRPr="00EE44C8" w:rsidRDefault="009A19A4" w:rsidP="00EE44C8">
      <w:pPr>
        <w:pStyle w:val="BodyText"/>
        <w:numPr>
          <w:ilvl w:val="0"/>
          <w:numId w:val="42"/>
        </w:numPr>
        <w:rPr>
          <w:sz w:val="32"/>
          <w:szCs w:val="32"/>
          <w:lang w:val="en-IN"/>
        </w:rPr>
      </w:pPr>
      <w:r w:rsidRPr="00EE44C8">
        <w:rPr>
          <w:sz w:val="32"/>
          <w:szCs w:val="32"/>
          <w:lang w:val="en-IN"/>
        </w:rPr>
        <w:t>[8] Y. Zou, J. Zhu, B. Zheng, and Y. Yao, “An adaptive cooperation diversity scheme with best-relay selection in cognitive radio ne</w:t>
      </w:r>
      <w:r w:rsidRPr="00EE44C8">
        <w:rPr>
          <w:sz w:val="32"/>
          <w:szCs w:val="32"/>
          <w:lang w:val="en-IN"/>
        </w:rPr>
        <w:t xml:space="preserve">tworks,” IEEE Trans. Signal Process., vol. 58, no. 10, pp. 5438–5445, Oct. 2010. </w:t>
      </w:r>
    </w:p>
    <w:p w:rsidR="00000000" w:rsidRPr="00EE44C8" w:rsidRDefault="009A19A4" w:rsidP="00EE44C8">
      <w:pPr>
        <w:pStyle w:val="BodyText"/>
        <w:numPr>
          <w:ilvl w:val="0"/>
          <w:numId w:val="42"/>
        </w:numPr>
        <w:rPr>
          <w:sz w:val="32"/>
          <w:szCs w:val="32"/>
          <w:lang w:val="en-IN"/>
        </w:rPr>
      </w:pPr>
      <w:r w:rsidRPr="00EE44C8">
        <w:rPr>
          <w:sz w:val="32"/>
          <w:szCs w:val="32"/>
          <w:lang w:val="en-IN"/>
        </w:rPr>
        <w:t xml:space="preserve">[9] M. Jia, X. Gu, Q. Guo, W. Xiang, and N. Zhang, “Broadband hybrid satellite-terrestrial communication systems based on cognitive radio toward 5G,” IEEE Wireless Commun., </w:t>
      </w:r>
      <w:r w:rsidRPr="00EE44C8">
        <w:rPr>
          <w:sz w:val="32"/>
          <w:szCs w:val="32"/>
          <w:lang w:val="en-IN"/>
        </w:rPr>
        <w:t xml:space="preserve">vol. 23, no. 6, pp. 96–106, Dec. 2016. </w:t>
      </w:r>
    </w:p>
    <w:p w:rsidR="00000000" w:rsidRPr="00EE44C8" w:rsidRDefault="009A19A4" w:rsidP="00EE44C8">
      <w:pPr>
        <w:pStyle w:val="BodyText"/>
        <w:numPr>
          <w:ilvl w:val="0"/>
          <w:numId w:val="42"/>
        </w:numPr>
        <w:rPr>
          <w:sz w:val="32"/>
          <w:szCs w:val="32"/>
          <w:lang w:val="en-IN"/>
        </w:rPr>
      </w:pPr>
      <w:r w:rsidRPr="00EE44C8">
        <w:rPr>
          <w:sz w:val="32"/>
          <w:szCs w:val="32"/>
          <w:lang w:val="en-IN"/>
        </w:rPr>
        <w:t xml:space="preserve">[10] S. Kandeepan, L. De Nardis, M. Di Benedetto, A. Guidotti, and G. E. Corazza, “Cognitive satellite terrestrial radios,” in Proc. GLOBECOM, Miami, Florida, USA, Dec. 2010, pp. 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19A4" w:rsidRDefault="009A19A4" w:rsidP="003654DF">
      <w:pPr>
        <w:spacing w:after="0" w:line="240" w:lineRule="auto"/>
      </w:pPr>
      <w:r>
        <w:separator/>
      </w:r>
    </w:p>
  </w:endnote>
  <w:endnote w:type="continuationSeparator" w:id="1">
    <w:p w:rsidR="009A19A4" w:rsidRDefault="009A19A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19A4" w:rsidRDefault="009A19A4" w:rsidP="003654DF">
      <w:pPr>
        <w:spacing w:after="0" w:line="240" w:lineRule="auto"/>
      </w:pPr>
      <w:r>
        <w:separator/>
      </w:r>
    </w:p>
  </w:footnote>
  <w:footnote w:type="continuationSeparator" w:id="1">
    <w:p w:rsidR="009A19A4" w:rsidRDefault="009A19A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83237">
        <w:pPr>
          <w:pStyle w:val="Header"/>
          <w:jc w:val="right"/>
        </w:pPr>
        <w:fldSimple w:instr=" PAGE   \* MERGEFORMAT ">
          <w:r w:rsidR="006B2B83">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F0251D"/>
    <w:multiLevelType w:val="hybridMultilevel"/>
    <w:tmpl w:val="13C617C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F417311"/>
    <w:multiLevelType w:val="hybridMultilevel"/>
    <w:tmpl w:val="68482C0C"/>
    <w:lvl w:ilvl="0" w:tplc="11F65668">
      <w:start w:val="1"/>
      <w:numFmt w:val="bullet"/>
      <w:lvlText w:val=""/>
      <w:lvlJc w:val="left"/>
      <w:pPr>
        <w:tabs>
          <w:tab w:val="num" w:pos="720"/>
        </w:tabs>
        <w:ind w:left="720" w:hanging="360"/>
      </w:pPr>
      <w:rPr>
        <w:rFonts w:ascii="Wingdings 2" w:hAnsi="Wingdings 2" w:hint="default"/>
      </w:rPr>
    </w:lvl>
    <w:lvl w:ilvl="1" w:tplc="4FB2B818" w:tentative="1">
      <w:start w:val="1"/>
      <w:numFmt w:val="bullet"/>
      <w:lvlText w:val=""/>
      <w:lvlJc w:val="left"/>
      <w:pPr>
        <w:tabs>
          <w:tab w:val="num" w:pos="1440"/>
        </w:tabs>
        <w:ind w:left="1440" w:hanging="360"/>
      </w:pPr>
      <w:rPr>
        <w:rFonts w:ascii="Wingdings 2" w:hAnsi="Wingdings 2" w:hint="default"/>
      </w:rPr>
    </w:lvl>
    <w:lvl w:ilvl="2" w:tplc="F15625EE" w:tentative="1">
      <w:start w:val="1"/>
      <w:numFmt w:val="bullet"/>
      <w:lvlText w:val=""/>
      <w:lvlJc w:val="left"/>
      <w:pPr>
        <w:tabs>
          <w:tab w:val="num" w:pos="2160"/>
        </w:tabs>
        <w:ind w:left="2160" w:hanging="360"/>
      </w:pPr>
      <w:rPr>
        <w:rFonts w:ascii="Wingdings 2" w:hAnsi="Wingdings 2" w:hint="default"/>
      </w:rPr>
    </w:lvl>
    <w:lvl w:ilvl="3" w:tplc="7DA0DDAE" w:tentative="1">
      <w:start w:val="1"/>
      <w:numFmt w:val="bullet"/>
      <w:lvlText w:val=""/>
      <w:lvlJc w:val="left"/>
      <w:pPr>
        <w:tabs>
          <w:tab w:val="num" w:pos="2880"/>
        </w:tabs>
        <w:ind w:left="2880" w:hanging="360"/>
      </w:pPr>
      <w:rPr>
        <w:rFonts w:ascii="Wingdings 2" w:hAnsi="Wingdings 2" w:hint="default"/>
      </w:rPr>
    </w:lvl>
    <w:lvl w:ilvl="4" w:tplc="02444AE0" w:tentative="1">
      <w:start w:val="1"/>
      <w:numFmt w:val="bullet"/>
      <w:lvlText w:val=""/>
      <w:lvlJc w:val="left"/>
      <w:pPr>
        <w:tabs>
          <w:tab w:val="num" w:pos="3600"/>
        </w:tabs>
        <w:ind w:left="3600" w:hanging="360"/>
      </w:pPr>
      <w:rPr>
        <w:rFonts w:ascii="Wingdings 2" w:hAnsi="Wingdings 2" w:hint="default"/>
      </w:rPr>
    </w:lvl>
    <w:lvl w:ilvl="5" w:tplc="EECE1670" w:tentative="1">
      <w:start w:val="1"/>
      <w:numFmt w:val="bullet"/>
      <w:lvlText w:val=""/>
      <w:lvlJc w:val="left"/>
      <w:pPr>
        <w:tabs>
          <w:tab w:val="num" w:pos="4320"/>
        </w:tabs>
        <w:ind w:left="4320" w:hanging="360"/>
      </w:pPr>
      <w:rPr>
        <w:rFonts w:ascii="Wingdings 2" w:hAnsi="Wingdings 2" w:hint="default"/>
      </w:rPr>
    </w:lvl>
    <w:lvl w:ilvl="6" w:tplc="42C4DA6C" w:tentative="1">
      <w:start w:val="1"/>
      <w:numFmt w:val="bullet"/>
      <w:lvlText w:val=""/>
      <w:lvlJc w:val="left"/>
      <w:pPr>
        <w:tabs>
          <w:tab w:val="num" w:pos="5040"/>
        </w:tabs>
        <w:ind w:left="5040" w:hanging="360"/>
      </w:pPr>
      <w:rPr>
        <w:rFonts w:ascii="Wingdings 2" w:hAnsi="Wingdings 2" w:hint="default"/>
      </w:rPr>
    </w:lvl>
    <w:lvl w:ilvl="7" w:tplc="F214A5BC" w:tentative="1">
      <w:start w:val="1"/>
      <w:numFmt w:val="bullet"/>
      <w:lvlText w:val=""/>
      <w:lvlJc w:val="left"/>
      <w:pPr>
        <w:tabs>
          <w:tab w:val="num" w:pos="5760"/>
        </w:tabs>
        <w:ind w:left="5760" w:hanging="360"/>
      </w:pPr>
      <w:rPr>
        <w:rFonts w:ascii="Wingdings 2" w:hAnsi="Wingdings 2" w:hint="default"/>
      </w:rPr>
    </w:lvl>
    <w:lvl w:ilvl="8" w:tplc="98D0DF54"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263D50"/>
    <w:multiLevelType w:val="hybridMultilevel"/>
    <w:tmpl w:val="B75855D0"/>
    <w:lvl w:ilvl="0" w:tplc="9E4C431A">
      <w:start w:val="1"/>
      <w:numFmt w:val="bullet"/>
      <w:lvlText w:val=""/>
      <w:lvlJc w:val="left"/>
      <w:pPr>
        <w:tabs>
          <w:tab w:val="num" w:pos="720"/>
        </w:tabs>
        <w:ind w:left="720" w:hanging="360"/>
      </w:pPr>
      <w:rPr>
        <w:rFonts w:ascii="Wingdings 2" w:hAnsi="Wingdings 2" w:hint="default"/>
      </w:rPr>
    </w:lvl>
    <w:lvl w:ilvl="1" w:tplc="B76AF3BA" w:tentative="1">
      <w:start w:val="1"/>
      <w:numFmt w:val="bullet"/>
      <w:lvlText w:val=""/>
      <w:lvlJc w:val="left"/>
      <w:pPr>
        <w:tabs>
          <w:tab w:val="num" w:pos="1440"/>
        </w:tabs>
        <w:ind w:left="1440" w:hanging="360"/>
      </w:pPr>
      <w:rPr>
        <w:rFonts w:ascii="Wingdings 2" w:hAnsi="Wingdings 2" w:hint="default"/>
      </w:rPr>
    </w:lvl>
    <w:lvl w:ilvl="2" w:tplc="D3B8DA88" w:tentative="1">
      <w:start w:val="1"/>
      <w:numFmt w:val="bullet"/>
      <w:lvlText w:val=""/>
      <w:lvlJc w:val="left"/>
      <w:pPr>
        <w:tabs>
          <w:tab w:val="num" w:pos="2160"/>
        </w:tabs>
        <w:ind w:left="2160" w:hanging="360"/>
      </w:pPr>
      <w:rPr>
        <w:rFonts w:ascii="Wingdings 2" w:hAnsi="Wingdings 2" w:hint="default"/>
      </w:rPr>
    </w:lvl>
    <w:lvl w:ilvl="3" w:tplc="162256D0" w:tentative="1">
      <w:start w:val="1"/>
      <w:numFmt w:val="bullet"/>
      <w:lvlText w:val=""/>
      <w:lvlJc w:val="left"/>
      <w:pPr>
        <w:tabs>
          <w:tab w:val="num" w:pos="2880"/>
        </w:tabs>
        <w:ind w:left="2880" w:hanging="360"/>
      </w:pPr>
      <w:rPr>
        <w:rFonts w:ascii="Wingdings 2" w:hAnsi="Wingdings 2" w:hint="default"/>
      </w:rPr>
    </w:lvl>
    <w:lvl w:ilvl="4" w:tplc="C1AA4D9A" w:tentative="1">
      <w:start w:val="1"/>
      <w:numFmt w:val="bullet"/>
      <w:lvlText w:val=""/>
      <w:lvlJc w:val="left"/>
      <w:pPr>
        <w:tabs>
          <w:tab w:val="num" w:pos="3600"/>
        </w:tabs>
        <w:ind w:left="3600" w:hanging="360"/>
      </w:pPr>
      <w:rPr>
        <w:rFonts w:ascii="Wingdings 2" w:hAnsi="Wingdings 2" w:hint="default"/>
      </w:rPr>
    </w:lvl>
    <w:lvl w:ilvl="5" w:tplc="5AD62BC6" w:tentative="1">
      <w:start w:val="1"/>
      <w:numFmt w:val="bullet"/>
      <w:lvlText w:val=""/>
      <w:lvlJc w:val="left"/>
      <w:pPr>
        <w:tabs>
          <w:tab w:val="num" w:pos="4320"/>
        </w:tabs>
        <w:ind w:left="4320" w:hanging="360"/>
      </w:pPr>
      <w:rPr>
        <w:rFonts w:ascii="Wingdings 2" w:hAnsi="Wingdings 2" w:hint="default"/>
      </w:rPr>
    </w:lvl>
    <w:lvl w:ilvl="6" w:tplc="B768BE0E" w:tentative="1">
      <w:start w:val="1"/>
      <w:numFmt w:val="bullet"/>
      <w:lvlText w:val=""/>
      <w:lvlJc w:val="left"/>
      <w:pPr>
        <w:tabs>
          <w:tab w:val="num" w:pos="5040"/>
        </w:tabs>
        <w:ind w:left="5040" w:hanging="360"/>
      </w:pPr>
      <w:rPr>
        <w:rFonts w:ascii="Wingdings 2" w:hAnsi="Wingdings 2" w:hint="default"/>
      </w:rPr>
    </w:lvl>
    <w:lvl w:ilvl="7" w:tplc="D2325BB6" w:tentative="1">
      <w:start w:val="1"/>
      <w:numFmt w:val="bullet"/>
      <w:lvlText w:val=""/>
      <w:lvlJc w:val="left"/>
      <w:pPr>
        <w:tabs>
          <w:tab w:val="num" w:pos="5760"/>
        </w:tabs>
        <w:ind w:left="5760" w:hanging="360"/>
      </w:pPr>
      <w:rPr>
        <w:rFonts w:ascii="Wingdings 2" w:hAnsi="Wingdings 2" w:hint="default"/>
      </w:rPr>
    </w:lvl>
    <w:lvl w:ilvl="8" w:tplc="E9EEED4C"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A1466F"/>
    <w:multiLevelType w:val="hybridMultilevel"/>
    <w:tmpl w:val="ACBAFC6A"/>
    <w:lvl w:ilvl="0" w:tplc="3512739A">
      <w:start w:val="1"/>
      <w:numFmt w:val="bullet"/>
      <w:lvlText w:val=""/>
      <w:lvlJc w:val="left"/>
      <w:pPr>
        <w:tabs>
          <w:tab w:val="num" w:pos="720"/>
        </w:tabs>
        <w:ind w:left="720" w:hanging="360"/>
      </w:pPr>
      <w:rPr>
        <w:rFonts w:ascii="Wingdings 2" w:hAnsi="Wingdings 2" w:hint="default"/>
      </w:rPr>
    </w:lvl>
    <w:lvl w:ilvl="1" w:tplc="3CC4B81E" w:tentative="1">
      <w:start w:val="1"/>
      <w:numFmt w:val="bullet"/>
      <w:lvlText w:val=""/>
      <w:lvlJc w:val="left"/>
      <w:pPr>
        <w:tabs>
          <w:tab w:val="num" w:pos="1440"/>
        </w:tabs>
        <w:ind w:left="1440" w:hanging="360"/>
      </w:pPr>
      <w:rPr>
        <w:rFonts w:ascii="Wingdings 2" w:hAnsi="Wingdings 2" w:hint="default"/>
      </w:rPr>
    </w:lvl>
    <w:lvl w:ilvl="2" w:tplc="E28A7F02" w:tentative="1">
      <w:start w:val="1"/>
      <w:numFmt w:val="bullet"/>
      <w:lvlText w:val=""/>
      <w:lvlJc w:val="left"/>
      <w:pPr>
        <w:tabs>
          <w:tab w:val="num" w:pos="2160"/>
        </w:tabs>
        <w:ind w:left="2160" w:hanging="360"/>
      </w:pPr>
      <w:rPr>
        <w:rFonts w:ascii="Wingdings 2" w:hAnsi="Wingdings 2" w:hint="default"/>
      </w:rPr>
    </w:lvl>
    <w:lvl w:ilvl="3" w:tplc="D918E740" w:tentative="1">
      <w:start w:val="1"/>
      <w:numFmt w:val="bullet"/>
      <w:lvlText w:val=""/>
      <w:lvlJc w:val="left"/>
      <w:pPr>
        <w:tabs>
          <w:tab w:val="num" w:pos="2880"/>
        </w:tabs>
        <w:ind w:left="2880" w:hanging="360"/>
      </w:pPr>
      <w:rPr>
        <w:rFonts w:ascii="Wingdings 2" w:hAnsi="Wingdings 2" w:hint="default"/>
      </w:rPr>
    </w:lvl>
    <w:lvl w:ilvl="4" w:tplc="3438C270" w:tentative="1">
      <w:start w:val="1"/>
      <w:numFmt w:val="bullet"/>
      <w:lvlText w:val=""/>
      <w:lvlJc w:val="left"/>
      <w:pPr>
        <w:tabs>
          <w:tab w:val="num" w:pos="3600"/>
        </w:tabs>
        <w:ind w:left="3600" w:hanging="360"/>
      </w:pPr>
      <w:rPr>
        <w:rFonts w:ascii="Wingdings 2" w:hAnsi="Wingdings 2" w:hint="default"/>
      </w:rPr>
    </w:lvl>
    <w:lvl w:ilvl="5" w:tplc="E6527282" w:tentative="1">
      <w:start w:val="1"/>
      <w:numFmt w:val="bullet"/>
      <w:lvlText w:val=""/>
      <w:lvlJc w:val="left"/>
      <w:pPr>
        <w:tabs>
          <w:tab w:val="num" w:pos="4320"/>
        </w:tabs>
        <w:ind w:left="4320" w:hanging="360"/>
      </w:pPr>
      <w:rPr>
        <w:rFonts w:ascii="Wingdings 2" w:hAnsi="Wingdings 2" w:hint="default"/>
      </w:rPr>
    </w:lvl>
    <w:lvl w:ilvl="6" w:tplc="6994D648" w:tentative="1">
      <w:start w:val="1"/>
      <w:numFmt w:val="bullet"/>
      <w:lvlText w:val=""/>
      <w:lvlJc w:val="left"/>
      <w:pPr>
        <w:tabs>
          <w:tab w:val="num" w:pos="5040"/>
        </w:tabs>
        <w:ind w:left="5040" w:hanging="360"/>
      </w:pPr>
      <w:rPr>
        <w:rFonts w:ascii="Wingdings 2" w:hAnsi="Wingdings 2" w:hint="default"/>
      </w:rPr>
    </w:lvl>
    <w:lvl w:ilvl="7" w:tplc="0EFC2574" w:tentative="1">
      <w:start w:val="1"/>
      <w:numFmt w:val="bullet"/>
      <w:lvlText w:val=""/>
      <w:lvlJc w:val="left"/>
      <w:pPr>
        <w:tabs>
          <w:tab w:val="num" w:pos="5760"/>
        </w:tabs>
        <w:ind w:left="5760" w:hanging="360"/>
      </w:pPr>
      <w:rPr>
        <w:rFonts w:ascii="Wingdings 2" w:hAnsi="Wingdings 2" w:hint="default"/>
      </w:rPr>
    </w:lvl>
    <w:lvl w:ilvl="8" w:tplc="4F48EF6C"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FC0A51"/>
    <w:multiLevelType w:val="hybridMultilevel"/>
    <w:tmpl w:val="F7B44954"/>
    <w:lvl w:ilvl="0" w:tplc="AE00A9B4">
      <w:start w:val="1"/>
      <w:numFmt w:val="bullet"/>
      <w:lvlText w:val=""/>
      <w:lvlJc w:val="left"/>
      <w:pPr>
        <w:tabs>
          <w:tab w:val="num" w:pos="720"/>
        </w:tabs>
        <w:ind w:left="720" w:hanging="360"/>
      </w:pPr>
      <w:rPr>
        <w:rFonts w:ascii="Wingdings 2" w:hAnsi="Wingdings 2" w:hint="default"/>
      </w:rPr>
    </w:lvl>
    <w:lvl w:ilvl="1" w:tplc="FAB471EA" w:tentative="1">
      <w:start w:val="1"/>
      <w:numFmt w:val="bullet"/>
      <w:lvlText w:val=""/>
      <w:lvlJc w:val="left"/>
      <w:pPr>
        <w:tabs>
          <w:tab w:val="num" w:pos="1440"/>
        </w:tabs>
        <w:ind w:left="1440" w:hanging="360"/>
      </w:pPr>
      <w:rPr>
        <w:rFonts w:ascii="Wingdings 2" w:hAnsi="Wingdings 2" w:hint="default"/>
      </w:rPr>
    </w:lvl>
    <w:lvl w:ilvl="2" w:tplc="84FC2C3A" w:tentative="1">
      <w:start w:val="1"/>
      <w:numFmt w:val="bullet"/>
      <w:lvlText w:val=""/>
      <w:lvlJc w:val="left"/>
      <w:pPr>
        <w:tabs>
          <w:tab w:val="num" w:pos="2160"/>
        </w:tabs>
        <w:ind w:left="2160" w:hanging="360"/>
      </w:pPr>
      <w:rPr>
        <w:rFonts w:ascii="Wingdings 2" w:hAnsi="Wingdings 2" w:hint="default"/>
      </w:rPr>
    </w:lvl>
    <w:lvl w:ilvl="3" w:tplc="268E985C" w:tentative="1">
      <w:start w:val="1"/>
      <w:numFmt w:val="bullet"/>
      <w:lvlText w:val=""/>
      <w:lvlJc w:val="left"/>
      <w:pPr>
        <w:tabs>
          <w:tab w:val="num" w:pos="2880"/>
        </w:tabs>
        <w:ind w:left="2880" w:hanging="360"/>
      </w:pPr>
      <w:rPr>
        <w:rFonts w:ascii="Wingdings 2" w:hAnsi="Wingdings 2" w:hint="default"/>
      </w:rPr>
    </w:lvl>
    <w:lvl w:ilvl="4" w:tplc="A51A614C" w:tentative="1">
      <w:start w:val="1"/>
      <w:numFmt w:val="bullet"/>
      <w:lvlText w:val=""/>
      <w:lvlJc w:val="left"/>
      <w:pPr>
        <w:tabs>
          <w:tab w:val="num" w:pos="3600"/>
        </w:tabs>
        <w:ind w:left="3600" w:hanging="360"/>
      </w:pPr>
      <w:rPr>
        <w:rFonts w:ascii="Wingdings 2" w:hAnsi="Wingdings 2" w:hint="default"/>
      </w:rPr>
    </w:lvl>
    <w:lvl w:ilvl="5" w:tplc="1B726E78" w:tentative="1">
      <w:start w:val="1"/>
      <w:numFmt w:val="bullet"/>
      <w:lvlText w:val=""/>
      <w:lvlJc w:val="left"/>
      <w:pPr>
        <w:tabs>
          <w:tab w:val="num" w:pos="4320"/>
        </w:tabs>
        <w:ind w:left="4320" w:hanging="360"/>
      </w:pPr>
      <w:rPr>
        <w:rFonts w:ascii="Wingdings 2" w:hAnsi="Wingdings 2" w:hint="default"/>
      </w:rPr>
    </w:lvl>
    <w:lvl w:ilvl="6" w:tplc="814017DE" w:tentative="1">
      <w:start w:val="1"/>
      <w:numFmt w:val="bullet"/>
      <w:lvlText w:val=""/>
      <w:lvlJc w:val="left"/>
      <w:pPr>
        <w:tabs>
          <w:tab w:val="num" w:pos="5040"/>
        </w:tabs>
        <w:ind w:left="5040" w:hanging="360"/>
      </w:pPr>
      <w:rPr>
        <w:rFonts w:ascii="Wingdings 2" w:hAnsi="Wingdings 2" w:hint="default"/>
      </w:rPr>
    </w:lvl>
    <w:lvl w:ilvl="7" w:tplc="01161972" w:tentative="1">
      <w:start w:val="1"/>
      <w:numFmt w:val="bullet"/>
      <w:lvlText w:val=""/>
      <w:lvlJc w:val="left"/>
      <w:pPr>
        <w:tabs>
          <w:tab w:val="num" w:pos="5760"/>
        </w:tabs>
        <w:ind w:left="5760" w:hanging="360"/>
      </w:pPr>
      <w:rPr>
        <w:rFonts w:ascii="Wingdings 2" w:hAnsi="Wingdings 2" w:hint="default"/>
      </w:rPr>
    </w:lvl>
    <w:lvl w:ilvl="8" w:tplc="835AA950" w:tentative="1">
      <w:start w:val="1"/>
      <w:numFmt w:val="bullet"/>
      <w:lvlText w:val=""/>
      <w:lvlJc w:val="left"/>
      <w:pPr>
        <w:tabs>
          <w:tab w:val="num" w:pos="6480"/>
        </w:tabs>
        <w:ind w:left="6480" w:hanging="360"/>
      </w:pPr>
      <w:rPr>
        <w:rFonts w:ascii="Wingdings 2" w:hAnsi="Wingdings 2" w:hint="default"/>
      </w:rPr>
    </w:lvl>
  </w:abstractNum>
  <w:abstractNum w:abstractNumId="43">
    <w:nsid w:val="758E27E3"/>
    <w:multiLevelType w:val="hybridMultilevel"/>
    <w:tmpl w:val="BBB47440"/>
    <w:lvl w:ilvl="0" w:tplc="183C1AE4">
      <w:start w:val="1"/>
      <w:numFmt w:val="bullet"/>
      <w:lvlText w:val=""/>
      <w:lvlJc w:val="left"/>
      <w:pPr>
        <w:tabs>
          <w:tab w:val="num" w:pos="720"/>
        </w:tabs>
        <w:ind w:left="720" w:hanging="360"/>
      </w:pPr>
      <w:rPr>
        <w:rFonts w:ascii="Wingdings 2" w:hAnsi="Wingdings 2" w:hint="default"/>
      </w:rPr>
    </w:lvl>
    <w:lvl w:ilvl="1" w:tplc="FB5A657C" w:tentative="1">
      <w:start w:val="1"/>
      <w:numFmt w:val="bullet"/>
      <w:lvlText w:val=""/>
      <w:lvlJc w:val="left"/>
      <w:pPr>
        <w:tabs>
          <w:tab w:val="num" w:pos="1440"/>
        </w:tabs>
        <w:ind w:left="1440" w:hanging="360"/>
      </w:pPr>
      <w:rPr>
        <w:rFonts w:ascii="Wingdings 2" w:hAnsi="Wingdings 2" w:hint="default"/>
      </w:rPr>
    </w:lvl>
    <w:lvl w:ilvl="2" w:tplc="E3C23500" w:tentative="1">
      <w:start w:val="1"/>
      <w:numFmt w:val="bullet"/>
      <w:lvlText w:val=""/>
      <w:lvlJc w:val="left"/>
      <w:pPr>
        <w:tabs>
          <w:tab w:val="num" w:pos="2160"/>
        </w:tabs>
        <w:ind w:left="2160" w:hanging="360"/>
      </w:pPr>
      <w:rPr>
        <w:rFonts w:ascii="Wingdings 2" w:hAnsi="Wingdings 2" w:hint="default"/>
      </w:rPr>
    </w:lvl>
    <w:lvl w:ilvl="3" w:tplc="8FC2ACAA" w:tentative="1">
      <w:start w:val="1"/>
      <w:numFmt w:val="bullet"/>
      <w:lvlText w:val=""/>
      <w:lvlJc w:val="left"/>
      <w:pPr>
        <w:tabs>
          <w:tab w:val="num" w:pos="2880"/>
        </w:tabs>
        <w:ind w:left="2880" w:hanging="360"/>
      </w:pPr>
      <w:rPr>
        <w:rFonts w:ascii="Wingdings 2" w:hAnsi="Wingdings 2" w:hint="default"/>
      </w:rPr>
    </w:lvl>
    <w:lvl w:ilvl="4" w:tplc="6B5AE09A" w:tentative="1">
      <w:start w:val="1"/>
      <w:numFmt w:val="bullet"/>
      <w:lvlText w:val=""/>
      <w:lvlJc w:val="left"/>
      <w:pPr>
        <w:tabs>
          <w:tab w:val="num" w:pos="3600"/>
        </w:tabs>
        <w:ind w:left="3600" w:hanging="360"/>
      </w:pPr>
      <w:rPr>
        <w:rFonts w:ascii="Wingdings 2" w:hAnsi="Wingdings 2" w:hint="default"/>
      </w:rPr>
    </w:lvl>
    <w:lvl w:ilvl="5" w:tplc="177412D8" w:tentative="1">
      <w:start w:val="1"/>
      <w:numFmt w:val="bullet"/>
      <w:lvlText w:val=""/>
      <w:lvlJc w:val="left"/>
      <w:pPr>
        <w:tabs>
          <w:tab w:val="num" w:pos="4320"/>
        </w:tabs>
        <w:ind w:left="4320" w:hanging="360"/>
      </w:pPr>
      <w:rPr>
        <w:rFonts w:ascii="Wingdings 2" w:hAnsi="Wingdings 2" w:hint="default"/>
      </w:rPr>
    </w:lvl>
    <w:lvl w:ilvl="6" w:tplc="49D27F3E" w:tentative="1">
      <w:start w:val="1"/>
      <w:numFmt w:val="bullet"/>
      <w:lvlText w:val=""/>
      <w:lvlJc w:val="left"/>
      <w:pPr>
        <w:tabs>
          <w:tab w:val="num" w:pos="5040"/>
        </w:tabs>
        <w:ind w:left="5040" w:hanging="360"/>
      </w:pPr>
      <w:rPr>
        <w:rFonts w:ascii="Wingdings 2" w:hAnsi="Wingdings 2" w:hint="default"/>
      </w:rPr>
    </w:lvl>
    <w:lvl w:ilvl="7" w:tplc="10ACDD8E" w:tentative="1">
      <w:start w:val="1"/>
      <w:numFmt w:val="bullet"/>
      <w:lvlText w:val=""/>
      <w:lvlJc w:val="left"/>
      <w:pPr>
        <w:tabs>
          <w:tab w:val="num" w:pos="5760"/>
        </w:tabs>
        <w:ind w:left="5760" w:hanging="360"/>
      </w:pPr>
      <w:rPr>
        <w:rFonts w:ascii="Wingdings 2" w:hAnsi="Wingdings 2" w:hint="default"/>
      </w:rPr>
    </w:lvl>
    <w:lvl w:ilvl="8" w:tplc="1FF2CFA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3"/>
  </w:num>
  <w:num w:numId="19">
    <w:abstractNumId w:val="24"/>
  </w:num>
  <w:num w:numId="20">
    <w:abstractNumId w:val="6"/>
  </w:num>
  <w:num w:numId="21">
    <w:abstractNumId w:val="46"/>
  </w:num>
  <w:num w:numId="22">
    <w:abstractNumId w:val="17"/>
  </w:num>
  <w:num w:numId="23">
    <w:abstractNumId w:val="41"/>
  </w:num>
  <w:num w:numId="24">
    <w:abstractNumId w:val="44"/>
  </w:num>
  <w:num w:numId="25">
    <w:abstractNumId w:val="29"/>
  </w:num>
  <w:num w:numId="26">
    <w:abstractNumId w:val="16"/>
  </w:num>
  <w:num w:numId="27">
    <w:abstractNumId w:val="3"/>
  </w:num>
  <w:num w:numId="28">
    <w:abstractNumId w:val="10"/>
  </w:num>
  <w:num w:numId="29">
    <w:abstractNumId w:val="30"/>
  </w:num>
  <w:num w:numId="30">
    <w:abstractNumId w:val="38"/>
  </w:num>
  <w:num w:numId="31">
    <w:abstractNumId w:val="27"/>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2"/>
  </w:num>
  <w:num w:numId="42">
    <w:abstractNumId w:val="37"/>
  </w:num>
  <w:num w:numId="43">
    <w:abstractNumId w:val="43"/>
  </w:num>
  <w:num w:numId="44">
    <w:abstractNumId w:val="23"/>
  </w:num>
  <w:num w:numId="45">
    <w:abstractNumId w:val="42"/>
  </w:num>
  <w:num w:numId="46">
    <w:abstractNumId w:val="20"/>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B7B49"/>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3DB9"/>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83"/>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19A4"/>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806"/>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237"/>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104"/>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44C8"/>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9235299">
      <w:bodyDiv w:val="1"/>
      <w:marLeft w:val="0"/>
      <w:marRight w:val="0"/>
      <w:marTop w:val="0"/>
      <w:marBottom w:val="0"/>
      <w:divBdr>
        <w:top w:val="none" w:sz="0" w:space="0" w:color="auto"/>
        <w:left w:val="none" w:sz="0" w:space="0" w:color="auto"/>
        <w:bottom w:val="none" w:sz="0" w:space="0" w:color="auto"/>
        <w:right w:val="none" w:sz="0" w:space="0" w:color="auto"/>
      </w:divBdr>
      <w:divsChild>
        <w:div w:id="100145563">
          <w:marLeft w:val="576"/>
          <w:marRight w:val="0"/>
          <w:marTop w:val="120"/>
          <w:marBottom w:val="0"/>
          <w:divBdr>
            <w:top w:val="none" w:sz="0" w:space="0" w:color="auto"/>
            <w:left w:val="none" w:sz="0" w:space="0" w:color="auto"/>
            <w:bottom w:val="none" w:sz="0" w:space="0" w:color="auto"/>
            <w:right w:val="none" w:sz="0" w:space="0" w:color="auto"/>
          </w:divBdr>
        </w:div>
        <w:div w:id="1536579134">
          <w:marLeft w:val="576"/>
          <w:marRight w:val="0"/>
          <w:marTop w:val="120"/>
          <w:marBottom w:val="0"/>
          <w:divBdr>
            <w:top w:val="none" w:sz="0" w:space="0" w:color="auto"/>
            <w:left w:val="none" w:sz="0" w:space="0" w:color="auto"/>
            <w:bottom w:val="none" w:sz="0" w:space="0" w:color="auto"/>
            <w:right w:val="none" w:sz="0" w:space="0" w:color="auto"/>
          </w:divBdr>
        </w:div>
        <w:div w:id="575017583">
          <w:marLeft w:val="576"/>
          <w:marRight w:val="0"/>
          <w:marTop w:val="120"/>
          <w:marBottom w:val="0"/>
          <w:divBdr>
            <w:top w:val="none" w:sz="0" w:space="0" w:color="auto"/>
            <w:left w:val="none" w:sz="0" w:space="0" w:color="auto"/>
            <w:bottom w:val="none" w:sz="0" w:space="0" w:color="auto"/>
            <w:right w:val="none" w:sz="0" w:space="0" w:color="auto"/>
          </w:divBdr>
        </w:div>
        <w:div w:id="912197687">
          <w:marLeft w:val="576"/>
          <w:marRight w:val="0"/>
          <w:marTop w:val="120"/>
          <w:marBottom w:val="0"/>
          <w:divBdr>
            <w:top w:val="none" w:sz="0" w:space="0" w:color="auto"/>
            <w:left w:val="none" w:sz="0" w:space="0" w:color="auto"/>
            <w:bottom w:val="none" w:sz="0" w:space="0" w:color="auto"/>
            <w:right w:val="none" w:sz="0" w:space="0" w:color="auto"/>
          </w:divBdr>
        </w:div>
        <w:div w:id="70899010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1501116">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9140586">
      <w:bodyDiv w:val="1"/>
      <w:marLeft w:val="0"/>
      <w:marRight w:val="0"/>
      <w:marTop w:val="0"/>
      <w:marBottom w:val="0"/>
      <w:divBdr>
        <w:top w:val="none" w:sz="0" w:space="0" w:color="auto"/>
        <w:left w:val="none" w:sz="0" w:space="0" w:color="auto"/>
        <w:bottom w:val="none" w:sz="0" w:space="0" w:color="auto"/>
        <w:right w:val="none" w:sz="0" w:space="0" w:color="auto"/>
      </w:divBdr>
      <w:divsChild>
        <w:div w:id="284846894">
          <w:marLeft w:val="576"/>
          <w:marRight w:val="0"/>
          <w:marTop w:val="120"/>
          <w:marBottom w:val="0"/>
          <w:divBdr>
            <w:top w:val="none" w:sz="0" w:space="0" w:color="auto"/>
            <w:left w:val="none" w:sz="0" w:space="0" w:color="auto"/>
            <w:bottom w:val="none" w:sz="0" w:space="0" w:color="auto"/>
            <w:right w:val="none" w:sz="0" w:space="0" w:color="auto"/>
          </w:divBdr>
        </w:div>
        <w:div w:id="2027974706">
          <w:marLeft w:val="576"/>
          <w:marRight w:val="0"/>
          <w:marTop w:val="120"/>
          <w:marBottom w:val="0"/>
          <w:divBdr>
            <w:top w:val="none" w:sz="0" w:space="0" w:color="auto"/>
            <w:left w:val="none" w:sz="0" w:space="0" w:color="auto"/>
            <w:bottom w:val="none" w:sz="0" w:space="0" w:color="auto"/>
            <w:right w:val="none" w:sz="0" w:space="0" w:color="auto"/>
          </w:divBdr>
        </w:div>
        <w:div w:id="1704475618">
          <w:marLeft w:val="576"/>
          <w:marRight w:val="0"/>
          <w:marTop w:val="120"/>
          <w:marBottom w:val="0"/>
          <w:divBdr>
            <w:top w:val="none" w:sz="0" w:space="0" w:color="auto"/>
            <w:left w:val="none" w:sz="0" w:space="0" w:color="auto"/>
            <w:bottom w:val="none" w:sz="0" w:space="0" w:color="auto"/>
            <w:right w:val="none" w:sz="0" w:space="0" w:color="auto"/>
          </w:divBdr>
        </w:div>
        <w:div w:id="2024043666">
          <w:marLeft w:val="576"/>
          <w:marRight w:val="0"/>
          <w:marTop w:val="120"/>
          <w:marBottom w:val="0"/>
          <w:divBdr>
            <w:top w:val="none" w:sz="0" w:space="0" w:color="auto"/>
            <w:left w:val="none" w:sz="0" w:space="0" w:color="auto"/>
            <w:bottom w:val="none" w:sz="0" w:space="0" w:color="auto"/>
            <w:right w:val="none" w:sz="0" w:space="0" w:color="auto"/>
          </w:divBdr>
        </w:div>
        <w:div w:id="69581433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6900422">
      <w:bodyDiv w:val="1"/>
      <w:marLeft w:val="0"/>
      <w:marRight w:val="0"/>
      <w:marTop w:val="0"/>
      <w:marBottom w:val="0"/>
      <w:divBdr>
        <w:top w:val="none" w:sz="0" w:space="0" w:color="auto"/>
        <w:left w:val="none" w:sz="0" w:space="0" w:color="auto"/>
        <w:bottom w:val="none" w:sz="0" w:space="0" w:color="auto"/>
        <w:right w:val="none" w:sz="0" w:space="0" w:color="auto"/>
      </w:divBdr>
      <w:divsChild>
        <w:div w:id="862985150">
          <w:marLeft w:val="576"/>
          <w:marRight w:val="0"/>
          <w:marTop w:val="120"/>
          <w:marBottom w:val="0"/>
          <w:divBdr>
            <w:top w:val="none" w:sz="0" w:space="0" w:color="auto"/>
            <w:left w:val="none" w:sz="0" w:space="0" w:color="auto"/>
            <w:bottom w:val="none" w:sz="0" w:space="0" w:color="auto"/>
            <w:right w:val="none" w:sz="0" w:space="0" w:color="auto"/>
          </w:divBdr>
        </w:div>
        <w:div w:id="1493182427">
          <w:marLeft w:val="576"/>
          <w:marRight w:val="0"/>
          <w:marTop w:val="120"/>
          <w:marBottom w:val="0"/>
          <w:divBdr>
            <w:top w:val="none" w:sz="0" w:space="0" w:color="auto"/>
            <w:left w:val="none" w:sz="0" w:space="0" w:color="auto"/>
            <w:bottom w:val="none" w:sz="0" w:space="0" w:color="auto"/>
            <w:right w:val="none" w:sz="0" w:space="0" w:color="auto"/>
          </w:divBdr>
        </w:div>
        <w:div w:id="440535784">
          <w:marLeft w:val="576"/>
          <w:marRight w:val="0"/>
          <w:marTop w:val="120"/>
          <w:marBottom w:val="0"/>
          <w:divBdr>
            <w:top w:val="none" w:sz="0" w:space="0" w:color="auto"/>
            <w:left w:val="none" w:sz="0" w:space="0" w:color="auto"/>
            <w:bottom w:val="none" w:sz="0" w:space="0" w:color="auto"/>
            <w:right w:val="none" w:sz="0" w:space="0" w:color="auto"/>
          </w:divBdr>
        </w:div>
        <w:div w:id="191157271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5499083">
      <w:bodyDiv w:val="1"/>
      <w:marLeft w:val="0"/>
      <w:marRight w:val="0"/>
      <w:marTop w:val="0"/>
      <w:marBottom w:val="0"/>
      <w:divBdr>
        <w:top w:val="none" w:sz="0" w:space="0" w:color="auto"/>
        <w:left w:val="none" w:sz="0" w:space="0" w:color="auto"/>
        <w:bottom w:val="none" w:sz="0" w:space="0" w:color="auto"/>
        <w:right w:val="none" w:sz="0" w:space="0" w:color="auto"/>
      </w:divBdr>
      <w:divsChild>
        <w:div w:id="2110421788">
          <w:marLeft w:val="576"/>
          <w:marRight w:val="0"/>
          <w:marTop w:val="120"/>
          <w:marBottom w:val="0"/>
          <w:divBdr>
            <w:top w:val="none" w:sz="0" w:space="0" w:color="auto"/>
            <w:left w:val="none" w:sz="0" w:space="0" w:color="auto"/>
            <w:bottom w:val="none" w:sz="0" w:space="0" w:color="auto"/>
            <w:right w:val="none" w:sz="0" w:space="0" w:color="auto"/>
          </w:divBdr>
        </w:div>
        <w:div w:id="234246491">
          <w:marLeft w:val="576"/>
          <w:marRight w:val="0"/>
          <w:marTop w:val="120"/>
          <w:marBottom w:val="0"/>
          <w:divBdr>
            <w:top w:val="none" w:sz="0" w:space="0" w:color="auto"/>
            <w:left w:val="none" w:sz="0" w:space="0" w:color="auto"/>
            <w:bottom w:val="none" w:sz="0" w:space="0" w:color="auto"/>
            <w:right w:val="none" w:sz="0" w:space="0" w:color="auto"/>
          </w:divBdr>
        </w:div>
        <w:div w:id="1000961441">
          <w:marLeft w:val="576"/>
          <w:marRight w:val="0"/>
          <w:marTop w:val="120"/>
          <w:marBottom w:val="0"/>
          <w:divBdr>
            <w:top w:val="none" w:sz="0" w:space="0" w:color="auto"/>
            <w:left w:val="none" w:sz="0" w:space="0" w:color="auto"/>
            <w:bottom w:val="none" w:sz="0" w:space="0" w:color="auto"/>
            <w:right w:val="none" w:sz="0" w:space="0" w:color="auto"/>
          </w:divBdr>
        </w:div>
        <w:div w:id="1406684590">
          <w:marLeft w:val="576"/>
          <w:marRight w:val="0"/>
          <w:marTop w:val="120"/>
          <w:marBottom w:val="0"/>
          <w:divBdr>
            <w:top w:val="none" w:sz="0" w:space="0" w:color="auto"/>
            <w:left w:val="none" w:sz="0" w:space="0" w:color="auto"/>
            <w:bottom w:val="none" w:sz="0" w:space="0" w:color="auto"/>
            <w:right w:val="none" w:sz="0" w:space="0" w:color="auto"/>
          </w:divBdr>
        </w:div>
        <w:div w:id="766777165">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6758645">
      <w:bodyDiv w:val="1"/>
      <w:marLeft w:val="0"/>
      <w:marRight w:val="0"/>
      <w:marTop w:val="0"/>
      <w:marBottom w:val="0"/>
      <w:divBdr>
        <w:top w:val="none" w:sz="0" w:space="0" w:color="auto"/>
        <w:left w:val="none" w:sz="0" w:space="0" w:color="auto"/>
        <w:bottom w:val="none" w:sz="0" w:space="0" w:color="auto"/>
        <w:right w:val="none" w:sz="0" w:space="0" w:color="auto"/>
      </w:divBdr>
      <w:divsChild>
        <w:div w:id="1938521733">
          <w:marLeft w:val="0"/>
          <w:marRight w:val="0"/>
          <w:marTop w:val="0"/>
          <w:marBottom w:val="0"/>
          <w:divBdr>
            <w:top w:val="none" w:sz="0" w:space="0" w:color="auto"/>
            <w:left w:val="none" w:sz="0" w:space="0" w:color="auto"/>
            <w:bottom w:val="none" w:sz="0" w:space="0" w:color="auto"/>
            <w:right w:val="none" w:sz="0" w:space="0" w:color="auto"/>
          </w:divBdr>
          <w:divsChild>
            <w:div w:id="1629119308">
              <w:marLeft w:val="0"/>
              <w:marRight w:val="0"/>
              <w:marTop w:val="0"/>
              <w:marBottom w:val="0"/>
              <w:divBdr>
                <w:top w:val="none" w:sz="0" w:space="0" w:color="auto"/>
                <w:left w:val="none" w:sz="0" w:space="0" w:color="auto"/>
                <w:bottom w:val="none" w:sz="0" w:space="0" w:color="auto"/>
                <w:right w:val="none" w:sz="0" w:space="0" w:color="auto"/>
              </w:divBdr>
              <w:divsChild>
                <w:div w:id="1158351351">
                  <w:marLeft w:val="0"/>
                  <w:marRight w:val="0"/>
                  <w:marTop w:val="0"/>
                  <w:marBottom w:val="0"/>
                  <w:divBdr>
                    <w:top w:val="none" w:sz="0" w:space="0" w:color="auto"/>
                    <w:left w:val="none" w:sz="0" w:space="0" w:color="auto"/>
                    <w:bottom w:val="none" w:sz="0" w:space="0" w:color="auto"/>
                    <w:right w:val="none" w:sz="0" w:space="0" w:color="auto"/>
                  </w:divBdr>
                  <w:divsChild>
                    <w:div w:id="44728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1695239">
      <w:bodyDiv w:val="1"/>
      <w:marLeft w:val="0"/>
      <w:marRight w:val="0"/>
      <w:marTop w:val="0"/>
      <w:marBottom w:val="0"/>
      <w:divBdr>
        <w:top w:val="none" w:sz="0" w:space="0" w:color="auto"/>
        <w:left w:val="none" w:sz="0" w:space="0" w:color="auto"/>
        <w:bottom w:val="none" w:sz="0" w:space="0" w:color="auto"/>
        <w:right w:val="none" w:sz="0" w:space="0" w:color="auto"/>
      </w:divBdr>
      <w:divsChild>
        <w:div w:id="448284196">
          <w:marLeft w:val="576"/>
          <w:marRight w:val="0"/>
          <w:marTop w:val="120"/>
          <w:marBottom w:val="0"/>
          <w:divBdr>
            <w:top w:val="none" w:sz="0" w:space="0" w:color="auto"/>
            <w:left w:val="none" w:sz="0" w:space="0" w:color="auto"/>
            <w:bottom w:val="none" w:sz="0" w:space="0" w:color="auto"/>
            <w:right w:val="none" w:sz="0" w:space="0" w:color="auto"/>
          </w:divBdr>
        </w:div>
        <w:div w:id="19014920">
          <w:marLeft w:val="576"/>
          <w:marRight w:val="0"/>
          <w:marTop w:val="120"/>
          <w:marBottom w:val="0"/>
          <w:divBdr>
            <w:top w:val="none" w:sz="0" w:space="0" w:color="auto"/>
            <w:left w:val="none" w:sz="0" w:space="0" w:color="auto"/>
            <w:bottom w:val="none" w:sz="0" w:space="0" w:color="auto"/>
            <w:right w:val="none" w:sz="0" w:space="0" w:color="auto"/>
          </w:divBdr>
        </w:div>
        <w:div w:id="633172611">
          <w:marLeft w:val="576"/>
          <w:marRight w:val="0"/>
          <w:marTop w:val="120"/>
          <w:marBottom w:val="0"/>
          <w:divBdr>
            <w:top w:val="none" w:sz="0" w:space="0" w:color="auto"/>
            <w:left w:val="none" w:sz="0" w:space="0" w:color="auto"/>
            <w:bottom w:val="none" w:sz="0" w:space="0" w:color="auto"/>
            <w:right w:val="none" w:sz="0" w:space="0" w:color="auto"/>
          </w:divBdr>
        </w:div>
        <w:div w:id="75617471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1638587">
      <w:bodyDiv w:val="1"/>
      <w:marLeft w:val="0"/>
      <w:marRight w:val="0"/>
      <w:marTop w:val="0"/>
      <w:marBottom w:val="0"/>
      <w:divBdr>
        <w:top w:val="none" w:sz="0" w:space="0" w:color="auto"/>
        <w:left w:val="none" w:sz="0" w:space="0" w:color="auto"/>
        <w:bottom w:val="none" w:sz="0" w:space="0" w:color="auto"/>
        <w:right w:val="none" w:sz="0" w:space="0" w:color="auto"/>
      </w:divBdr>
      <w:divsChild>
        <w:div w:id="1332564071">
          <w:marLeft w:val="576"/>
          <w:marRight w:val="0"/>
          <w:marTop w:val="120"/>
          <w:marBottom w:val="0"/>
          <w:divBdr>
            <w:top w:val="none" w:sz="0" w:space="0" w:color="auto"/>
            <w:left w:val="none" w:sz="0" w:space="0" w:color="auto"/>
            <w:bottom w:val="none" w:sz="0" w:space="0" w:color="auto"/>
            <w:right w:val="none" w:sz="0" w:space="0" w:color="auto"/>
          </w:divBdr>
        </w:div>
        <w:div w:id="742527344">
          <w:marLeft w:val="576"/>
          <w:marRight w:val="0"/>
          <w:marTop w:val="120"/>
          <w:marBottom w:val="0"/>
          <w:divBdr>
            <w:top w:val="none" w:sz="0" w:space="0" w:color="auto"/>
            <w:left w:val="none" w:sz="0" w:space="0" w:color="auto"/>
            <w:bottom w:val="none" w:sz="0" w:space="0" w:color="auto"/>
            <w:right w:val="none" w:sz="0" w:space="0" w:color="auto"/>
          </w:divBdr>
        </w:div>
        <w:div w:id="2136678108">
          <w:marLeft w:val="576"/>
          <w:marRight w:val="0"/>
          <w:marTop w:val="120"/>
          <w:marBottom w:val="0"/>
          <w:divBdr>
            <w:top w:val="none" w:sz="0" w:space="0" w:color="auto"/>
            <w:left w:val="none" w:sz="0" w:space="0" w:color="auto"/>
            <w:bottom w:val="none" w:sz="0" w:space="0" w:color="auto"/>
            <w:right w:val="none" w:sz="0" w:space="0" w:color="auto"/>
          </w:divBdr>
        </w:div>
        <w:div w:id="1636253336">
          <w:marLeft w:val="576"/>
          <w:marRight w:val="0"/>
          <w:marTop w:val="120"/>
          <w:marBottom w:val="0"/>
          <w:divBdr>
            <w:top w:val="none" w:sz="0" w:space="0" w:color="auto"/>
            <w:left w:val="none" w:sz="0" w:space="0" w:color="auto"/>
            <w:bottom w:val="none" w:sz="0" w:space="0" w:color="auto"/>
            <w:right w:val="none" w:sz="0" w:space="0" w:color="auto"/>
          </w:divBdr>
        </w:div>
        <w:div w:id="1478835300">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15</Pages>
  <Words>1953</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2021-07-01T12:32:00Z</dcterms:modified>
</cp:coreProperties>
</file>