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34245" w:rsidRDefault="00B34245" w:rsidP="00B34245">
      <w:pPr>
        <w:spacing w:line="360" w:lineRule="auto"/>
        <w:jc w:val="center"/>
        <w:rPr>
          <w:rFonts w:ascii="Times New Roman" w:hAnsi="Times New Roman" w:cs="Times New Roman"/>
          <w:b/>
          <w:sz w:val="44"/>
          <w:szCs w:val="44"/>
        </w:rPr>
      </w:pPr>
      <w:r w:rsidRPr="00B34245">
        <w:rPr>
          <w:rFonts w:ascii="Times New Roman" w:hAnsi="Times New Roman" w:cs="Times New Roman"/>
          <w:b/>
          <w:sz w:val="44"/>
          <w:szCs w:val="44"/>
        </w:rPr>
        <w:t>Multi-Perspective Trust Management Framework for Crowdsourced IoT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34245" w:rsidRDefault="00B34245" w:rsidP="00E53AA4">
      <w:pPr>
        <w:spacing w:line="360" w:lineRule="auto"/>
        <w:jc w:val="both"/>
        <w:rPr>
          <w:rFonts w:ascii="Times New Roman" w:hAnsi="Times New Roman" w:cs="Times New Roman"/>
          <w:b/>
          <w:sz w:val="44"/>
          <w:szCs w:val="44"/>
        </w:rPr>
      </w:pPr>
    </w:p>
    <w:p w:rsidR="00B34245" w:rsidRDefault="00B3424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A20A4" w:rsidRDefault="002A20A4" w:rsidP="00E53AA4">
      <w:pPr>
        <w:spacing w:line="360" w:lineRule="auto"/>
        <w:jc w:val="both"/>
        <w:rPr>
          <w:rFonts w:ascii="Times New Roman" w:hAnsi="Times New Roman" w:cs="Times New Roman"/>
          <w:b/>
          <w:sz w:val="32"/>
          <w:szCs w:val="32"/>
        </w:rPr>
      </w:pPr>
      <w:r w:rsidRPr="002A20A4">
        <w:rPr>
          <w:rFonts w:ascii="Times New Roman" w:hAnsi="Times New Roman" w:cs="Times New Roman"/>
          <w:sz w:val="32"/>
          <w:szCs w:val="32"/>
        </w:rPr>
        <w:t>We propose a novel generic trust management framework for crowdsourced IoT services. The framework exploits a multi-perspective trust model that captures the inherent characteristics of crowdsourced IoT services. Each perspective is defined by a set of attributes that contribute to the perspective’s influence on trust. The attributes are fed into a machine-learning-based algorithm to generate a trust model for crowdsourced services in IoT environments. We demonstrate the effectiveness of our approach by conducting experiments on real-world datasets</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2A20A4" w:rsidRDefault="002A20A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A20A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769EA" w:rsidRDefault="00575475" w:rsidP="00D7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69EA">
        <w:rPr>
          <w:rFonts w:ascii="Times New Roman" w:hAnsi="Times New Roman" w:cs="Times New Roman"/>
          <w:sz w:val="32"/>
          <w:szCs w:val="32"/>
          <w:lang w:val="en-IN"/>
        </w:rPr>
        <w:t>Existing trust models suffer from this attack since they rely on a unique trust value that globally characterizes a node including all assisted serv</w:t>
      </w:r>
      <w:r w:rsidRPr="00D769EA">
        <w:rPr>
          <w:rFonts w:ascii="Times New Roman" w:hAnsi="Times New Roman" w:cs="Times New Roman"/>
          <w:sz w:val="32"/>
          <w:szCs w:val="32"/>
          <w:lang w:val="en-IN"/>
        </w:rPr>
        <w:t>ices.</w:t>
      </w:r>
    </w:p>
    <w:p w:rsidR="00000000" w:rsidRPr="00D769EA" w:rsidRDefault="00575475" w:rsidP="00D7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69EA">
        <w:rPr>
          <w:rFonts w:ascii="Times New Roman" w:hAnsi="Times New Roman" w:cs="Times New Roman"/>
          <w:sz w:val="32"/>
          <w:szCs w:val="32"/>
          <w:lang w:val="en-IN"/>
        </w:rPr>
        <w:t>It is more complex to quantify the former term, namely context similarity in terms of type of service, since multiple collaborative services exist that share little in common.</w:t>
      </w:r>
    </w:p>
    <w:p w:rsidR="00000000" w:rsidRPr="00D769EA" w:rsidRDefault="00575475" w:rsidP="00D7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69EA">
        <w:rPr>
          <w:rFonts w:ascii="Times New Roman" w:hAnsi="Times New Roman" w:cs="Times New Roman"/>
          <w:sz w:val="32"/>
          <w:szCs w:val="32"/>
          <w:lang w:val="en-IN"/>
        </w:rPr>
        <w:t xml:space="preserve">There exists a local trust management system within this infrastructure </w:t>
      </w:r>
      <w:r w:rsidRPr="00D769EA">
        <w:rPr>
          <w:rFonts w:ascii="Times New Roman" w:hAnsi="Times New Roman" w:cs="Times New Roman"/>
          <w:sz w:val="32"/>
          <w:szCs w:val="32"/>
          <w:lang w:val="en-IN"/>
        </w:rPr>
        <w:t>that manages collaboration between nodes for multiple networking services.</w:t>
      </w:r>
    </w:p>
    <w:p w:rsidR="00000000" w:rsidRPr="00D769EA" w:rsidRDefault="00575475" w:rsidP="00D7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69EA">
        <w:rPr>
          <w:rFonts w:ascii="Times New Roman" w:hAnsi="Times New Roman" w:cs="Times New Roman"/>
          <w:sz w:val="32"/>
          <w:szCs w:val="32"/>
          <w:lang w:val="en-IN"/>
        </w:rPr>
        <w:t>Of course, truly malicious nodes do exist too and have to be dealt with, even though these would likely try to fail the trust metric by camouflaging their misbehaviours.</w:t>
      </w:r>
      <w:r w:rsidRPr="00D769E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769EA" w:rsidRDefault="00575475" w:rsidP="00D769EA">
      <w:pPr>
        <w:numPr>
          <w:ilvl w:val="0"/>
          <w:numId w:val="45"/>
        </w:numPr>
        <w:spacing w:line="360" w:lineRule="auto"/>
        <w:jc w:val="both"/>
        <w:rPr>
          <w:rFonts w:ascii="Times New Roman" w:hAnsi="Times New Roman" w:cs="Times New Roman"/>
          <w:bCs/>
          <w:sz w:val="32"/>
          <w:szCs w:val="32"/>
          <w:lang w:val="en-IN"/>
        </w:rPr>
      </w:pPr>
      <w:r w:rsidRPr="00D769EA">
        <w:rPr>
          <w:rFonts w:ascii="Times New Roman" w:hAnsi="Times New Roman" w:cs="Times New Roman"/>
          <w:bCs/>
          <w:sz w:val="32"/>
          <w:szCs w:val="32"/>
          <w:lang w:val="en-IN"/>
        </w:rPr>
        <w:t xml:space="preserve">We </w:t>
      </w:r>
      <w:r w:rsidRPr="00D769EA">
        <w:rPr>
          <w:rFonts w:ascii="Times New Roman" w:hAnsi="Times New Roman" w:cs="Times New Roman"/>
          <w:bCs/>
          <w:sz w:val="32"/>
          <w:szCs w:val="32"/>
          <w:lang w:val="en-IN"/>
        </w:rPr>
        <w:t>address the issue of establishing trust between IoT service providers and consumers. Service providers and consumers are assumed to own IoT devices.</w:t>
      </w:r>
    </w:p>
    <w:p w:rsidR="00000000" w:rsidRPr="00D769EA" w:rsidRDefault="00575475" w:rsidP="00D769EA">
      <w:pPr>
        <w:numPr>
          <w:ilvl w:val="0"/>
          <w:numId w:val="45"/>
        </w:numPr>
        <w:spacing w:line="360" w:lineRule="auto"/>
        <w:jc w:val="both"/>
        <w:rPr>
          <w:rFonts w:ascii="Times New Roman" w:hAnsi="Times New Roman" w:cs="Times New Roman"/>
          <w:bCs/>
          <w:sz w:val="32"/>
          <w:szCs w:val="32"/>
          <w:lang w:val="en-IN"/>
        </w:rPr>
      </w:pPr>
      <w:r w:rsidRPr="00D769EA">
        <w:rPr>
          <w:rFonts w:ascii="Times New Roman" w:hAnsi="Times New Roman" w:cs="Times New Roman"/>
          <w:bCs/>
          <w:sz w:val="32"/>
          <w:szCs w:val="32"/>
          <w:lang w:val="en-IN"/>
        </w:rPr>
        <w:t>Therefore, the problem is defined as assessing the context-dependent trust of highly dynamic IoT services.</w:t>
      </w:r>
    </w:p>
    <w:p w:rsidR="00000000" w:rsidRPr="00D769EA" w:rsidRDefault="00575475" w:rsidP="00D769EA">
      <w:pPr>
        <w:numPr>
          <w:ilvl w:val="0"/>
          <w:numId w:val="45"/>
        </w:numPr>
        <w:spacing w:line="360" w:lineRule="auto"/>
        <w:jc w:val="both"/>
        <w:rPr>
          <w:rFonts w:ascii="Times New Roman" w:hAnsi="Times New Roman" w:cs="Times New Roman"/>
          <w:bCs/>
          <w:sz w:val="32"/>
          <w:szCs w:val="32"/>
          <w:lang w:val="en-IN"/>
        </w:rPr>
      </w:pPr>
      <w:r w:rsidRPr="00D769EA">
        <w:rPr>
          <w:rFonts w:ascii="Times New Roman" w:hAnsi="Times New Roman" w:cs="Times New Roman"/>
          <w:bCs/>
          <w:sz w:val="32"/>
          <w:szCs w:val="32"/>
          <w:lang w:val="en-IN"/>
        </w:rPr>
        <w:t xml:space="preserve">However, if such data is missing, the problem becomes a bootstrapping problem. </w:t>
      </w:r>
    </w:p>
    <w:p w:rsidR="00000000" w:rsidRPr="00D769EA" w:rsidRDefault="00575475" w:rsidP="00D769EA">
      <w:pPr>
        <w:numPr>
          <w:ilvl w:val="0"/>
          <w:numId w:val="45"/>
        </w:numPr>
        <w:spacing w:line="360" w:lineRule="auto"/>
        <w:jc w:val="both"/>
        <w:rPr>
          <w:rFonts w:ascii="Times New Roman" w:hAnsi="Times New Roman" w:cs="Times New Roman"/>
          <w:bCs/>
          <w:sz w:val="32"/>
          <w:szCs w:val="32"/>
          <w:lang w:val="en-IN"/>
        </w:rPr>
      </w:pPr>
      <w:r w:rsidRPr="00D769EA">
        <w:rPr>
          <w:rFonts w:ascii="Times New Roman" w:hAnsi="Times New Roman" w:cs="Times New Roman"/>
          <w:bCs/>
          <w:sz w:val="32"/>
          <w:szCs w:val="32"/>
          <w:lang w:val="en-IN"/>
        </w:rPr>
        <w:t xml:space="preserve">Some of the main issues in service provisioning are highlighted as follows: trustworthiness, reliability, and availability. </w:t>
      </w:r>
    </w:p>
    <w:p w:rsidR="00000000" w:rsidRPr="00D769EA" w:rsidRDefault="00575475" w:rsidP="00D769EA">
      <w:pPr>
        <w:numPr>
          <w:ilvl w:val="0"/>
          <w:numId w:val="45"/>
        </w:numPr>
        <w:spacing w:line="360" w:lineRule="auto"/>
        <w:jc w:val="both"/>
        <w:rPr>
          <w:rFonts w:ascii="Times New Roman" w:hAnsi="Times New Roman" w:cs="Times New Roman"/>
          <w:bCs/>
          <w:sz w:val="32"/>
          <w:szCs w:val="32"/>
          <w:lang w:val="en-IN"/>
        </w:rPr>
      </w:pPr>
      <w:r w:rsidRPr="00D769EA">
        <w:rPr>
          <w:rFonts w:ascii="Times New Roman" w:hAnsi="Times New Roman" w:cs="Times New Roman"/>
          <w:bCs/>
          <w:sz w:val="32"/>
          <w:szCs w:val="32"/>
          <w:lang w:val="en-IN"/>
        </w:rPr>
        <w:lastRenderedPageBreak/>
        <w:t>The framework tries to overcome these issues by</w:t>
      </w:r>
      <w:r w:rsidRPr="00D769EA">
        <w:rPr>
          <w:rFonts w:ascii="Times New Roman" w:hAnsi="Times New Roman" w:cs="Times New Roman"/>
          <w:bCs/>
          <w:sz w:val="32"/>
          <w:szCs w:val="32"/>
          <w:lang w:val="en-IN"/>
        </w:rPr>
        <w:t xml:space="preserve"> giving users the control over who can use their services and which services they can use (i.e., setting their preferences). </w:t>
      </w:r>
    </w:p>
    <w:p w:rsidR="000B33B0" w:rsidRPr="00D769EA" w:rsidRDefault="006A300A" w:rsidP="00D769EA">
      <w:pPr>
        <w:spacing w:line="360" w:lineRule="auto"/>
        <w:jc w:val="both"/>
        <w:rPr>
          <w:rFonts w:ascii="Times New Roman" w:eastAsia="Times New Roman" w:hAnsi="Times New Roman" w:cs="Times New Roman"/>
          <w:sz w:val="32"/>
          <w:szCs w:val="32"/>
        </w:rPr>
      </w:pPr>
      <w:r w:rsidRPr="00D769EA">
        <w:rPr>
          <w:rFonts w:ascii="Times New Roman" w:hAnsi="Times New Roman" w:cs="Times New Roman"/>
          <w:b/>
          <w:sz w:val="36"/>
          <w:szCs w:val="36"/>
        </w:rPr>
        <w:t xml:space="preserve">2.2. PROPOSED </w:t>
      </w:r>
      <w:r w:rsidR="000B33B0" w:rsidRPr="00D769EA">
        <w:rPr>
          <w:rFonts w:ascii="Times New Roman" w:hAnsi="Times New Roman" w:cs="Times New Roman"/>
          <w:b/>
          <w:sz w:val="36"/>
          <w:szCs w:val="36"/>
        </w:rPr>
        <w:t xml:space="preserve">SYSTEM </w:t>
      </w:r>
    </w:p>
    <w:p w:rsidR="00D769EA" w:rsidRPr="00D769EA" w:rsidRDefault="00D769EA" w:rsidP="00D769EA">
      <w:pPr>
        <w:pStyle w:val="NormalWeb"/>
        <w:numPr>
          <w:ilvl w:val="0"/>
          <w:numId w:val="46"/>
        </w:numPr>
        <w:spacing w:before="0" w:beforeAutospacing="0" w:after="0" w:afterAutospacing="0" w:line="360" w:lineRule="auto"/>
        <w:ind w:left="426"/>
        <w:jc w:val="both"/>
        <w:rPr>
          <w:sz w:val="32"/>
          <w:szCs w:val="32"/>
        </w:rPr>
      </w:pPr>
      <w:r w:rsidRPr="00D769EA">
        <w:rPr>
          <w:sz w:val="32"/>
          <w:szCs w:val="32"/>
        </w:rPr>
        <w:t>The proposed system claims to be safe from bad mouthing and ballot-stuffing attacks, assuming that the deployed agents are trusted-third parties and would not engender these types of attacks.</w:t>
      </w:r>
    </w:p>
    <w:p w:rsidR="00D769EA" w:rsidRPr="00D769EA" w:rsidRDefault="00D769EA" w:rsidP="00D769EA">
      <w:pPr>
        <w:pStyle w:val="NormalWeb"/>
        <w:numPr>
          <w:ilvl w:val="0"/>
          <w:numId w:val="46"/>
        </w:numPr>
        <w:spacing w:before="0" w:beforeAutospacing="0" w:after="0" w:afterAutospacing="0" w:line="360" w:lineRule="auto"/>
        <w:ind w:left="426"/>
        <w:jc w:val="both"/>
        <w:rPr>
          <w:sz w:val="32"/>
          <w:szCs w:val="32"/>
        </w:rPr>
      </w:pPr>
      <w:r w:rsidRPr="00D769EA">
        <w:rPr>
          <w:sz w:val="32"/>
          <w:szCs w:val="32"/>
        </w:rPr>
        <w:t xml:space="preserve">Eventually, only the best partners with respect to a sought cooperative service are proposed to a requesting node. </w:t>
      </w:r>
    </w:p>
    <w:p w:rsidR="00D769EA" w:rsidRPr="00D769EA" w:rsidRDefault="00D769EA" w:rsidP="00D769EA">
      <w:pPr>
        <w:pStyle w:val="NormalWeb"/>
        <w:numPr>
          <w:ilvl w:val="0"/>
          <w:numId w:val="46"/>
        </w:numPr>
        <w:spacing w:before="0" w:beforeAutospacing="0" w:after="0" w:afterAutospacing="0" w:line="360" w:lineRule="auto"/>
        <w:ind w:left="426"/>
        <w:jc w:val="both"/>
        <w:rPr>
          <w:sz w:val="32"/>
          <w:szCs w:val="32"/>
        </w:rPr>
      </w:pPr>
      <w:r w:rsidRPr="00D769EA">
        <w:rPr>
          <w:sz w:val="32"/>
          <w:szCs w:val="32"/>
        </w:rPr>
        <w:t>The proposed model takes into account both first-hand information (direct observations and own experiences) and second-hand information (indirect experiences and observations reported by neighbouring nodes) to update trust values.</w:t>
      </w:r>
    </w:p>
    <w:p w:rsidR="00D769EA" w:rsidRPr="00D769EA" w:rsidRDefault="00D769EA" w:rsidP="00D769EA">
      <w:pPr>
        <w:pStyle w:val="NormalWeb"/>
        <w:numPr>
          <w:ilvl w:val="0"/>
          <w:numId w:val="46"/>
        </w:numPr>
        <w:spacing w:before="0" w:beforeAutospacing="0" w:after="0" w:afterAutospacing="0" w:line="360" w:lineRule="auto"/>
        <w:ind w:left="426"/>
        <w:jc w:val="both"/>
        <w:rPr>
          <w:sz w:val="32"/>
          <w:szCs w:val="32"/>
        </w:rPr>
      </w:pPr>
      <w:r w:rsidRPr="00D769EA">
        <w:rPr>
          <w:sz w:val="32"/>
          <w:szCs w:val="32"/>
        </w:rPr>
        <w:t>The proposed TMS defines a weighting factor to evaluate the confidence put in recommendations received from other nodes.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69EA" w:rsidRDefault="00575475" w:rsidP="00D7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9EA">
        <w:rPr>
          <w:rFonts w:ascii="Times New Roman" w:eastAsia="AdvGulliv-R" w:hAnsi="Times New Roman" w:cs="Times New Roman"/>
          <w:bCs/>
          <w:sz w:val="32"/>
          <w:szCs w:val="32"/>
          <w:lang w:val="en-IN"/>
        </w:rPr>
        <w:t>Attributes that have no influence on the trust should be filtered out and not be u</w:t>
      </w:r>
      <w:r w:rsidRPr="00D769EA">
        <w:rPr>
          <w:rFonts w:ascii="Times New Roman" w:eastAsia="AdvGulliv-R" w:hAnsi="Times New Roman" w:cs="Times New Roman"/>
          <w:bCs/>
          <w:sz w:val="32"/>
          <w:szCs w:val="32"/>
          <w:lang w:val="en-IN"/>
        </w:rPr>
        <w:t>sed for trust evaluation as it could degrade the performance of the network and the framework as a result.</w:t>
      </w:r>
    </w:p>
    <w:p w:rsidR="00000000" w:rsidRPr="00D769EA" w:rsidRDefault="00575475" w:rsidP="00D7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9EA">
        <w:rPr>
          <w:rFonts w:ascii="Times New Roman" w:eastAsia="AdvGulliv-R" w:hAnsi="Times New Roman" w:cs="Times New Roman"/>
          <w:bCs/>
          <w:sz w:val="32"/>
          <w:szCs w:val="32"/>
          <w:lang w:val="en-IN"/>
        </w:rPr>
        <w:t>Device perspective attributes can have more impact on the trust in services where the device and its performance is crucial (e.g., sensing and energ</w:t>
      </w:r>
      <w:r w:rsidRPr="00D769EA">
        <w:rPr>
          <w:rFonts w:ascii="Times New Roman" w:eastAsia="AdvGulliv-R" w:hAnsi="Times New Roman" w:cs="Times New Roman"/>
          <w:bCs/>
          <w:sz w:val="32"/>
          <w:szCs w:val="32"/>
          <w:lang w:val="en-IN"/>
        </w:rPr>
        <w:t>y sharing services).</w:t>
      </w:r>
    </w:p>
    <w:p w:rsidR="00000000" w:rsidRPr="00D769EA" w:rsidRDefault="00575475" w:rsidP="00D7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9EA">
        <w:rPr>
          <w:rFonts w:ascii="Times New Roman" w:eastAsia="AdvGulliv-R" w:hAnsi="Times New Roman" w:cs="Times New Roman"/>
          <w:bCs/>
          <w:sz w:val="32"/>
          <w:szCs w:val="32"/>
          <w:lang w:val="en-IN"/>
        </w:rPr>
        <w:lastRenderedPageBreak/>
        <w:t xml:space="preserve">The node’s reputation is computed based on its performance characteristics: packet delivery, forwarding ratio, and energy consumption. </w:t>
      </w:r>
    </w:p>
    <w:p w:rsidR="00000000" w:rsidRPr="00D769EA" w:rsidRDefault="00575475" w:rsidP="00D7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9EA">
        <w:rPr>
          <w:rFonts w:ascii="Times New Roman" w:eastAsia="AdvGulliv-R" w:hAnsi="Times New Roman" w:cs="Times New Roman"/>
          <w:bCs/>
          <w:sz w:val="32"/>
          <w:szCs w:val="32"/>
          <w:lang w:val="en-IN"/>
        </w:rPr>
        <w:t>While IoT crowdsourcing platforms provide distinct opportunities in terms of convenience and effi</w:t>
      </w:r>
      <w:r w:rsidRPr="00D769EA">
        <w:rPr>
          <w:rFonts w:ascii="Times New Roman" w:eastAsia="AdvGulliv-R" w:hAnsi="Times New Roman" w:cs="Times New Roman"/>
          <w:bCs/>
          <w:sz w:val="32"/>
          <w:szCs w:val="32"/>
          <w:lang w:val="en-IN"/>
        </w:rPr>
        <w:t>ciency, they also present fundamental challenges.</w:t>
      </w:r>
      <w:r w:rsidRPr="00D769E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Internet of things (iot): A vision, architectural elements, and future directions</w:t>
            </w:r>
          </w:p>
        </w:tc>
        <w:tc>
          <w:tcPr>
            <w:tcW w:w="3192" w:type="dxa"/>
          </w:tcPr>
          <w:p w:rsidR="000C407B" w:rsidRPr="00D769EA" w:rsidRDefault="00D769EA" w:rsidP="00D769EA">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 xml:space="preserve">J. Gubbi, R. Buyya, S. Marusic, and M. Palaniswami, </w:t>
            </w:r>
          </w:p>
        </w:tc>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color w:val="2E2E2E"/>
                <w:sz w:val="28"/>
                <w:szCs w:val="28"/>
              </w:rPr>
              <w:t>This offers the ability to measure, infer and understand environmental indicators, from delicate ecologies and natural resources to urban environments.</w:t>
            </w:r>
          </w:p>
        </w:tc>
      </w:tr>
      <w:tr w:rsidR="000C407B" w:rsidTr="000C407B">
        <w:trPr>
          <w:trHeight w:val="2942"/>
        </w:trPr>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Crowdsourcing to smartphones: Incentive mechanism design for mobile phone sensing</w:t>
            </w:r>
          </w:p>
        </w:tc>
        <w:tc>
          <w:tcPr>
            <w:tcW w:w="3192" w:type="dxa"/>
          </w:tcPr>
          <w:p w:rsidR="000C407B" w:rsidRPr="00D769EA" w:rsidRDefault="00D769EA" w:rsidP="00D769EA">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 xml:space="preserve">D. Yang, G. Xue, X. Fang, and J. Tang, </w:t>
            </w:r>
          </w:p>
        </w:tc>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color w:val="333333"/>
                <w:sz w:val="28"/>
                <w:szCs w:val="28"/>
                <w:shd w:val="clear" w:color="auto" w:fill="FFFFFF"/>
              </w:rPr>
              <w:t>In a mobile phone sensing system, the platform recruits smartphone users to provide sensing service.</w:t>
            </w:r>
          </w:p>
        </w:tc>
      </w:tr>
      <w:tr w:rsidR="000C407B" w:rsidTr="000C407B">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A survey of crowdsourcing systems</w:t>
            </w:r>
          </w:p>
        </w:tc>
        <w:tc>
          <w:tcPr>
            <w:tcW w:w="3192" w:type="dxa"/>
          </w:tcPr>
          <w:p w:rsidR="000C407B" w:rsidRPr="00D769EA" w:rsidRDefault="00D769EA" w:rsidP="00D769EA">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 xml:space="preserve">M.-C. Yuen, I. King, and K.-S. Leung, </w:t>
            </w:r>
          </w:p>
        </w:tc>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color w:val="333333"/>
                <w:sz w:val="28"/>
                <w:szCs w:val="28"/>
                <w:shd w:val="clear" w:color="auto" w:fill="FFFFFF"/>
              </w:rPr>
              <w:t xml:space="preserve">In crowd sourcing paradigm, tasks are distributed to networked people to complete such that a company's </w:t>
            </w:r>
            <w:r w:rsidRPr="00D769EA">
              <w:rPr>
                <w:rFonts w:ascii="Times New Roman" w:hAnsi="Times New Roman" w:cs="Times New Roman"/>
                <w:color w:val="333333"/>
                <w:sz w:val="28"/>
                <w:szCs w:val="28"/>
                <w:shd w:val="clear" w:color="auto" w:fill="FFFFFF"/>
              </w:rPr>
              <w:lastRenderedPageBreak/>
              <w:t>production cost can be greatly reduced.</w:t>
            </w:r>
          </w:p>
        </w:tc>
      </w:tr>
      <w:tr w:rsidR="000C407B" w:rsidTr="000C407B">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lastRenderedPageBreak/>
              <w:t>Femto clouds: Leveraging mobile devices to provide cloud service at the edge</w:t>
            </w:r>
          </w:p>
        </w:tc>
        <w:tc>
          <w:tcPr>
            <w:tcW w:w="3192" w:type="dxa"/>
          </w:tcPr>
          <w:p w:rsidR="000C407B" w:rsidRPr="00D769EA" w:rsidRDefault="00D769EA" w:rsidP="00D769EA">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sz w:val="28"/>
                <w:szCs w:val="28"/>
              </w:rPr>
              <w:t xml:space="preserve">K. Habak, M. Ammar, K. A. Harras, and E. Zegura, </w:t>
            </w:r>
          </w:p>
        </w:tc>
        <w:tc>
          <w:tcPr>
            <w:tcW w:w="3192" w:type="dxa"/>
          </w:tcPr>
          <w:p w:rsidR="000C407B" w:rsidRPr="00D769EA" w:rsidRDefault="00D769EA" w:rsidP="00E53AA4">
            <w:pPr>
              <w:tabs>
                <w:tab w:val="left" w:pos="720"/>
              </w:tabs>
              <w:spacing w:after="100" w:line="360" w:lineRule="auto"/>
              <w:jc w:val="both"/>
              <w:rPr>
                <w:rFonts w:ascii="Times New Roman" w:hAnsi="Times New Roman" w:cs="Times New Roman"/>
                <w:sz w:val="28"/>
                <w:szCs w:val="28"/>
              </w:rPr>
            </w:pPr>
            <w:r w:rsidRPr="00D769EA">
              <w:rPr>
                <w:rFonts w:ascii="Times New Roman" w:hAnsi="Times New Roman" w:cs="Times New Roman"/>
                <w:color w:val="333333"/>
                <w:sz w:val="28"/>
                <w:szCs w:val="28"/>
                <w:shd w:val="clear" w:color="auto" w:fill="FFFFFF"/>
              </w:rPr>
              <w:t>Mobile devices are becoming increasingly capable computing platforms with significant processor power and memory.</w:t>
            </w:r>
          </w:p>
        </w:tc>
      </w:tr>
    </w:tbl>
    <w:p w:rsidR="00C155B8" w:rsidRDefault="00C155B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C155B8" w:rsidRPr="00F5183A" w:rsidRDefault="00C155B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155B8" w:rsidP="00E53AA4">
      <w:pPr>
        <w:spacing w:after="0" w:line="360" w:lineRule="auto"/>
        <w:jc w:val="both"/>
        <w:rPr>
          <w:rFonts w:ascii="Times New Roman" w:hAnsi="Times New Roman" w:cs="Times New Roman"/>
        </w:rPr>
      </w:pPr>
      <w:r w:rsidRPr="00C155B8">
        <w:rPr>
          <w:rFonts w:ascii="Times New Roman" w:hAnsi="Times New Roman" w:cs="Times New Roman"/>
        </w:rPr>
        <w:drawing>
          <wp:inline distT="0" distB="0" distL="0" distR="0">
            <wp:extent cx="5942541" cy="4457700"/>
            <wp:effectExtent l="19050" t="0" r="1059"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584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155B8" w:rsidRDefault="00C155B8" w:rsidP="00E53AA4">
      <w:pPr>
        <w:spacing w:before="100" w:after="100" w:line="360" w:lineRule="auto"/>
        <w:jc w:val="both"/>
        <w:rPr>
          <w:rFonts w:ascii="Times New Roman" w:hAnsi="Times New Roman" w:cs="Times New Roman"/>
          <w:b/>
          <w:sz w:val="28"/>
          <w:szCs w:val="28"/>
        </w:rPr>
      </w:pPr>
    </w:p>
    <w:p w:rsidR="00C155B8" w:rsidRDefault="00C155B8"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2A10" w:rsidRPr="00E52A10" w:rsidRDefault="00E52A10" w:rsidP="00E52A10">
      <w:pPr>
        <w:pStyle w:val="BodyText"/>
        <w:rPr>
          <w:bCs/>
          <w:iCs/>
          <w:sz w:val="32"/>
          <w:szCs w:val="32"/>
          <w:lang w:val="en-IN"/>
        </w:rPr>
      </w:pPr>
      <w:r w:rsidRPr="00E52A10">
        <w:rPr>
          <w:bCs/>
          <w:iCs/>
          <w:sz w:val="32"/>
          <w:szCs w:val="32"/>
          <w:lang w:val="en-IN"/>
        </w:rPr>
        <w:t xml:space="preserve">     We proposed an IoT trust management framework that tries to ascertain a level of trust between potential providers and consumers. Specifically, our approach measures the trustworthiness of IoT service providers. The framework is based on a multi-perspective trust model. Each perspective in the model contributes to the overall trust. The perspectives are defined by a set of attributes that are extracted from the inherent characteristics of IoT services. We evaluated our approach in terms of the accuracy of detecting trustful and distrustful IoT services. It is worth noting that our proposed approach evaluates the service trustworthiness only (i.e., consumer perspective). Future directions can be investigating the trust level of IoT service consumers. Additionally, our work focused on leveraging trust-related data to evaluate IoT services’ trust, while assuming that the privacy and integrity of the data is protected. Our future work focuses on designing a privacy and integrity-preserving framework for storing and exchanging such data between IoT devices.</w:t>
      </w:r>
      <w:r w:rsidRPr="00E52A1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52A10" w:rsidRDefault="00E52A10" w:rsidP="00E53AA4">
      <w:pPr>
        <w:pStyle w:val="BodyText"/>
        <w:rPr>
          <w:b/>
          <w:iCs/>
          <w:sz w:val="28"/>
          <w:szCs w:val="28"/>
        </w:rPr>
      </w:pPr>
    </w:p>
    <w:p w:rsidR="00E52A10" w:rsidRDefault="00E52A10" w:rsidP="00E53AA4">
      <w:pPr>
        <w:pStyle w:val="BodyText"/>
        <w:rPr>
          <w:b/>
          <w:iCs/>
          <w:sz w:val="28"/>
          <w:szCs w:val="28"/>
        </w:rPr>
      </w:pPr>
    </w:p>
    <w:p w:rsidR="00E52A10" w:rsidRDefault="00E52A10" w:rsidP="00E53AA4">
      <w:pPr>
        <w:pStyle w:val="BodyText"/>
        <w:rPr>
          <w:b/>
          <w:iCs/>
          <w:sz w:val="28"/>
          <w:szCs w:val="28"/>
        </w:rPr>
      </w:pPr>
    </w:p>
    <w:p w:rsidR="00E52A10" w:rsidRDefault="00E52A1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52A10" w:rsidRDefault="00575475" w:rsidP="00E52A10">
      <w:pPr>
        <w:pStyle w:val="BodyText"/>
        <w:numPr>
          <w:ilvl w:val="0"/>
          <w:numId w:val="42"/>
        </w:numPr>
        <w:rPr>
          <w:sz w:val="32"/>
          <w:szCs w:val="32"/>
          <w:lang w:val="en-IN"/>
        </w:rPr>
      </w:pPr>
      <w:r w:rsidRPr="00E52A10">
        <w:rPr>
          <w:sz w:val="32"/>
          <w:szCs w:val="32"/>
          <w:lang w:val="en-IN"/>
        </w:rPr>
        <w:t xml:space="preserve">[1] J. Gubbi, R. Buyya, S. Marusic, and M. Palaniswami, “Internet of things (iot): A vision, architectural elements, and future directions,” Future generation computer systems, vol. 29, no. 7, pp. 1645– 1660, 2013. </w:t>
      </w:r>
    </w:p>
    <w:p w:rsidR="00000000" w:rsidRPr="00E52A10" w:rsidRDefault="00575475" w:rsidP="00E52A10">
      <w:pPr>
        <w:pStyle w:val="BodyText"/>
        <w:numPr>
          <w:ilvl w:val="0"/>
          <w:numId w:val="42"/>
        </w:numPr>
        <w:rPr>
          <w:sz w:val="32"/>
          <w:szCs w:val="32"/>
          <w:lang w:val="en-IN"/>
        </w:rPr>
      </w:pPr>
      <w:r w:rsidRPr="00E52A10">
        <w:rPr>
          <w:sz w:val="32"/>
          <w:szCs w:val="32"/>
          <w:lang w:val="en-IN"/>
        </w:rPr>
        <w:t>[2] D. Yang, G. X</w:t>
      </w:r>
      <w:r w:rsidRPr="00E52A10">
        <w:rPr>
          <w:sz w:val="32"/>
          <w:szCs w:val="32"/>
          <w:lang w:val="en-IN"/>
        </w:rPr>
        <w:t xml:space="preserve">ue, X. Fang, and J. Tang, “Crowdsourcing to smartphones: Incentive mechanism design for mobile phone sensing,” in Proceedings of the 18th annual international conference on Mobile computing and networking, ACM. New York, NY, USA: ACM, 2012, pp. 173–184. </w:t>
      </w:r>
    </w:p>
    <w:p w:rsidR="00000000" w:rsidRPr="00E52A10" w:rsidRDefault="00575475" w:rsidP="00E52A10">
      <w:pPr>
        <w:pStyle w:val="BodyText"/>
        <w:numPr>
          <w:ilvl w:val="0"/>
          <w:numId w:val="42"/>
        </w:numPr>
        <w:rPr>
          <w:sz w:val="32"/>
          <w:szCs w:val="32"/>
          <w:lang w:val="en-IN"/>
        </w:rPr>
      </w:pPr>
      <w:r w:rsidRPr="00E52A10">
        <w:rPr>
          <w:sz w:val="32"/>
          <w:szCs w:val="32"/>
          <w:lang w:val="en-IN"/>
        </w:rPr>
        <w:t xml:space="preserve">[3] M.-C. Yuen, I. King, and K.-S. Leung, “A survey of crowdsourcing systems,” in 2011 IEEE Third International Conference on Privacy, Security, Risk and Trust and 2011 IEEE Third International Conference on Social Computing. IEEE, 2011, pp. 766–773. </w:t>
      </w:r>
    </w:p>
    <w:p w:rsidR="00000000" w:rsidRPr="00E52A10" w:rsidRDefault="00575475" w:rsidP="00E52A10">
      <w:pPr>
        <w:pStyle w:val="BodyText"/>
        <w:numPr>
          <w:ilvl w:val="0"/>
          <w:numId w:val="42"/>
        </w:numPr>
        <w:rPr>
          <w:sz w:val="32"/>
          <w:szCs w:val="32"/>
          <w:lang w:val="en-IN"/>
        </w:rPr>
      </w:pPr>
      <w:r w:rsidRPr="00E52A10">
        <w:rPr>
          <w:sz w:val="32"/>
          <w:szCs w:val="32"/>
          <w:lang w:val="en-IN"/>
        </w:rPr>
        <w:t>[4]</w:t>
      </w:r>
      <w:r w:rsidRPr="00E52A10">
        <w:rPr>
          <w:sz w:val="32"/>
          <w:szCs w:val="32"/>
          <w:lang w:val="en-IN"/>
        </w:rPr>
        <w:t xml:space="preserve"> K. Habak, M. Ammar, K. A. Harras, and E. Zegura, “Femto clouds: Leveraging mobile devices to provide cloud service at the edge,” in 2015 IEEE 8th international conference on cloud computing. IEEE, 2015, pp. 9–16. </w:t>
      </w:r>
    </w:p>
    <w:p w:rsidR="00000000" w:rsidRPr="00E52A10" w:rsidRDefault="00575475" w:rsidP="00E52A10">
      <w:pPr>
        <w:pStyle w:val="BodyText"/>
        <w:numPr>
          <w:ilvl w:val="0"/>
          <w:numId w:val="42"/>
        </w:numPr>
        <w:rPr>
          <w:sz w:val="32"/>
          <w:szCs w:val="32"/>
          <w:lang w:val="en-IN"/>
        </w:rPr>
      </w:pPr>
      <w:r w:rsidRPr="00E52A10">
        <w:rPr>
          <w:sz w:val="32"/>
          <w:szCs w:val="32"/>
          <w:lang w:val="en-IN"/>
        </w:rPr>
        <w:t>[5] E. Bulut, S. Hernandez, A. Dhungana,</w:t>
      </w:r>
      <w:r w:rsidRPr="00E52A10">
        <w:rPr>
          <w:sz w:val="32"/>
          <w:szCs w:val="32"/>
          <w:lang w:val="en-IN"/>
        </w:rPr>
        <w:t xml:space="preserve"> and B. K. Szymanski, “Is crowdcharging possible?” in 2018 27th International Conference on Computer Communication and Networks (ICCCN). IEEE, 2018, pp. 1–9.</w:t>
      </w:r>
      <w:r w:rsidRPr="00E52A10">
        <w:rPr>
          <w:sz w:val="32"/>
          <w:szCs w:val="32"/>
        </w:rPr>
        <w:t xml:space="preserve"> </w:t>
      </w:r>
    </w:p>
    <w:p w:rsidR="00000000" w:rsidRPr="00E52A10" w:rsidRDefault="00575475" w:rsidP="00E52A10">
      <w:pPr>
        <w:pStyle w:val="BodyText"/>
        <w:numPr>
          <w:ilvl w:val="0"/>
          <w:numId w:val="42"/>
        </w:numPr>
        <w:rPr>
          <w:sz w:val="32"/>
          <w:szCs w:val="32"/>
          <w:lang w:val="en-IN"/>
        </w:rPr>
      </w:pPr>
      <w:r w:rsidRPr="00E52A10">
        <w:rPr>
          <w:sz w:val="32"/>
          <w:szCs w:val="32"/>
          <w:lang w:val="en-IN"/>
        </w:rPr>
        <w:lastRenderedPageBreak/>
        <w:t>[6] S. D. T. Kelly, N. K. Suryadevara, and S. C. Mukhopadhyay, “Towards the implementation of io</w:t>
      </w:r>
      <w:r w:rsidRPr="00E52A10">
        <w:rPr>
          <w:sz w:val="32"/>
          <w:szCs w:val="32"/>
          <w:lang w:val="en-IN"/>
        </w:rPr>
        <w:t xml:space="preserve">t for environmental condition monitoring in homes,” IEEE sensors journal, vol. 13, no. 10, pp. 3846–3853, 2013. </w:t>
      </w:r>
    </w:p>
    <w:p w:rsidR="00000000" w:rsidRPr="00E52A10" w:rsidRDefault="00575475" w:rsidP="00E52A10">
      <w:pPr>
        <w:pStyle w:val="BodyText"/>
        <w:numPr>
          <w:ilvl w:val="0"/>
          <w:numId w:val="42"/>
        </w:numPr>
        <w:rPr>
          <w:sz w:val="32"/>
          <w:szCs w:val="32"/>
          <w:lang w:val="en-IN"/>
        </w:rPr>
      </w:pPr>
      <w:r w:rsidRPr="00E52A10">
        <w:rPr>
          <w:sz w:val="32"/>
          <w:szCs w:val="32"/>
          <w:lang w:val="en-IN"/>
        </w:rPr>
        <w:t>[7] D. Kyriazis and T. Varvarigou, “Smart, autonomous and reliable internet of things,” Procedia Computer Science, vol. 21, pp. 442–448, 2013.</w:t>
      </w:r>
      <w:r w:rsidRPr="00E52A10">
        <w:rPr>
          <w:sz w:val="32"/>
          <w:szCs w:val="32"/>
          <w:lang w:val="en-IN"/>
        </w:rPr>
        <w:t xml:space="preserve"> </w:t>
      </w:r>
    </w:p>
    <w:p w:rsidR="00000000" w:rsidRPr="00E52A10" w:rsidRDefault="00575475" w:rsidP="00E52A10">
      <w:pPr>
        <w:pStyle w:val="BodyText"/>
        <w:numPr>
          <w:ilvl w:val="0"/>
          <w:numId w:val="42"/>
        </w:numPr>
        <w:rPr>
          <w:sz w:val="32"/>
          <w:szCs w:val="32"/>
          <w:lang w:val="en-IN"/>
        </w:rPr>
      </w:pPr>
      <w:r w:rsidRPr="00E52A10">
        <w:rPr>
          <w:sz w:val="32"/>
          <w:szCs w:val="32"/>
          <w:lang w:val="en-IN"/>
        </w:rPr>
        <w:t xml:space="preserve">[8] Y. B. Saied, A. Olivereau, D. Zeghlache, and M. Laurent, “Trust management system design for the internet of things: A contextaware and multi-service approach,” Computers &amp; Security, vol. 39, pp. 351–365, 2013. </w:t>
      </w:r>
    </w:p>
    <w:p w:rsidR="00000000" w:rsidRPr="00E52A10" w:rsidRDefault="00575475" w:rsidP="00E52A10">
      <w:pPr>
        <w:pStyle w:val="BodyText"/>
        <w:numPr>
          <w:ilvl w:val="0"/>
          <w:numId w:val="42"/>
        </w:numPr>
        <w:rPr>
          <w:sz w:val="32"/>
          <w:szCs w:val="32"/>
          <w:lang w:val="en-IN"/>
        </w:rPr>
      </w:pPr>
      <w:r w:rsidRPr="00E52A10">
        <w:rPr>
          <w:sz w:val="32"/>
          <w:szCs w:val="32"/>
          <w:lang w:val="en-IN"/>
        </w:rPr>
        <w:t>[9] D. Chen, G. Chang, D. Sun, J. Li</w:t>
      </w:r>
      <w:r w:rsidRPr="00E52A10">
        <w:rPr>
          <w:sz w:val="32"/>
          <w:szCs w:val="32"/>
          <w:lang w:val="en-IN"/>
        </w:rPr>
        <w:t xml:space="preserve">, J. Jia, and X. Wang, “Trm-iot: A trust management model based on fuzzy reputation for internet of things,” Computer Science and Information Systems, vol. 8, no. 4, pp. 1207–1228, 2011. </w:t>
      </w:r>
    </w:p>
    <w:p w:rsidR="00000000" w:rsidRPr="00E52A10" w:rsidRDefault="00575475" w:rsidP="00E52A10">
      <w:pPr>
        <w:pStyle w:val="BodyText"/>
        <w:numPr>
          <w:ilvl w:val="0"/>
          <w:numId w:val="42"/>
        </w:numPr>
        <w:rPr>
          <w:sz w:val="32"/>
          <w:szCs w:val="32"/>
          <w:lang w:val="en-IN"/>
        </w:rPr>
      </w:pPr>
      <w:r w:rsidRPr="00E52A10">
        <w:rPr>
          <w:sz w:val="32"/>
          <w:szCs w:val="32"/>
          <w:lang w:val="en-IN"/>
        </w:rPr>
        <w:t>[10] Z. Yan, P. Zhang, and A. V. Vasilakos, “A survey on trust mana</w:t>
      </w:r>
      <w:r w:rsidRPr="00E52A10">
        <w:rPr>
          <w:sz w:val="32"/>
          <w:szCs w:val="32"/>
          <w:lang w:val="en-IN"/>
        </w:rPr>
        <w:t xml:space="preserve">gement for internet of things,” Journal of network and computer applications, vol. 42, pp. 120–134,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475" w:rsidRDefault="00575475" w:rsidP="003654DF">
      <w:pPr>
        <w:spacing w:after="0" w:line="240" w:lineRule="auto"/>
      </w:pPr>
      <w:r>
        <w:separator/>
      </w:r>
    </w:p>
  </w:endnote>
  <w:endnote w:type="continuationSeparator" w:id="1">
    <w:p w:rsidR="00575475" w:rsidRDefault="0057547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475" w:rsidRDefault="00575475" w:rsidP="003654DF">
      <w:pPr>
        <w:spacing w:after="0" w:line="240" w:lineRule="auto"/>
      </w:pPr>
      <w:r>
        <w:separator/>
      </w:r>
    </w:p>
  </w:footnote>
  <w:footnote w:type="continuationSeparator" w:id="1">
    <w:p w:rsidR="00575475" w:rsidRDefault="0057547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757A9">
        <w:pPr>
          <w:pStyle w:val="Header"/>
          <w:jc w:val="right"/>
        </w:pPr>
        <w:fldSimple w:instr=" PAGE   \* MERGEFORMAT ">
          <w:r w:rsidR="00C155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B870CC"/>
    <w:multiLevelType w:val="hybridMultilevel"/>
    <w:tmpl w:val="19D69144"/>
    <w:lvl w:ilvl="0" w:tplc="805CDED2">
      <w:start w:val="1"/>
      <w:numFmt w:val="bullet"/>
      <w:lvlText w:val=""/>
      <w:lvlJc w:val="left"/>
      <w:pPr>
        <w:tabs>
          <w:tab w:val="num" w:pos="720"/>
        </w:tabs>
        <w:ind w:left="720" w:hanging="360"/>
      </w:pPr>
      <w:rPr>
        <w:rFonts w:ascii="Wingdings 2" w:hAnsi="Wingdings 2" w:hint="default"/>
      </w:rPr>
    </w:lvl>
    <w:lvl w:ilvl="1" w:tplc="989AB2F4" w:tentative="1">
      <w:start w:val="1"/>
      <w:numFmt w:val="bullet"/>
      <w:lvlText w:val=""/>
      <w:lvlJc w:val="left"/>
      <w:pPr>
        <w:tabs>
          <w:tab w:val="num" w:pos="1440"/>
        </w:tabs>
        <w:ind w:left="1440" w:hanging="360"/>
      </w:pPr>
      <w:rPr>
        <w:rFonts w:ascii="Wingdings 2" w:hAnsi="Wingdings 2" w:hint="default"/>
      </w:rPr>
    </w:lvl>
    <w:lvl w:ilvl="2" w:tplc="A82A06D2" w:tentative="1">
      <w:start w:val="1"/>
      <w:numFmt w:val="bullet"/>
      <w:lvlText w:val=""/>
      <w:lvlJc w:val="left"/>
      <w:pPr>
        <w:tabs>
          <w:tab w:val="num" w:pos="2160"/>
        </w:tabs>
        <w:ind w:left="2160" w:hanging="360"/>
      </w:pPr>
      <w:rPr>
        <w:rFonts w:ascii="Wingdings 2" w:hAnsi="Wingdings 2" w:hint="default"/>
      </w:rPr>
    </w:lvl>
    <w:lvl w:ilvl="3" w:tplc="EC18EAC4" w:tentative="1">
      <w:start w:val="1"/>
      <w:numFmt w:val="bullet"/>
      <w:lvlText w:val=""/>
      <w:lvlJc w:val="left"/>
      <w:pPr>
        <w:tabs>
          <w:tab w:val="num" w:pos="2880"/>
        </w:tabs>
        <w:ind w:left="2880" w:hanging="360"/>
      </w:pPr>
      <w:rPr>
        <w:rFonts w:ascii="Wingdings 2" w:hAnsi="Wingdings 2" w:hint="default"/>
      </w:rPr>
    </w:lvl>
    <w:lvl w:ilvl="4" w:tplc="106EA3CE" w:tentative="1">
      <w:start w:val="1"/>
      <w:numFmt w:val="bullet"/>
      <w:lvlText w:val=""/>
      <w:lvlJc w:val="left"/>
      <w:pPr>
        <w:tabs>
          <w:tab w:val="num" w:pos="3600"/>
        </w:tabs>
        <w:ind w:left="3600" w:hanging="360"/>
      </w:pPr>
      <w:rPr>
        <w:rFonts w:ascii="Wingdings 2" w:hAnsi="Wingdings 2" w:hint="default"/>
      </w:rPr>
    </w:lvl>
    <w:lvl w:ilvl="5" w:tplc="9A645FD2" w:tentative="1">
      <w:start w:val="1"/>
      <w:numFmt w:val="bullet"/>
      <w:lvlText w:val=""/>
      <w:lvlJc w:val="left"/>
      <w:pPr>
        <w:tabs>
          <w:tab w:val="num" w:pos="4320"/>
        </w:tabs>
        <w:ind w:left="4320" w:hanging="360"/>
      </w:pPr>
      <w:rPr>
        <w:rFonts w:ascii="Wingdings 2" w:hAnsi="Wingdings 2" w:hint="default"/>
      </w:rPr>
    </w:lvl>
    <w:lvl w:ilvl="6" w:tplc="7ACA292E" w:tentative="1">
      <w:start w:val="1"/>
      <w:numFmt w:val="bullet"/>
      <w:lvlText w:val=""/>
      <w:lvlJc w:val="left"/>
      <w:pPr>
        <w:tabs>
          <w:tab w:val="num" w:pos="5040"/>
        </w:tabs>
        <w:ind w:left="5040" w:hanging="360"/>
      </w:pPr>
      <w:rPr>
        <w:rFonts w:ascii="Wingdings 2" w:hAnsi="Wingdings 2" w:hint="default"/>
      </w:rPr>
    </w:lvl>
    <w:lvl w:ilvl="7" w:tplc="3572AB24" w:tentative="1">
      <w:start w:val="1"/>
      <w:numFmt w:val="bullet"/>
      <w:lvlText w:val=""/>
      <w:lvlJc w:val="left"/>
      <w:pPr>
        <w:tabs>
          <w:tab w:val="num" w:pos="5760"/>
        </w:tabs>
        <w:ind w:left="5760" w:hanging="360"/>
      </w:pPr>
      <w:rPr>
        <w:rFonts w:ascii="Wingdings 2" w:hAnsi="Wingdings 2" w:hint="default"/>
      </w:rPr>
    </w:lvl>
    <w:lvl w:ilvl="8" w:tplc="343C4ECA"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EA0208"/>
    <w:multiLevelType w:val="hybridMultilevel"/>
    <w:tmpl w:val="2EBC7074"/>
    <w:lvl w:ilvl="0" w:tplc="7E5C1578">
      <w:start w:val="1"/>
      <w:numFmt w:val="bullet"/>
      <w:lvlText w:val=""/>
      <w:lvlJc w:val="left"/>
      <w:pPr>
        <w:tabs>
          <w:tab w:val="num" w:pos="720"/>
        </w:tabs>
        <w:ind w:left="720" w:hanging="360"/>
      </w:pPr>
      <w:rPr>
        <w:rFonts w:ascii="Wingdings 2" w:hAnsi="Wingdings 2" w:hint="default"/>
      </w:rPr>
    </w:lvl>
    <w:lvl w:ilvl="1" w:tplc="ED265020" w:tentative="1">
      <w:start w:val="1"/>
      <w:numFmt w:val="bullet"/>
      <w:lvlText w:val=""/>
      <w:lvlJc w:val="left"/>
      <w:pPr>
        <w:tabs>
          <w:tab w:val="num" w:pos="1440"/>
        </w:tabs>
        <w:ind w:left="1440" w:hanging="360"/>
      </w:pPr>
      <w:rPr>
        <w:rFonts w:ascii="Wingdings 2" w:hAnsi="Wingdings 2" w:hint="default"/>
      </w:rPr>
    </w:lvl>
    <w:lvl w:ilvl="2" w:tplc="53C04250" w:tentative="1">
      <w:start w:val="1"/>
      <w:numFmt w:val="bullet"/>
      <w:lvlText w:val=""/>
      <w:lvlJc w:val="left"/>
      <w:pPr>
        <w:tabs>
          <w:tab w:val="num" w:pos="2160"/>
        </w:tabs>
        <w:ind w:left="2160" w:hanging="360"/>
      </w:pPr>
      <w:rPr>
        <w:rFonts w:ascii="Wingdings 2" w:hAnsi="Wingdings 2" w:hint="default"/>
      </w:rPr>
    </w:lvl>
    <w:lvl w:ilvl="3" w:tplc="54F48504" w:tentative="1">
      <w:start w:val="1"/>
      <w:numFmt w:val="bullet"/>
      <w:lvlText w:val=""/>
      <w:lvlJc w:val="left"/>
      <w:pPr>
        <w:tabs>
          <w:tab w:val="num" w:pos="2880"/>
        </w:tabs>
        <w:ind w:left="2880" w:hanging="360"/>
      </w:pPr>
      <w:rPr>
        <w:rFonts w:ascii="Wingdings 2" w:hAnsi="Wingdings 2" w:hint="default"/>
      </w:rPr>
    </w:lvl>
    <w:lvl w:ilvl="4" w:tplc="4B58E472" w:tentative="1">
      <w:start w:val="1"/>
      <w:numFmt w:val="bullet"/>
      <w:lvlText w:val=""/>
      <w:lvlJc w:val="left"/>
      <w:pPr>
        <w:tabs>
          <w:tab w:val="num" w:pos="3600"/>
        </w:tabs>
        <w:ind w:left="3600" w:hanging="360"/>
      </w:pPr>
      <w:rPr>
        <w:rFonts w:ascii="Wingdings 2" w:hAnsi="Wingdings 2" w:hint="default"/>
      </w:rPr>
    </w:lvl>
    <w:lvl w:ilvl="5" w:tplc="8BBE7D14" w:tentative="1">
      <w:start w:val="1"/>
      <w:numFmt w:val="bullet"/>
      <w:lvlText w:val=""/>
      <w:lvlJc w:val="left"/>
      <w:pPr>
        <w:tabs>
          <w:tab w:val="num" w:pos="4320"/>
        </w:tabs>
        <w:ind w:left="4320" w:hanging="360"/>
      </w:pPr>
      <w:rPr>
        <w:rFonts w:ascii="Wingdings 2" w:hAnsi="Wingdings 2" w:hint="default"/>
      </w:rPr>
    </w:lvl>
    <w:lvl w:ilvl="6" w:tplc="E168D174" w:tentative="1">
      <w:start w:val="1"/>
      <w:numFmt w:val="bullet"/>
      <w:lvlText w:val=""/>
      <w:lvlJc w:val="left"/>
      <w:pPr>
        <w:tabs>
          <w:tab w:val="num" w:pos="5040"/>
        </w:tabs>
        <w:ind w:left="5040" w:hanging="360"/>
      </w:pPr>
      <w:rPr>
        <w:rFonts w:ascii="Wingdings 2" w:hAnsi="Wingdings 2" w:hint="default"/>
      </w:rPr>
    </w:lvl>
    <w:lvl w:ilvl="7" w:tplc="FF2CEBCE" w:tentative="1">
      <w:start w:val="1"/>
      <w:numFmt w:val="bullet"/>
      <w:lvlText w:val=""/>
      <w:lvlJc w:val="left"/>
      <w:pPr>
        <w:tabs>
          <w:tab w:val="num" w:pos="5760"/>
        </w:tabs>
        <w:ind w:left="5760" w:hanging="360"/>
      </w:pPr>
      <w:rPr>
        <w:rFonts w:ascii="Wingdings 2" w:hAnsi="Wingdings 2" w:hint="default"/>
      </w:rPr>
    </w:lvl>
    <w:lvl w:ilvl="8" w:tplc="D3503308"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2807D9"/>
    <w:multiLevelType w:val="hybridMultilevel"/>
    <w:tmpl w:val="66E60F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FD79CA"/>
    <w:multiLevelType w:val="hybridMultilevel"/>
    <w:tmpl w:val="32402934"/>
    <w:lvl w:ilvl="0" w:tplc="39E2FB06">
      <w:start w:val="1"/>
      <w:numFmt w:val="bullet"/>
      <w:lvlText w:val=""/>
      <w:lvlJc w:val="left"/>
      <w:pPr>
        <w:tabs>
          <w:tab w:val="num" w:pos="720"/>
        </w:tabs>
        <w:ind w:left="720" w:hanging="360"/>
      </w:pPr>
      <w:rPr>
        <w:rFonts w:ascii="Wingdings 2" w:hAnsi="Wingdings 2" w:hint="default"/>
      </w:rPr>
    </w:lvl>
    <w:lvl w:ilvl="1" w:tplc="DB746FEC" w:tentative="1">
      <w:start w:val="1"/>
      <w:numFmt w:val="bullet"/>
      <w:lvlText w:val=""/>
      <w:lvlJc w:val="left"/>
      <w:pPr>
        <w:tabs>
          <w:tab w:val="num" w:pos="1440"/>
        </w:tabs>
        <w:ind w:left="1440" w:hanging="360"/>
      </w:pPr>
      <w:rPr>
        <w:rFonts w:ascii="Wingdings 2" w:hAnsi="Wingdings 2" w:hint="default"/>
      </w:rPr>
    </w:lvl>
    <w:lvl w:ilvl="2" w:tplc="4D46C93E" w:tentative="1">
      <w:start w:val="1"/>
      <w:numFmt w:val="bullet"/>
      <w:lvlText w:val=""/>
      <w:lvlJc w:val="left"/>
      <w:pPr>
        <w:tabs>
          <w:tab w:val="num" w:pos="2160"/>
        </w:tabs>
        <w:ind w:left="2160" w:hanging="360"/>
      </w:pPr>
      <w:rPr>
        <w:rFonts w:ascii="Wingdings 2" w:hAnsi="Wingdings 2" w:hint="default"/>
      </w:rPr>
    </w:lvl>
    <w:lvl w:ilvl="3" w:tplc="E2EE75C6" w:tentative="1">
      <w:start w:val="1"/>
      <w:numFmt w:val="bullet"/>
      <w:lvlText w:val=""/>
      <w:lvlJc w:val="left"/>
      <w:pPr>
        <w:tabs>
          <w:tab w:val="num" w:pos="2880"/>
        </w:tabs>
        <w:ind w:left="2880" w:hanging="360"/>
      </w:pPr>
      <w:rPr>
        <w:rFonts w:ascii="Wingdings 2" w:hAnsi="Wingdings 2" w:hint="default"/>
      </w:rPr>
    </w:lvl>
    <w:lvl w:ilvl="4" w:tplc="8B9EA7BE" w:tentative="1">
      <w:start w:val="1"/>
      <w:numFmt w:val="bullet"/>
      <w:lvlText w:val=""/>
      <w:lvlJc w:val="left"/>
      <w:pPr>
        <w:tabs>
          <w:tab w:val="num" w:pos="3600"/>
        </w:tabs>
        <w:ind w:left="3600" w:hanging="360"/>
      </w:pPr>
      <w:rPr>
        <w:rFonts w:ascii="Wingdings 2" w:hAnsi="Wingdings 2" w:hint="default"/>
      </w:rPr>
    </w:lvl>
    <w:lvl w:ilvl="5" w:tplc="CDEC6404" w:tentative="1">
      <w:start w:val="1"/>
      <w:numFmt w:val="bullet"/>
      <w:lvlText w:val=""/>
      <w:lvlJc w:val="left"/>
      <w:pPr>
        <w:tabs>
          <w:tab w:val="num" w:pos="4320"/>
        </w:tabs>
        <w:ind w:left="4320" w:hanging="360"/>
      </w:pPr>
      <w:rPr>
        <w:rFonts w:ascii="Wingdings 2" w:hAnsi="Wingdings 2" w:hint="default"/>
      </w:rPr>
    </w:lvl>
    <w:lvl w:ilvl="6" w:tplc="5930DB30" w:tentative="1">
      <w:start w:val="1"/>
      <w:numFmt w:val="bullet"/>
      <w:lvlText w:val=""/>
      <w:lvlJc w:val="left"/>
      <w:pPr>
        <w:tabs>
          <w:tab w:val="num" w:pos="5040"/>
        </w:tabs>
        <w:ind w:left="5040" w:hanging="360"/>
      </w:pPr>
      <w:rPr>
        <w:rFonts w:ascii="Wingdings 2" w:hAnsi="Wingdings 2" w:hint="default"/>
      </w:rPr>
    </w:lvl>
    <w:lvl w:ilvl="7" w:tplc="66F67818" w:tentative="1">
      <w:start w:val="1"/>
      <w:numFmt w:val="bullet"/>
      <w:lvlText w:val=""/>
      <w:lvlJc w:val="left"/>
      <w:pPr>
        <w:tabs>
          <w:tab w:val="num" w:pos="5760"/>
        </w:tabs>
        <w:ind w:left="5760" w:hanging="360"/>
      </w:pPr>
      <w:rPr>
        <w:rFonts w:ascii="Wingdings 2" w:hAnsi="Wingdings 2" w:hint="default"/>
      </w:rPr>
    </w:lvl>
    <w:lvl w:ilvl="8" w:tplc="A7667C8C"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9F2F54"/>
    <w:multiLevelType w:val="hybridMultilevel"/>
    <w:tmpl w:val="E064EEC0"/>
    <w:lvl w:ilvl="0" w:tplc="C9A2EF60">
      <w:start w:val="1"/>
      <w:numFmt w:val="bullet"/>
      <w:lvlText w:val=""/>
      <w:lvlJc w:val="left"/>
      <w:pPr>
        <w:tabs>
          <w:tab w:val="num" w:pos="720"/>
        </w:tabs>
        <w:ind w:left="720" w:hanging="360"/>
      </w:pPr>
      <w:rPr>
        <w:rFonts w:ascii="Wingdings 2" w:hAnsi="Wingdings 2" w:hint="default"/>
      </w:rPr>
    </w:lvl>
    <w:lvl w:ilvl="1" w:tplc="FB4AF69C" w:tentative="1">
      <w:start w:val="1"/>
      <w:numFmt w:val="bullet"/>
      <w:lvlText w:val=""/>
      <w:lvlJc w:val="left"/>
      <w:pPr>
        <w:tabs>
          <w:tab w:val="num" w:pos="1440"/>
        </w:tabs>
        <w:ind w:left="1440" w:hanging="360"/>
      </w:pPr>
      <w:rPr>
        <w:rFonts w:ascii="Wingdings 2" w:hAnsi="Wingdings 2" w:hint="default"/>
      </w:rPr>
    </w:lvl>
    <w:lvl w:ilvl="2" w:tplc="5A2CD534" w:tentative="1">
      <w:start w:val="1"/>
      <w:numFmt w:val="bullet"/>
      <w:lvlText w:val=""/>
      <w:lvlJc w:val="left"/>
      <w:pPr>
        <w:tabs>
          <w:tab w:val="num" w:pos="2160"/>
        </w:tabs>
        <w:ind w:left="2160" w:hanging="360"/>
      </w:pPr>
      <w:rPr>
        <w:rFonts w:ascii="Wingdings 2" w:hAnsi="Wingdings 2" w:hint="default"/>
      </w:rPr>
    </w:lvl>
    <w:lvl w:ilvl="3" w:tplc="D5745CB4" w:tentative="1">
      <w:start w:val="1"/>
      <w:numFmt w:val="bullet"/>
      <w:lvlText w:val=""/>
      <w:lvlJc w:val="left"/>
      <w:pPr>
        <w:tabs>
          <w:tab w:val="num" w:pos="2880"/>
        </w:tabs>
        <w:ind w:left="2880" w:hanging="360"/>
      </w:pPr>
      <w:rPr>
        <w:rFonts w:ascii="Wingdings 2" w:hAnsi="Wingdings 2" w:hint="default"/>
      </w:rPr>
    </w:lvl>
    <w:lvl w:ilvl="4" w:tplc="C30C18E0" w:tentative="1">
      <w:start w:val="1"/>
      <w:numFmt w:val="bullet"/>
      <w:lvlText w:val=""/>
      <w:lvlJc w:val="left"/>
      <w:pPr>
        <w:tabs>
          <w:tab w:val="num" w:pos="3600"/>
        </w:tabs>
        <w:ind w:left="3600" w:hanging="360"/>
      </w:pPr>
      <w:rPr>
        <w:rFonts w:ascii="Wingdings 2" w:hAnsi="Wingdings 2" w:hint="default"/>
      </w:rPr>
    </w:lvl>
    <w:lvl w:ilvl="5" w:tplc="C072918E" w:tentative="1">
      <w:start w:val="1"/>
      <w:numFmt w:val="bullet"/>
      <w:lvlText w:val=""/>
      <w:lvlJc w:val="left"/>
      <w:pPr>
        <w:tabs>
          <w:tab w:val="num" w:pos="4320"/>
        </w:tabs>
        <w:ind w:left="4320" w:hanging="360"/>
      </w:pPr>
      <w:rPr>
        <w:rFonts w:ascii="Wingdings 2" w:hAnsi="Wingdings 2" w:hint="default"/>
      </w:rPr>
    </w:lvl>
    <w:lvl w:ilvl="6" w:tplc="91E8D86A" w:tentative="1">
      <w:start w:val="1"/>
      <w:numFmt w:val="bullet"/>
      <w:lvlText w:val=""/>
      <w:lvlJc w:val="left"/>
      <w:pPr>
        <w:tabs>
          <w:tab w:val="num" w:pos="5040"/>
        </w:tabs>
        <w:ind w:left="5040" w:hanging="360"/>
      </w:pPr>
      <w:rPr>
        <w:rFonts w:ascii="Wingdings 2" w:hAnsi="Wingdings 2" w:hint="default"/>
      </w:rPr>
    </w:lvl>
    <w:lvl w:ilvl="7" w:tplc="0658C374" w:tentative="1">
      <w:start w:val="1"/>
      <w:numFmt w:val="bullet"/>
      <w:lvlText w:val=""/>
      <w:lvlJc w:val="left"/>
      <w:pPr>
        <w:tabs>
          <w:tab w:val="num" w:pos="5760"/>
        </w:tabs>
        <w:ind w:left="5760" w:hanging="360"/>
      </w:pPr>
      <w:rPr>
        <w:rFonts w:ascii="Wingdings 2" w:hAnsi="Wingdings 2" w:hint="default"/>
      </w:rPr>
    </w:lvl>
    <w:lvl w:ilvl="8" w:tplc="DC682A9C" w:tentative="1">
      <w:start w:val="1"/>
      <w:numFmt w:val="bullet"/>
      <w:lvlText w:val=""/>
      <w:lvlJc w:val="left"/>
      <w:pPr>
        <w:tabs>
          <w:tab w:val="num" w:pos="6480"/>
        </w:tabs>
        <w:ind w:left="6480" w:hanging="360"/>
      </w:pPr>
      <w:rPr>
        <w:rFonts w:ascii="Wingdings 2" w:hAnsi="Wingdings 2" w:hint="default"/>
      </w:rPr>
    </w:lvl>
  </w:abstractNum>
  <w:abstractNum w:abstractNumId="41">
    <w:nsid w:val="678A748A"/>
    <w:multiLevelType w:val="hybridMultilevel"/>
    <w:tmpl w:val="5AA2782E"/>
    <w:lvl w:ilvl="0" w:tplc="0EE0F38C">
      <w:start w:val="1"/>
      <w:numFmt w:val="bullet"/>
      <w:lvlText w:val=""/>
      <w:lvlJc w:val="left"/>
      <w:pPr>
        <w:tabs>
          <w:tab w:val="num" w:pos="720"/>
        </w:tabs>
        <w:ind w:left="720" w:hanging="360"/>
      </w:pPr>
      <w:rPr>
        <w:rFonts w:ascii="Wingdings 2" w:hAnsi="Wingdings 2" w:hint="default"/>
      </w:rPr>
    </w:lvl>
    <w:lvl w:ilvl="1" w:tplc="CD4EACA0" w:tentative="1">
      <w:start w:val="1"/>
      <w:numFmt w:val="bullet"/>
      <w:lvlText w:val=""/>
      <w:lvlJc w:val="left"/>
      <w:pPr>
        <w:tabs>
          <w:tab w:val="num" w:pos="1440"/>
        </w:tabs>
        <w:ind w:left="1440" w:hanging="360"/>
      </w:pPr>
      <w:rPr>
        <w:rFonts w:ascii="Wingdings 2" w:hAnsi="Wingdings 2" w:hint="default"/>
      </w:rPr>
    </w:lvl>
    <w:lvl w:ilvl="2" w:tplc="F74CA85A" w:tentative="1">
      <w:start w:val="1"/>
      <w:numFmt w:val="bullet"/>
      <w:lvlText w:val=""/>
      <w:lvlJc w:val="left"/>
      <w:pPr>
        <w:tabs>
          <w:tab w:val="num" w:pos="2160"/>
        </w:tabs>
        <w:ind w:left="2160" w:hanging="360"/>
      </w:pPr>
      <w:rPr>
        <w:rFonts w:ascii="Wingdings 2" w:hAnsi="Wingdings 2" w:hint="default"/>
      </w:rPr>
    </w:lvl>
    <w:lvl w:ilvl="3" w:tplc="1C042EFA" w:tentative="1">
      <w:start w:val="1"/>
      <w:numFmt w:val="bullet"/>
      <w:lvlText w:val=""/>
      <w:lvlJc w:val="left"/>
      <w:pPr>
        <w:tabs>
          <w:tab w:val="num" w:pos="2880"/>
        </w:tabs>
        <w:ind w:left="2880" w:hanging="360"/>
      </w:pPr>
      <w:rPr>
        <w:rFonts w:ascii="Wingdings 2" w:hAnsi="Wingdings 2" w:hint="default"/>
      </w:rPr>
    </w:lvl>
    <w:lvl w:ilvl="4" w:tplc="832A791E" w:tentative="1">
      <w:start w:val="1"/>
      <w:numFmt w:val="bullet"/>
      <w:lvlText w:val=""/>
      <w:lvlJc w:val="left"/>
      <w:pPr>
        <w:tabs>
          <w:tab w:val="num" w:pos="3600"/>
        </w:tabs>
        <w:ind w:left="3600" w:hanging="360"/>
      </w:pPr>
      <w:rPr>
        <w:rFonts w:ascii="Wingdings 2" w:hAnsi="Wingdings 2" w:hint="default"/>
      </w:rPr>
    </w:lvl>
    <w:lvl w:ilvl="5" w:tplc="0A2A531E" w:tentative="1">
      <w:start w:val="1"/>
      <w:numFmt w:val="bullet"/>
      <w:lvlText w:val=""/>
      <w:lvlJc w:val="left"/>
      <w:pPr>
        <w:tabs>
          <w:tab w:val="num" w:pos="4320"/>
        </w:tabs>
        <w:ind w:left="4320" w:hanging="360"/>
      </w:pPr>
      <w:rPr>
        <w:rFonts w:ascii="Wingdings 2" w:hAnsi="Wingdings 2" w:hint="default"/>
      </w:rPr>
    </w:lvl>
    <w:lvl w:ilvl="6" w:tplc="29A60D2E" w:tentative="1">
      <w:start w:val="1"/>
      <w:numFmt w:val="bullet"/>
      <w:lvlText w:val=""/>
      <w:lvlJc w:val="left"/>
      <w:pPr>
        <w:tabs>
          <w:tab w:val="num" w:pos="5040"/>
        </w:tabs>
        <w:ind w:left="5040" w:hanging="360"/>
      </w:pPr>
      <w:rPr>
        <w:rFonts w:ascii="Wingdings 2" w:hAnsi="Wingdings 2" w:hint="default"/>
      </w:rPr>
    </w:lvl>
    <w:lvl w:ilvl="7" w:tplc="240646D8" w:tentative="1">
      <w:start w:val="1"/>
      <w:numFmt w:val="bullet"/>
      <w:lvlText w:val=""/>
      <w:lvlJc w:val="left"/>
      <w:pPr>
        <w:tabs>
          <w:tab w:val="num" w:pos="5760"/>
        </w:tabs>
        <w:ind w:left="5760" w:hanging="360"/>
      </w:pPr>
      <w:rPr>
        <w:rFonts w:ascii="Wingdings 2" w:hAnsi="Wingdings 2" w:hint="default"/>
      </w:rPr>
    </w:lvl>
    <w:lvl w:ilvl="8" w:tplc="2DA216C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2"/>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1"/>
  </w:num>
  <w:num w:numId="29">
    <w:abstractNumId w:val="31"/>
  </w:num>
  <w:num w:numId="30">
    <w:abstractNumId w:val="38"/>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40"/>
  </w:num>
  <w:num w:numId="43">
    <w:abstractNumId w:val="16"/>
  </w:num>
  <w:num w:numId="44">
    <w:abstractNumId w:val="6"/>
  </w:num>
  <w:num w:numId="45">
    <w:abstractNumId w:val="35"/>
  </w:num>
  <w:num w:numId="46">
    <w:abstractNumId w:val="30"/>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20A4"/>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475"/>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7A9"/>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39"/>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245"/>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5B8"/>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9EA"/>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A10"/>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584609">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475986">
      <w:bodyDiv w:val="1"/>
      <w:marLeft w:val="0"/>
      <w:marRight w:val="0"/>
      <w:marTop w:val="0"/>
      <w:marBottom w:val="0"/>
      <w:divBdr>
        <w:top w:val="none" w:sz="0" w:space="0" w:color="auto"/>
        <w:left w:val="none" w:sz="0" w:space="0" w:color="auto"/>
        <w:bottom w:val="none" w:sz="0" w:space="0" w:color="auto"/>
        <w:right w:val="none" w:sz="0" w:space="0" w:color="auto"/>
      </w:divBdr>
      <w:divsChild>
        <w:div w:id="731654178">
          <w:marLeft w:val="576"/>
          <w:marRight w:val="0"/>
          <w:marTop w:val="120"/>
          <w:marBottom w:val="0"/>
          <w:divBdr>
            <w:top w:val="none" w:sz="0" w:space="0" w:color="auto"/>
            <w:left w:val="none" w:sz="0" w:space="0" w:color="auto"/>
            <w:bottom w:val="none" w:sz="0" w:space="0" w:color="auto"/>
            <w:right w:val="none" w:sz="0" w:space="0" w:color="auto"/>
          </w:divBdr>
        </w:div>
        <w:div w:id="1127621467">
          <w:marLeft w:val="576"/>
          <w:marRight w:val="0"/>
          <w:marTop w:val="120"/>
          <w:marBottom w:val="0"/>
          <w:divBdr>
            <w:top w:val="none" w:sz="0" w:space="0" w:color="auto"/>
            <w:left w:val="none" w:sz="0" w:space="0" w:color="auto"/>
            <w:bottom w:val="none" w:sz="0" w:space="0" w:color="auto"/>
            <w:right w:val="none" w:sz="0" w:space="0" w:color="auto"/>
          </w:divBdr>
        </w:div>
        <w:div w:id="1686403265">
          <w:marLeft w:val="576"/>
          <w:marRight w:val="0"/>
          <w:marTop w:val="120"/>
          <w:marBottom w:val="0"/>
          <w:divBdr>
            <w:top w:val="none" w:sz="0" w:space="0" w:color="auto"/>
            <w:left w:val="none" w:sz="0" w:space="0" w:color="auto"/>
            <w:bottom w:val="none" w:sz="0" w:space="0" w:color="auto"/>
            <w:right w:val="none" w:sz="0" w:space="0" w:color="auto"/>
          </w:divBdr>
        </w:div>
        <w:div w:id="104270403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9959098">
      <w:bodyDiv w:val="1"/>
      <w:marLeft w:val="0"/>
      <w:marRight w:val="0"/>
      <w:marTop w:val="0"/>
      <w:marBottom w:val="0"/>
      <w:divBdr>
        <w:top w:val="none" w:sz="0" w:space="0" w:color="auto"/>
        <w:left w:val="none" w:sz="0" w:space="0" w:color="auto"/>
        <w:bottom w:val="none" w:sz="0" w:space="0" w:color="auto"/>
        <w:right w:val="none" w:sz="0" w:space="0" w:color="auto"/>
      </w:divBdr>
      <w:divsChild>
        <w:div w:id="2097166375">
          <w:marLeft w:val="576"/>
          <w:marRight w:val="0"/>
          <w:marTop w:val="120"/>
          <w:marBottom w:val="0"/>
          <w:divBdr>
            <w:top w:val="none" w:sz="0" w:space="0" w:color="auto"/>
            <w:left w:val="none" w:sz="0" w:space="0" w:color="auto"/>
            <w:bottom w:val="none" w:sz="0" w:space="0" w:color="auto"/>
            <w:right w:val="none" w:sz="0" w:space="0" w:color="auto"/>
          </w:divBdr>
        </w:div>
        <w:div w:id="1507818689">
          <w:marLeft w:val="576"/>
          <w:marRight w:val="0"/>
          <w:marTop w:val="120"/>
          <w:marBottom w:val="0"/>
          <w:divBdr>
            <w:top w:val="none" w:sz="0" w:space="0" w:color="auto"/>
            <w:left w:val="none" w:sz="0" w:space="0" w:color="auto"/>
            <w:bottom w:val="none" w:sz="0" w:space="0" w:color="auto"/>
            <w:right w:val="none" w:sz="0" w:space="0" w:color="auto"/>
          </w:divBdr>
        </w:div>
        <w:div w:id="732435508">
          <w:marLeft w:val="576"/>
          <w:marRight w:val="0"/>
          <w:marTop w:val="120"/>
          <w:marBottom w:val="0"/>
          <w:divBdr>
            <w:top w:val="none" w:sz="0" w:space="0" w:color="auto"/>
            <w:left w:val="none" w:sz="0" w:space="0" w:color="auto"/>
            <w:bottom w:val="none" w:sz="0" w:space="0" w:color="auto"/>
            <w:right w:val="none" w:sz="0" w:space="0" w:color="auto"/>
          </w:divBdr>
        </w:div>
        <w:div w:id="76318359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0568016">
      <w:bodyDiv w:val="1"/>
      <w:marLeft w:val="0"/>
      <w:marRight w:val="0"/>
      <w:marTop w:val="0"/>
      <w:marBottom w:val="0"/>
      <w:divBdr>
        <w:top w:val="none" w:sz="0" w:space="0" w:color="auto"/>
        <w:left w:val="none" w:sz="0" w:space="0" w:color="auto"/>
        <w:bottom w:val="none" w:sz="0" w:space="0" w:color="auto"/>
        <w:right w:val="none" w:sz="0" w:space="0" w:color="auto"/>
      </w:divBdr>
      <w:divsChild>
        <w:div w:id="259338294">
          <w:marLeft w:val="576"/>
          <w:marRight w:val="0"/>
          <w:marTop w:val="120"/>
          <w:marBottom w:val="0"/>
          <w:divBdr>
            <w:top w:val="none" w:sz="0" w:space="0" w:color="auto"/>
            <w:left w:val="none" w:sz="0" w:space="0" w:color="auto"/>
            <w:bottom w:val="none" w:sz="0" w:space="0" w:color="auto"/>
            <w:right w:val="none" w:sz="0" w:space="0" w:color="auto"/>
          </w:divBdr>
        </w:div>
        <w:div w:id="242227415">
          <w:marLeft w:val="576"/>
          <w:marRight w:val="0"/>
          <w:marTop w:val="120"/>
          <w:marBottom w:val="0"/>
          <w:divBdr>
            <w:top w:val="none" w:sz="0" w:space="0" w:color="auto"/>
            <w:left w:val="none" w:sz="0" w:space="0" w:color="auto"/>
            <w:bottom w:val="none" w:sz="0" w:space="0" w:color="auto"/>
            <w:right w:val="none" w:sz="0" w:space="0" w:color="auto"/>
          </w:divBdr>
        </w:div>
        <w:div w:id="118499955">
          <w:marLeft w:val="576"/>
          <w:marRight w:val="0"/>
          <w:marTop w:val="120"/>
          <w:marBottom w:val="0"/>
          <w:divBdr>
            <w:top w:val="none" w:sz="0" w:space="0" w:color="auto"/>
            <w:left w:val="none" w:sz="0" w:space="0" w:color="auto"/>
            <w:bottom w:val="none" w:sz="0" w:space="0" w:color="auto"/>
            <w:right w:val="none" w:sz="0" w:space="0" w:color="auto"/>
          </w:divBdr>
        </w:div>
        <w:div w:id="146173041">
          <w:marLeft w:val="576"/>
          <w:marRight w:val="0"/>
          <w:marTop w:val="120"/>
          <w:marBottom w:val="0"/>
          <w:divBdr>
            <w:top w:val="none" w:sz="0" w:space="0" w:color="auto"/>
            <w:left w:val="none" w:sz="0" w:space="0" w:color="auto"/>
            <w:bottom w:val="none" w:sz="0" w:space="0" w:color="auto"/>
            <w:right w:val="none" w:sz="0" w:space="0" w:color="auto"/>
          </w:divBdr>
        </w:div>
        <w:div w:id="1647471672">
          <w:marLeft w:val="576"/>
          <w:marRight w:val="0"/>
          <w:marTop w:val="120"/>
          <w:marBottom w:val="0"/>
          <w:divBdr>
            <w:top w:val="none" w:sz="0" w:space="0" w:color="auto"/>
            <w:left w:val="none" w:sz="0" w:space="0" w:color="auto"/>
            <w:bottom w:val="none" w:sz="0" w:space="0" w:color="auto"/>
            <w:right w:val="none" w:sz="0" w:space="0" w:color="auto"/>
          </w:divBdr>
        </w:div>
      </w:divsChild>
    </w:div>
    <w:div w:id="1505899843">
      <w:bodyDiv w:val="1"/>
      <w:marLeft w:val="0"/>
      <w:marRight w:val="0"/>
      <w:marTop w:val="0"/>
      <w:marBottom w:val="0"/>
      <w:divBdr>
        <w:top w:val="none" w:sz="0" w:space="0" w:color="auto"/>
        <w:left w:val="none" w:sz="0" w:space="0" w:color="auto"/>
        <w:bottom w:val="none" w:sz="0" w:space="0" w:color="auto"/>
        <w:right w:val="none" w:sz="0" w:space="0" w:color="auto"/>
      </w:divBdr>
      <w:divsChild>
        <w:div w:id="614404735">
          <w:marLeft w:val="576"/>
          <w:marRight w:val="0"/>
          <w:marTop w:val="120"/>
          <w:marBottom w:val="0"/>
          <w:divBdr>
            <w:top w:val="none" w:sz="0" w:space="0" w:color="auto"/>
            <w:left w:val="none" w:sz="0" w:space="0" w:color="auto"/>
            <w:bottom w:val="none" w:sz="0" w:space="0" w:color="auto"/>
            <w:right w:val="none" w:sz="0" w:space="0" w:color="auto"/>
          </w:divBdr>
        </w:div>
        <w:div w:id="252132133">
          <w:marLeft w:val="576"/>
          <w:marRight w:val="0"/>
          <w:marTop w:val="120"/>
          <w:marBottom w:val="0"/>
          <w:divBdr>
            <w:top w:val="none" w:sz="0" w:space="0" w:color="auto"/>
            <w:left w:val="none" w:sz="0" w:space="0" w:color="auto"/>
            <w:bottom w:val="none" w:sz="0" w:space="0" w:color="auto"/>
            <w:right w:val="none" w:sz="0" w:space="0" w:color="auto"/>
          </w:divBdr>
        </w:div>
        <w:div w:id="317612811">
          <w:marLeft w:val="576"/>
          <w:marRight w:val="0"/>
          <w:marTop w:val="120"/>
          <w:marBottom w:val="0"/>
          <w:divBdr>
            <w:top w:val="none" w:sz="0" w:space="0" w:color="auto"/>
            <w:left w:val="none" w:sz="0" w:space="0" w:color="auto"/>
            <w:bottom w:val="none" w:sz="0" w:space="0" w:color="auto"/>
            <w:right w:val="none" w:sz="0" w:space="0" w:color="auto"/>
          </w:divBdr>
        </w:div>
        <w:div w:id="1012412826">
          <w:marLeft w:val="576"/>
          <w:marRight w:val="0"/>
          <w:marTop w:val="120"/>
          <w:marBottom w:val="0"/>
          <w:divBdr>
            <w:top w:val="none" w:sz="0" w:space="0" w:color="auto"/>
            <w:left w:val="none" w:sz="0" w:space="0" w:color="auto"/>
            <w:bottom w:val="none" w:sz="0" w:space="0" w:color="auto"/>
            <w:right w:val="none" w:sz="0" w:space="0" w:color="auto"/>
          </w:divBdr>
        </w:div>
        <w:div w:id="188529311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405038">
      <w:bodyDiv w:val="1"/>
      <w:marLeft w:val="0"/>
      <w:marRight w:val="0"/>
      <w:marTop w:val="0"/>
      <w:marBottom w:val="0"/>
      <w:divBdr>
        <w:top w:val="none" w:sz="0" w:space="0" w:color="auto"/>
        <w:left w:val="none" w:sz="0" w:space="0" w:color="auto"/>
        <w:bottom w:val="none" w:sz="0" w:space="0" w:color="auto"/>
        <w:right w:val="none" w:sz="0" w:space="0" w:color="auto"/>
      </w:divBdr>
      <w:divsChild>
        <w:div w:id="1191646907">
          <w:marLeft w:val="576"/>
          <w:marRight w:val="0"/>
          <w:marTop w:val="120"/>
          <w:marBottom w:val="0"/>
          <w:divBdr>
            <w:top w:val="none" w:sz="0" w:space="0" w:color="auto"/>
            <w:left w:val="none" w:sz="0" w:space="0" w:color="auto"/>
            <w:bottom w:val="none" w:sz="0" w:space="0" w:color="auto"/>
            <w:right w:val="none" w:sz="0" w:space="0" w:color="auto"/>
          </w:divBdr>
        </w:div>
        <w:div w:id="56906171">
          <w:marLeft w:val="576"/>
          <w:marRight w:val="0"/>
          <w:marTop w:val="120"/>
          <w:marBottom w:val="0"/>
          <w:divBdr>
            <w:top w:val="none" w:sz="0" w:space="0" w:color="auto"/>
            <w:left w:val="none" w:sz="0" w:space="0" w:color="auto"/>
            <w:bottom w:val="none" w:sz="0" w:space="0" w:color="auto"/>
            <w:right w:val="none" w:sz="0" w:space="0" w:color="auto"/>
          </w:divBdr>
        </w:div>
        <w:div w:id="445854390">
          <w:marLeft w:val="576"/>
          <w:marRight w:val="0"/>
          <w:marTop w:val="120"/>
          <w:marBottom w:val="0"/>
          <w:divBdr>
            <w:top w:val="none" w:sz="0" w:space="0" w:color="auto"/>
            <w:left w:val="none" w:sz="0" w:space="0" w:color="auto"/>
            <w:bottom w:val="none" w:sz="0" w:space="0" w:color="auto"/>
            <w:right w:val="none" w:sz="0" w:space="0" w:color="auto"/>
          </w:divBdr>
        </w:div>
        <w:div w:id="183253508">
          <w:marLeft w:val="576"/>
          <w:marRight w:val="0"/>
          <w:marTop w:val="120"/>
          <w:marBottom w:val="0"/>
          <w:divBdr>
            <w:top w:val="none" w:sz="0" w:space="0" w:color="auto"/>
            <w:left w:val="none" w:sz="0" w:space="0" w:color="auto"/>
            <w:bottom w:val="none" w:sz="0" w:space="0" w:color="auto"/>
            <w:right w:val="none" w:sz="0" w:space="0" w:color="auto"/>
          </w:divBdr>
        </w:div>
        <w:div w:id="138906825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3407198">
      <w:bodyDiv w:val="1"/>
      <w:marLeft w:val="0"/>
      <w:marRight w:val="0"/>
      <w:marTop w:val="0"/>
      <w:marBottom w:val="0"/>
      <w:divBdr>
        <w:top w:val="none" w:sz="0" w:space="0" w:color="auto"/>
        <w:left w:val="none" w:sz="0" w:space="0" w:color="auto"/>
        <w:bottom w:val="none" w:sz="0" w:space="0" w:color="auto"/>
        <w:right w:val="none" w:sz="0" w:space="0" w:color="auto"/>
      </w:divBdr>
      <w:divsChild>
        <w:div w:id="250243408">
          <w:marLeft w:val="576"/>
          <w:marRight w:val="0"/>
          <w:marTop w:val="120"/>
          <w:marBottom w:val="0"/>
          <w:divBdr>
            <w:top w:val="none" w:sz="0" w:space="0" w:color="auto"/>
            <w:left w:val="none" w:sz="0" w:space="0" w:color="auto"/>
            <w:bottom w:val="none" w:sz="0" w:space="0" w:color="auto"/>
            <w:right w:val="none" w:sz="0" w:space="0" w:color="auto"/>
          </w:divBdr>
        </w:div>
        <w:div w:id="1275208221">
          <w:marLeft w:val="576"/>
          <w:marRight w:val="0"/>
          <w:marTop w:val="120"/>
          <w:marBottom w:val="0"/>
          <w:divBdr>
            <w:top w:val="none" w:sz="0" w:space="0" w:color="auto"/>
            <w:left w:val="none" w:sz="0" w:space="0" w:color="auto"/>
            <w:bottom w:val="none" w:sz="0" w:space="0" w:color="auto"/>
            <w:right w:val="none" w:sz="0" w:space="0" w:color="auto"/>
          </w:divBdr>
        </w:div>
        <w:div w:id="997876867">
          <w:marLeft w:val="576"/>
          <w:marRight w:val="0"/>
          <w:marTop w:val="120"/>
          <w:marBottom w:val="0"/>
          <w:divBdr>
            <w:top w:val="none" w:sz="0" w:space="0" w:color="auto"/>
            <w:left w:val="none" w:sz="0" w:space="0" w:color="auto"/>
            <w:bottom w:val="none" w:sz="0" w:space="0" w:color="auto"/>
            <w:right w:val="none" w:sz="0" w:space="0" w:color="auto"/>
          </w:divBdr>
        </w:div>
        <w:div w:id="76888936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2021-07-01T15:06:00Z</dcterms:modified>
</cp:coreProperties>
</file>